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theme/themeOverride15.xml" ContentType="application/vnd.openxmlformats-officedocument.themeOverride+xml"/>
  <Override PartName="/word/charts/chart17.xml" ContentType="application/vnd.openxmlformats-officedocument.drawingml.chart+xml"/>
  <Override PartName="/word/theme/themeOverride16.xml" ContentType="application/vnd.openxmlformats-officedocument.themeOverride+xml"/>
  <Override PartName="/word/charts/chart18.xml" ContentType="application/vnd.openxmlformats-officedocument.drawingml.chart+xml"/>
  <Override PartName="/word/theme/themeOverride17.xml" ContentType="application/vnd.openxmlformats-officedocument.themeOverride+xml"/>
  <Override PartName="/word/charts/chart19.xml" ContentType="application/vnd.openxmlformats-officedocument.drawingml.chart+xml"/>
  <Override PartName="/word/theme/themeOverride18.xml" ContentType="application/vnd.openxmlformats-officedocument.themeOverride+xml"/>
  <Override PartName="/word/charts/chart20.xml" ContentType="application/vnd.openxmlformats-officedocument.drawingml.chart+xml"/>
  <Override PartName="/word/theme/themeOverride19.xml" ContentType="application/vnd.openxmlformats-officedocument.themeOverride+xml"/>
  <Override PartName="/word/charts/chart21.xml" ContentType="application/vnd.openxmlformats-officedocument.drawingml.chart+xml"/>
  <Override PartName="/word/theme/themeOverride20.xml" ContentType="application/vnd.openxmlformats-officedocument.themeOverride+xml"/>
  <Override PartName="/word/charts/chart22.xml" ContentType="application/vnd.openxmlformats-officedocument.drawingml.chart+xml"/>
  <Override PartName="/word/theme/themeOverride21.xml" ContentType="application/vnd.openxmlformats-officedocument.themeOverride+xml"/>
  <Override PartName="/word/charts/chart23.xml" ContentType="application/vnd.openxmlformats-officedocument.drawingml.chart+xml"/>
  <Override PartName="/word/theme/themeOverride22.xml" ContentType="application/vnd.openxmlformats-officedocument.themeOverride+xml"/>
  <Override PartName="/word/charts/chart24.xml" ContentType="application/vnd.openxmlformats-officedocument.drawingml.chart+xml"/>
  <Override PartName="/word/theme/themeOverride23.xml" ContentType="application/vnd.openxmlformats-officedocument.themeOverride+xml"/>
  <Override PartName="/word/charts/chart25.xml" ContentType="application/vnd.openxmlformats-officedocument.drawingml.chart+xml"/>
  <Override PartName="/word/theme/themeOverride24.xml" ContentType="application/vnd.openxmlformats-officedocument.themeOverride+xml"/>
  <Override PartName="/word/charts/chart26.xml" ContentType="application/vnd.openxmlformats-officedocument.drawingml.chart+xml"/>
  <Override PartName="/word/theme/themeOverride25.xml" ContentType="application/vnd.openxmlformats-officedocument.themeOverride+xml"/>
  <Override PartName="/word/charts/chart27.xml" ContentType="application/vnd.openxmlformats-officedocument.drawingml.chart+xml"/>
  <Override PartName="/word/theme/themeOverride26.xml" ContentType="application/vnd.openxmlformats-officedocument.themeOverride+xml"/>
  <Override PartName="/word/charts/chart28.xml" ContentType="application/vnd.openxmlformats-officedocument.drawingml.chart+xml"/>
  <Override PartName="/word/theme/themeOverride27.xml" ContentType="application/vnd.openxmlformats-officedocument.themeOverride+xml"/>
  <Override PartName="/word/charts/chart29.xml" ContentType="application/vnd.openxmlformats-officedocument.drawingml.chart+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charts/chart32.xml" ContentType="application/vnd.openxmlformats-officedocument.drawingml.chart+xml"/>
  <Override PartName="/word/theme/themeOverride29.xml" ContentType="application/vnd.openxmlformats-officedocument.themeOverride+xml"/>
  <Override PartName="/word/charts/chart33.xml" ContentType="application/vnd.openxmlformats-officedocument.drawingml.chart+xml"/>
  <Override PartName="/word/theme/themeOverride30.xml" ContentType="application/vnd.openxmlformats-officedocument.themeOverride+xml"/>
  <Override PartName="/word/charts/chart34.xml" ContentType="application/vnd.openxmlformats-officedocument.drawingml.chart+xml"/>
  <Override PartName="/word/theme/themeOverride31.xml" ContentType="application/vnd.openxmlformats-officedocument.themeOverride+xml"/>
  <Override PartName="/word/charts/chart35.xml" ContentType="application/vnd.openxmlformats-officedocument.drawingml.chart+xml"/>
  <Override PartName="/word/theme/themeOverride32.xml" ContentType="application/vnd.openxmlformats-officedocument.themeOverride+xml"/>
  <Override PartName="/word/charts/chart36.xml" ContentType="application/vnd.openxmlformats-officedocument.drawingml.chart+xml"/>
  <Override PartName="/word/theme/themeOverride33.xml" ContentType="application/vnd.openxmlformats-officedocument.themeOverride+xml"/>
  <Override PartName="/word/charts/chart37.xml" ContentType="application/vnd.openxmlformats-officedocument.drawingml.chart+xml"/>
  <Override PartName="/word/theme/themeOverride34.xml" ContentType="application/vnd.openxmlformats-officedocument.themeOverride+xml"/>
  <Override PartName="/word/charts/chart38.xml" ContentType="application/vnd.openxmlformats-officedocument.drawingml.chart+xml"/>
  <Override PartName="/word/theme/themeOverride35.xml" ContentType="application/vnd.openxmlformats-officedocument.themeOverride+xml"/>
  <Override PartName="/word/charts/chart39.xml" ContentType="application/vnd.openxmlformats-officedocument.drawingml.chart+xml"/>
  <Override PartName="/word/theme/themeOverride36.xml" ContentType="application/vnd.openxmlformats-officedocument.themeOverride+xml"/>
  <Override PartName="/word/charts/chart40.xml" ContentType="application/vnd.openxmlformats-officedocument.drawingml.chart+xml"/>
  <Override PartName="/word/theme/themeOverride37.xml" ContentType="application/vnd.openxmlformats-officedocument.themeOverride+xml"/>
  <Override PartName="/word/charts/chart41.xml" ContentType="application/vnd.openxmlformats-officedocument.drawingml.chart+xml"/>
  <Override PartName="/word/theme/themeOverride38.xml" ContentType="application/vnd.openxmlformats-officedocument.themeOverride+xml"/>
  <Override PartName="/word/charts/chart42.xml" ContentType="application/vnd.openxmlformats-officedocument.drawingml.chart+xml"/>
  <Override PartName="/word/theme/themeOverride39.xml" ContentType="application/vnd.openxmlformats-officedocument.themeOverride+xml"/>
  <Override PartName="/word/charts/chart43.xml" ContentType="application/vnd.openxmlformats-officedocument.drawingml.chart+xml"/>
  <Override PartName="/word/theme/themeOverride40.xml" ContentType="application/vnd.openxmlformats-officedocument.themeOverride+xml"/>
  <Override PartName="/word/charts/chart44.xml" ContentType="application/vnd.openxmlformats-officedocument.drawingml.chart+xml"/>
  <Override PartName="/word/theme/themeOverride41.xml" ContentType="application/vnd.openxmlformats-officedocument.themeOverride+xml"/>
  <Override PartName="/word/charts/chart45.xml" ContentType="application/vnd.openxmlformats-officedocument.drawingml.chart+xml"/>
  <Override PartName="/word/theme/themeOverride42.xml" ContentType="application/vnd.openxmlformats-officedocument.themeOverride+xml"/>
  <Override PartName="/word/charts/chart46.xml" ContentType="application/vnd.openxmlformats-officedocument.drawingml.chart+xml"/>
  <Override PartName="/word/charts/chart47.xml" ContentType="application/vnd.openxmlformats-officedocument.drawingml.chart+xml"/>
  <Override PartName="/word/theme/themeOverride43.xml" ContentType="application/vnd.openxmlformats-officedocument.themeOverride+xml"/>
  <Override PartName="/word/charts/chart48.xml" ContentType="application/vnd.openxmlformats-officedocument.drawingml.chart+xml"/>
  <Override PartName="/word/charts/chart49.xml" ContentType="application/vnd.openxmlformats-officedocument.drawingml.chart+xml"/>
  <Override PartName="/word/theme/themeOverride44.xml" ContentType="application/vnd.openxmlformats-officedocument.themeOverride+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theme/themeOverride45.xml" ContentType="application/vnd.openxmlformats-officedocument.themeOverride+xml"/>
  <Override PartName="/word/charts/chart53.xml" ContentType="application/vnd.openxmlformats-officedocument.drawingml.chart+xml"/>
  <Override PartName="/word/theme/themeOverride46.xml" ContentType="application/vnd.openxmlformats-officedocument.themeOverride+xml"/>
  <Override PartName="/word/charts/chart54.xml" ContentType="application/vnd.openxmlformats-officedocument.drawingml.chart+xml"/>
  <Override PartName="/word/theme/themeOverride47.xml" ContentType="application/vnd.openxmlformats-officedocument.themeOverride+xml"/>
  <Override PartName="/word/charts/chart55.xml" ContentType="application/vnd.openxmlformats-officedocument.drawingml.chart+xml"/>
  <Override PartName="/word/theme/themeOverride48.xml" ContentType="application/vnd.openxmlformats-officedocument.themeOverride+xml"/>
  <Override PartName="/word/charts/chart56.xml" ContentType="application/vnd.openxmlformats-officedocument.drawingml.chart+xml"/>
  <Override PartName="/word/theme/themeOverride49.xml" ContentType="application/vnd.openxmlformats-officedocument.themeOverride+xml"/>
  <Override PartName="/word/charts/chart57.xml" ContentType="application/vnd.openxmlformats-officedocument.drawingml.chart+xml"/>
  <Override PartName="/word/theme/themeOverride50.xml" ContentType="application/vnd.openxmlformats-officedocument.themeOverride+xml"/>
  <Override PartName="/word/charts/chart58.xml" ContentType="application/vnd.openxmlformats-officedocument.drawingml.chart+xml"/>
  <Override PartName="/word/theme/themeOverride51.xml" ContentType="application/vnd.openxmlformats-officedocument.themeOverride+xml"/>
  <Override PartName="/word/charts/chart59.xml" ContentType="application/vnd.openxmlformats-officedocument.drawingml.chart+xml"/>
  <Override PartName="/word/theme/themeOverride52.xml" ContentType="application/vnd.openxmlformats-officedocument.themeOverride+xml"/>
  <Override PartName="/word/charts/chart60.xml" ContentType="application/vnd.openxmlformats-officedocument.drawingml.chart+xml"/>
  <Override PartName="/word/theme/themeOverride53.xml" ContentType="application/vnd.openxmlformats-officedocument.themeOverride+xml"/>
  <Override PartName="/word/charts/chart61.xml" ContentType="application/vnd.openxmlformats-officedocument.drawingml.chart+xml"/>
  <Override PartName="/word/theme/themeOverride54.xml" ContentType="application/vnd.openxmlformats-officedocument.themeOverride+xml"/>
  <Override PartName="/word/charts/chart62.xml" ContentType="application/vnd.openxmlformats-officedocument.drawingml.chart+xml"/>
  <Override PartName="/word/theme/themeOverride55.xml" ContentType="application/vnd.openxmlformats-officedocument.themeOverride+xml"/>
  <Override PartName="/word/charts/chart63.xml" ContentType="application/vnd.openxmlformats-officedocument.drawingml.chart+xml"/>
  <Override PartName="/word/theme/themeOverride56.xml" ContentType="application/vnd.openxmlformats-officedocument.themeOverride+xml"/>
  <Override PartName="/word/charts/chart64.xml" ContentType="application/vnd.openxmlformats-officedocument.drawingml.chart+xml"/>
  <Override PartName="/word/theme/themeOverride57.xml" ContentType="application/vnd.openxmlformats-officedocument.themeOverride+xml"/>
  <Override PartName="/word/charts/chart65.xml" ContentType="application/vnd.openxmlformats-officedocument.drawingml.chart+xml"/>
  <Override PartName="/word/theme/themeOverride58.xml" ContentType="application/vnd.openxmlformats-officedocument.themeOverride+xml"/>
  <Override PartName="/word/charts/chart66.xml" ContentType="application/vnd.openxmlformats-officedocument.drawingml.chart+xml"/>
  <Override PartName="/word/theme/themeOverride59.xml" ContentType="application/vnd.openxmlformats-officedocument.themeOverride+xml"/>
  <Override PartName="/word/charts/chart67.xml" ContentType="application/vnd.openxmlformats-officedocument.drawingml.chart+xml"/>
  <Override PartName="/word/theme/themeOverride60.xml" ContentType="application/vnd.openxmlformats-officedocument.themeOverride+xml"/>
  <Override PartName="/word/charts/chart68.xml" ContentType="application/vnd.openxmlformats-officedocument.drawingml.chart+xml"/>
  <Override PartName="/word/theme/themeOverride61.xml" ContentType="application/vnd.openxmlformats-officedocument.themeOverride+xml"/>
  <Override PartName="/word/charts/chart69.xml" ContentType="application/vnd.openxmlformats-officedocument.drawingml.chart+xml"/>
  <Override PartName="/word/theme/themeOverride62.xml" ContentType="application/vnd.openxmlformats-officedocument.themeOverride+xml"/>
  <Override PartName="/word/charts/chart70.xml" ContentType="application/vnd.openxmlformats-officedocument.drawingml.chart+xml"/>
  <Override PartName="/word/theme/themeOverride63.xml" ContentType="application/vnd.openxmlformats-officedocument.themeOverride+xml"/>
  <Override PartName="/word/charts/chart71.xml" ContentType="application/vnd.openxmlformats-officedocument.drawingml.chart+xml"/>
  <Override PartName="/word/theme/themeOverride64.xml" ContentType="application/vnd.openxmlformats-officedocument.themeOverride+xml"/>
  <Override PartName="/word/charts/chart72.xml" ContentType="application/vnd.openxmlformats-officedocument.drawingml.chart+xml"/>
  <Override PartName="/word/theme/themeOverride65.xml" ContentType="application/vnd.openxmlformats-officedocument.themeOverride+xml"/>
  <Override PartName="/word/charts/chart73.xml" ContentType="application/vnd.openxmlformats-officedocument.drawingml.chart+xml"/>
  <Override PartName="/word/theme/themeOverride66.xml" ContentType="application/vnd.openxmlformats-officedocument.themeOverride+xml"/>
  <Override PartName="/word/charts/chart74.xml" ContentType="application/vnd.openxmlformats-officedocument.drawingml.chart+xml"/>
  <Override PartName="/word/theme/themeOverride67.xml" ContentType="application/vnd.openxmlformats-officedocument.themeOverride+xml"/>
  <Override PartName="/word/charts/chart75.xml" ContentType="application/vnd.openxmlformats-officedocument.drawingml.chart+xml"/>
  <Override PartName="/word/theme/themeOverride68.xml" ContentType="application/vnd.openxmlformats-officedocument.themeOverride+xml"/>
  <Override PartName="/word/charts/chart76.xml" ContentType="application/vnd.openxmlformats-officedocument.drawingml.chart+xml"/>
  <Override PartName="/word/theme/themeOverride69.xml" ContentType="application/vnd.openxmlformats-officedocument.themeOverride+xml"/>
  <Override PartName="/word/charts/chart77.xml" ContentType="application/vnd.openxmlformats-officedocument.drawingml.chart+xml"/>
  <Override PartName="/word/theme/themeOverride70.xml" ContentType="application/vnd.openxmlformats-officedocument.themeOverride+xml"/>
  <Override PartName="/word/charts/chart78.xml" ContentType="application/vnd.openxmlformats-officedocument.drawingml.chart+xml"/>
  <Override PartName="/word/theme/themeOverride71.xml" ContentType="application/vnd.openxmlformats-officedocument.themeOverride+xml"/>
  <Override PartName="/word/charts/chart79.xml" ContentType="application/vnd.openxmlformats-officedocument.drawingml.chart+xml"/>
  <Override PartName="/word/theme/themeOverride72.xml" ContentType="application/vnd.openxmlformats-officedocument.themeOverride+xml"/>
  <Override PartName="/word/charts/chart80.xml" ContentType="application/vnd.openxmlformats-officedocument.drawingml.chart+xml"/>
  <Override PartName="/word/theme/themeOverride73.xml" ContentType="application/vnd.openxmlformats-officedocument.themeOverride+xml"/>
  <Override PartName="/word/charts/chart81.xml" ContentType="application/vnd.openxmlformats-officedocument.drawingml.chart+xml"/>
  <Override PartName="/word/theme/themeOverride74.xml" ContentType="application/vnd.openxmlformats-officedocument.themeOverride+xml"/>
  <Override PartName="/word/charts/chart82.xml" ContentType="application/vnd.openxmlformats-officedocument.drawingml.chart+xml"/>
  <Override PartName="/word/theme/themeOverride75.xml" ContentType="application/vnd.openxmlformats-officedocument.themeOverride+xml"/>
  <Override PartName="/word/charts/chart83.xml" ContentType="application/vnd.openxmlformats-officedocument.drawingml.chart+xml"/>
  <Override PartName="/word/theme/themeOverride76.xml" ContentType="application/vnd.openxmlformats-officedocument.themeOverride+xml"/>
  <Override PartName="/word/charts/chart84.xml" ContentType="application/vnd.openxmlformats-officedocument.drawingml.chart+xml"/>
  <Override PartName="/word/theme/themeOverride77.xml" ContentType="application/vnd.openxmlformats-officedocument.themeOverride+xml"/>
  <Override PartName="/word/charts/chart85.xml" ContentType="application/vnd.openxmlformats-officedocument.drawingml.chart+xml"/>
  <Override PartName="/word/theme/themeOverride78.xml" ContentType="application/vnd.openxmlformats-officedocument.themeOverride+xml"/>
  <Override PartName="/word/charts/chart86.xml" ContentType="application/vnd.openxmlformats-officedocument.drawingml.chart+xml"/>
  <Override PartName="/word/theme/themeOverride79.xml" ContentType="application/vnd.openxmlformats-officedocument.themeOverride+xml"/>
  <Override PartName="/word/charts/chart87.xml" ContentType="application/vnd.openxmlformats-officedocument.drawingml.chart+xml"/>
  <Override PartName="/word/theme/themeOverride80.xml" ContentType="application/vnd.openxmlformats-officedocument.themeOverride+xml"/>
  <Override PartName="/word/charts/chart88.xml" ContentType="application/vnd.openxmlformats-officedocument.drawingml.chart+xml"/>
  <Override PartName="/word/theme/themeOverride81.xml" ContentType="application/vnd.openxmlformats-officedocument.themeOverride+xml"/>
  <Override PartName="/word/drawings/drawing2.xml" ContentType="application/vnd.openxmlformats-officedocument.drawingml.chartshapes+xml"/>
  <Override PartName="/word/charts/chart89.xml" ContentType="application/vnd.openxmlformats-officedocument.drawingml.chart+xml"/>
  <Override PartName="/word/theme/themeOverride82.xml" ContentType="application/vnd.openxmlformats-officedocument.themeOverride+xml"/>
  <Override PartName="/word/charts/chart90.xml" ContentType="application/vnd.openxmlformats-officedocument.drawingml.chart+xml"/>
  <Override PartName="/word/theme/themeOverride83.xml" ContentType="application/vnd.openxmlformats-officedocument.themeOverride+xml"/>
  <Override PartName="/word/charts/chart91.xml" ContentType="application/vnd.openxmlformats-officedocument.drawingml.chart+xml"/>
  <Override PartName="/word/theme/themeOverride84.xml" ContentType="application/vnd.openxmlformats-officedocument.themeOverride+xml"/>
  <Override PartName="/word/charts/chart92.xml" ContentType="application/vnd.openxmlformats-officedocument.drawingml.chart+xml"/>
  <Override PartName="/word/theme/themeOverride85.xml" ContentType="application/vnd.openxmlformats-officedocument.themeOverride+xml"/>
  <Override PartName="/word/charts/chart93.xml" ContentType="application/vnd.openxmlformats-officedocument.drawingml.chart+xml"/>
  <Override PartName="/word/theme/themeOverride86.xml" ContentType="application/vnd.openxmlformats-officedocument.themeOverride+xml"/>
  <Override PartName="/word/charts/chart94.xml" ContentType="application/vnd.openxmlformats-officedocument.drawingml.chart+xml"/>
  <Override PartName="/word/theme/themeOverride87.xml" ContentType="application/vnd.openxmlformats-officedocument.themeOverride+xml"/>
  <Override PartName="/word/charts/chart95.xml" ContentType="application/vnd.openxmlformats-officedocument.drawingml.chart+xml"/>
  <Override PartName="/word/theme/themeOverride88.xml" ContentType="application/vnd.openxmlformats-officedocument.themeOverride+xml"/>
  <Override PartName="/word/charts/chart96.xml" ContentType="application/vnd.openxmlformats-officedocument.drawingml.chart+xml"/>
  <Override PartName="/word/theme/themeOverride89.xml" ContentType="application/vnd.openxmlformats-officedocument.themeOverride+xml"/>
  <Override PartName="/word/charts/chart97.xml" ContentType="application/vnd.openxmlformats-officedocument.drawingml.chart+xml"/>
  <Override PartName="/word/theme/themeOverride90.xml" ContentType="application/vnd.openxmlformats-officedocument.themeOverride+xml"/>
  <Override PartName="/word/charts/chart98.xml" ContentType="application/vnd.openxmlformats-officedocument.drawingml.chart+xml"/>
  <Override PartName="/word/theme/themeOverride91.xml" ContentType="application/vnd.openxmlformats-officedocument.themeOverride+xml"/>
  <Override PartName="/word/charts/chart99.xml" ContentType="application/vnd.openxmlformats-officedocument.drawingml.chart+xml"/>
  <Override PartName="/word/theme/themeOverride92.xml" ContentType="application/vnd.openxmlformats-officedocument.themeOverride+xml"/>
  <Override PartName="/word/charts/chart100.xml" ContentType="application/vnd.openxmlformats-officedocument.drawingml.chart+xml"/>
  <Override PartName="/word/theme/themeOverride93.xml" ContentType="application/vnd.openxmlformats-officedocument.themeOverride+xml"/>
  <Override PartName="/word/charts/chart101.xml" ContentType="application/vnd.openxmlformats-officedocument.drawingml.chart+xml"/>
  <Override PartName="/word/theme/themeOverride94.xml" ContentType="application/vnd.openxmlformats-officedocument.themeOverride+xml"/>
  <Override PartName="/word/charts/chart102.xml" ContentType="application/vnd.openxmlformats-officedocument.drawingml.chart+xml"/>
  <Override PartName="/word/theme/themeOverride95.xml" ContentType="application/vnd.openxmlformats-officedocument.themeOverride+xml"/>
  <Override PartName="/word/charts/chart103.xml" ContentType="application/vnd.openxmlformats-officedocument.drawingml.chart+xml"/>
  <Override PartName="/word/theme/themeOverride96.xml" ContentType="application/vnd.openxmlformats-officedocument.themeOverride+xml"/>
  <Override PartName="/word/charts/chart104.xml" ContentType="application/vnd.openxmlformats-officedocument.drawingml.chart+xml"/>
  <Override PartName="/word/theme/themeOverride97.xml" ContentType="application/vnd.openxmlformats-officedocument.themeOverride+xml"/>
  <Override PartName="/word/charts/chart105.xml" ContentType="application/vnd.openxmlformats-officedocument.drawingml.chart+xml"/>
  <Override PartName="/word/theme/themeOverride98.xml" ContentType="application/vnd.openxmlformats-officedocument.themeOverride+xml"/>
  <Override PartName="/word/charts/chart106.xml" ContentType="application/vnd.openxmlformats-officedocument.drawingml.chart+xml"/>
  <Override PartName="/word/theme/themeOverride99.xml" ContentType="application/vnd.openxmlformats-officedocument.themeOverride+xml"/>
  <Override PartName="/word/charts/chart107.xml" ContentType="application/vnd.openxmlformats-officedocument.drawingml.chart+xml"/>
  <Override PartName="/word/theme/themeOverride100.xml" ContentType="application/vnd.openxmlformats-officedocument.themeOverride+xml"/>
  <Override PartName="/word/charts/chart108.xml" ContentType="application/vnd.openxmlformats-officedocument.drawingml.chart+xml"/>
  <Override PartName="/word/theme/themeOverride101.xml" ContentType="application/vnd.openxmlformats-officedocument.themeOverride+xml"/>
  <Override PartName="/word/charts/chart109.xml" ContentType="application/vnd.openxmlformats-officedocument.drawingml.chart+xml"/>
  <Override PartName="/word/theme/themeOverride102.xml" ContentType="application/vnd.openxmlformats-officedocument.themeOverride+xml"/>
  <Override PartName="/word/charts/chart110.xml" ContentType="application/vnd.openxmlformats-officedocument.drawingml.chart+xml"/>
  <Override PartName="/word/theme/themeOverride103.xml" ContentType="application/vnd.openxmlformats-officedocument.themeOverride+xml"/>
  <Override PartName="/word/charts/chart111.xml" ContentType="application/vnd.openxmlformats-officedocument.drawingml.chart+xml"/>
  <Override PartName="/word/theme/themeOverride104.xml" ContentType="application/vnd.openxmlformats-officedocument.themeOverride+xml"/>
  <Override PartName="/word/charts/chart112.xml" ContentType="application/vnd.openxmlformats-officedocument.drawingml.chart+xml"/>
  <Override PartName="/word/theme/themeOverride105.xml" ContentType="application/vnd.openxmlformats-officedocument.themeOverride+xml"/>
  <Override PartName="/word/charts/chart113.xml" ContentType="application/vnd.openxmlformats-officedocument.drawingml.chart+xml"/>
  <Override PartName="/word/theme/themeOverride106.xml" ContentType="application/vnd.openxmlformats-officedocument.themeOverride+xml"/>
  <Override PartName="/word/charts/chart114.xml" ContentType="application/vnd.openxmlformats-officedocument.drawingml.chart+xml"/>
  <Override PartName="/word/theme/themeOverride107.xml" ContentType="application/vnd.openxmlformats-officedocument.themeOverride+xml"/>
  <Override PartName="/word/charts/chart115.xml" ContentType="application/vnd.openxmlformats-officedocument.drawingml.chart+xml"/>
  <Override PartName="/word/theme/themeOverride108.xml" ContentType="application/vnd.openxmlformats-officedocument.themeOverride+xml"/>
  <Override PartName="/word/charts/chart116.xml" ContentType="application/vnd.openxmlformats-officedocument.drawingml.chart+xml"/>
  <Override PartName="/word/theme/themeOverride109.xml" ContentType="application/vnd.openxmlformats-officedocument.themeOverride+xml"/>
  <Override PartName="/word/charts/chart117.xml" ContentType="application/vnd.openxmlformats-officedocument.drawingml.chart+xml"/>
  <Override PartName="/word/theme/themeOverride110.xml" ContentType="application/vnd.openxmlformats-officedocument.themeOverride+xml"/>
  <Override PartName="/word/charts/chart118.xml" ContentType="application/vnd.openxmlformats-officedocument.drawingml.chart+xml"/>
  <Override PartName="/word/theme/themeOverride111.xml" ContentType="application/vnd.openxmlformats-officedocument.themeOverride+xml"/>
  <Override PartName="/word/charts/chart119.xml" ContentType="application/vnd.openxmlformats-officedocument.drawingml.chart+xml"/>
  <Override PartName="/word/theme/themeOverride112.xml" ContentType="application/vnd.openxmlformats-officedocument.themeOverride+xml"/>
  <Override PartName="/word/charts/chart120.xml" ContentType="application/vnd.openxmlformats-officedocument.drawingml.chart+xml"/>
  <Override PartName="/word/charts/chart121.xml" ContentType="application/vnd.openxmlformats-officedocument.drawingml.chart+xml"/>
  <Override PartName="/word/charts/chart122.xml" ContentType="application/vnd.openxmlformats-officedocument.drawingml.chart+xml"/>
  <Override PartName="/word/charts/chart123.xml" ContentType="application/vnd.openxmlformats-officedocument.drawingml.chart+xml"/>
  <Override PartName="/word/theme/themeOverride113.xml" ContentType="application/vnd.openxmlformats-officedocument.themeOverride+xml"/>
  <Override PartName="/word/charts/chart124.xml" ContentType="application/vnd.openxmlformats-officedocument.drawingml.chart+xml"/>
  <Override PartName="/word/theme/themeOverride114.xml" ContentType="application/vnd.openxmlformats-officedocument.themeOverride+xml"/>
  <Override PartName="/word/charts/chart125.xml" ContentType="application/vnd.openxmlformats-officedocument.drawingml.chart+xml"/>
  <Override PartName="/word/theme/themeOverride115.xml" ContentType="application/vnd.openxmlformats-officedocument.themeOverride+xml"/>
  <Override PartName="/word/charts/chart126.xml" ContentType="application/vnd.openxmlformats-officedocument.drawingml.chart+xml"/>
  <Override PartName="/word/theme/themeOverride116.xml" ContentType="application/vnd.openxmlformats-officedocument.themeOverride+xml"/>
  <Override PartName="/word/charts/chart127.xml" ContentType="application/vnd.openxmlformats-officedocument.drawingml.chart+xml"/>
  <Override PartName="/word/theme/themeOverride117.xml" ContentType="application/vnd.openxmlformats-officedocument.themeOverride+xml"/>
  <Override PartName="/word/charts/chart128.xml" ContentType="application/vnd.openxmlformats-officedocument.drawingml.chart+xml"/>
  <Override PartName="/word/theme/themeOverride118.xml" ContentType="application/vnd.openxmlformats-officedocument.themeOverride+xml"/>
  <Override PartName="/word/charts/chart129.xml" ContentType="application/vnd.openxmlformats-officedocument.drawingml.chart+xml"/>
  <Override PartName="/word/theme/themeOverride119.xml" ContentType="application/vnd.openxmlformats-officedocument.themeOverride+xml"/>
  <Override PartName="/word/charts/chart130.xml" ContentType="application/vnd.openxmlformats-officedocument.drawingml.chart+xml"/>
  <Override PartName="/word/charts/chart131.xml" ContentType="application/vnd.openxmlformats-officedocument.drawingml.chart+xml"/>
  <Override PartName="/word/theme/themeOverride120.xml" ContentType="application/vnd.openxmlformats-officedocument.themeOverride+xml"/>
  <Override PartName="/word/charts/chart132.xml" ContentType="application/vnd.openxmlformats-officedocument.drawingml.chart+xml"/>
  <Override PartName="/word/theme/themeOverride121.xml" ContentType="application/vnd.openxmlformats-officedocument.themeOverride+xml"/>
  <Override PartName="/word/charts/chart133.xml" ContentType="application/vnd.openxmlformats-officedocument.drawingml.chart+xml"/>
  <Override PartName="/word/theme/themeOverride122.xml" ContentType="application/vnd.openxmlformats-officedocument.themeOverride+xml"/>
  <Override PartName="/word/charts/chart134.xml" ContentType="application/vnd.openxmlformats-officedocument.drawingml.chart+xml"/>
  <Override PartName="/word/theme/themeOverride123.xml" ContentType="application/vnd.openxmlformats-officedocument.themeOverride+xml"/>
  <Override PartName="/word/charts/chart135.xml" ContentType="application/vnd.openxmlformats-officedocument.drawingml.chart+xml"/>
  <Override PartName="/word/theme/themeOverride124.xml" ContentType="application/vnd.openxmlformats-officedocument.themeOverride+xml"/>
  <Override PartName="/word/charts/chart136.xml" ContentType="application/vnd.openxmlformats-officedocument.drawingml.chart+xml"/>
  <Override PartName="/word/theme/themeOverride125.xml" ContentType="application/vnd.openxmlformats-officedocument.themeOverride+xml"/>
  <Override PartName="/word/charts/chart137.xml" ContentType="application/vnd.openxmlformats-officedocument.drawingml.chart+xml"/>
  <Override PartName="/word/theme/themeOverride126.xml" ContentType="application/vnd.openxmlformats-officedocument.themeOverride+xml"/>
  <Override PartName="/word/charts/chart138.xml" ContentType="application/vnd.openxmlformats-officedocument.drawingml.chart+xml"/>
  <Override PartName="/word/theme/themeOverride127.xml" ContentType="application/vnd.openxmlformats-officedocument.themeOverride+xml"/>
  <Override PartName="/word/charts/chart139.xml" ContentType="application/vnd.openxmlformats-officedocument.drawingml.chart+xml"/>
  <Override PartName="/word/theme/themeOverride128.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EC0AEC" w14:textId="77777777" w:rsidR="00FB1314" w:rsidRDefault="00FB1314" w:rsidP="0042485F">
      <w:pPr>
        <w:pStyle w:val="Header"/>
        <w:tabs>
          <w:tab w:val="left" w:pos="720"/>
        </w:tabs>
        <w:bidi w:val="0"/>
        <w:jc w:val="center"/>
        <w:rPr>
          <w:rFonts w:ascii="Times New Roman" w:hAnsi="Times New Roman" w:cs="Times New Roman" w:hint="cs"/>
          <w:b/>
          <w:bCs/>
          <w:color w:val="000000"/>
          <w:sz w:val="28"/>
          <w:szCs w:val="28"/>
          <w:rtl/>
        </w:rPr>
      </w:pPr>
    </w:p>
    <w:p w14:paraId="296C0B67"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0FE3813"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3B9F996" w14:textId="77777777" w:rsidR="00FB1314" w:rsidRPr="000D2E4D" w:rsidRDefault="00FB1314" w:rsidP="00FB1314">
      <w:pPr>
        <w:pStyle w:val="Heading1"/>
        <w:keepLines w:val="0"/>
        <w:bidi w:val="0"/>
        <w:spacing w:before="0" w:line="240" w:lineRule="auto"/>
        <w:rPr>
          <w:rFonts w:ascii="Times New Roman" w:hAnsi="Times New Roman"/>
          <w:color w:val="000000"/>
          <w:sz w:val="48"/>
          <w:szCs w:val="48"/>
        </w:rPr>
      </w:pPr>
      <w:r>
        <w:rPr>
          <w:noProof/>
        </w:rPr>
        <w:drawing>
          <wp:anchor distT="0" distB="0" distL="114300" distR="114300" simplePos="0" relativeHeight="251664896" behindDoc="0" locked="0" layoutInCell="1" allowOverlap="1" wp14:anchorId="3911AD8B" wp14:editId="763B828A">
            <wp:simplePos x="0" y="0"/>
            <wp:positionH relativeFrom="margin">
              <wp:align>center</wp:align>
            </wp:positionH>
            <wp:positionV relativeFrom="margin">
              <wp:align>top</wp:align>
            </wp:positionV>
            <wp:extent cx="1153297" cy="1581665"/>
            <wp:effectExtent l="0" t="0" r="0" b="0"/>
            <wp:wrapSquare wrapText="bothSides"/>
            <wp:docPr id="1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alestine_Logos-01-2-en.gif"/>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53297" cy="1581665"/>
                    </a:xfrm>
                    <a:prstGeom prst="rect">
                      <a:avLst/>
                    </a:prstGeom>
                    <a:noFill/>
                    <a:ln w="9525">
                      <a:noFill/>
                      <a:miter lim="800000"/>
                      <a:headEnd/>
                      <a:tailEnd/>
                    </a:ln>
                  </pic:spPr>
                </pic:pic>
              </a:graphicData>
            </a:graphic>
          </wp:anchor>
        </w:drawing>
      </w:r>
      <w:r w:rsidRPr="000D2E4D">
        <w:rPr>
          <w:rFonts w:ascii="Times New Roman" w:hAnsi="Times New Roman"/>
          <w:color w:val="000000"/>
          <w:sz w:val="48"/>
          <w:szCs w:val="48"/>
        </w:rPr>
        <w:br w:type="textWrapping" w:clear="all"/>
      </w:r>
    </w:p>
    <w:p w14:paraId="30A8AA50" w14:textId="77777777" w:rsidR="00FB1314" w:rsidRPr="000D2E4D" w:rsidRDefault="00FB1314" w:rsidP="00FB1314">
      <w:pPr>
        <w:pStyle w:val="Heading1"/>
        <w:keepLines w:val="0"/>
        <w:bidi w:val="0"/>
        <w:spacing w:before="0" w:line="240" w:lineRule="auto"/>
        <w:jc w:val="center"/>
        <w:rPr>
          <w:rFonts w:ascii="Times New Roman" w:hAnsi="Times New Roman"/>
          <w:color w:val="000000"/>
          <w:sz w:val="48"/>
          <w:szCs w:val="48"/>
        </w:rPr>
      </w:pPr>
    </w:p>
    <w:p w14:paraId="519A8917" w14:textId="77777777" w:rsidR="00FB1314" w:rsidRPr="000D2E4D" w:rsidRDefault="00FB1314" w:rsidP="00FB1314">
      <w:pPr>
        <w:pStyle w:val="Heading1"/>
        <w:keepLines w:val="0"/>
        <w:bidi w:val="0"/>
        <w:spacing w:before="0" w:line="240" w:lineRule="auto"/>
        <w:jc w:val="center"/>
        <w:rPr>
          <w:rFonts w:ascii="Times New Roman" w:hAnsi="Times New Roman"/>
          <w:color w:val="000000"/>
          <w:sz w:val="48"/>
          <w:szCs w:val="48"/>
        </w:rPr>
      </w:pPr>
      <w:r w:rsidRPr="000D2E4D">
        <w:rPr>
          <w:rFonts w:ascii="Times New Roman" w:hAnsi="Times New Roman"/>
          <w:color w:val="000000"/>
          <w:sz w:val="48"/>
          <w:szCs w:val="48"/>
        </w:rPr>
        <w:t>State of Palestine</w:t>
      </w:r>
    </w:p>
    <w:p w14:paraId="308A22E1" w14:textId="77777777" w:rsidR="00FB1314" w:rsidRPr="000D2E4D" w:rsidRDefault="00FB1314" w:rsidP="00FB1314">
      <w:pPr>
        <w:pStyle w:val="Heading1"/>
        <w:keepLines w:val="0"/>
        <w:bidi w:val="0"/>
        <w:spacing w:before="0" w:line="240" w:lineRule="auto"/>
        <w:jc w:val="center"/>
        <w:rPr>
          <w:rFonts w:ascii="Times New Roman" w:hAnsi="Times New Roman"/>
          <w:color w:val="000000"/>
          <w:sz w:val="52"/>
          <w:szCs w:val="52"/>
        </w:rPr>
      </w:pPr>
      <w:r w:rsidRPr="000D2E4D">
        <w:rPr>
          <w:rFonts w:ascii="Times New Roman" w:hAnsi="Times New Roman"/>
          <w:color w:val="000000"/>
          <w:sz w:val="52"/>
          <w:szCs w:val="52"/>
        </w:rPr>
        <w:t>Palestinian Central Bureau of Statistics</w:t>
      </w:r>
    </w:p>
    <w:p w14:paraId="3E68DE51" w14:textId="77777777" w:rsidR="00FB1314" w:rsidRPr="000D2E4D" w:rsidRDefault="00FB1314" w:rsidP="00FB1314">
      <w:pPr>
        <w:jc w:val="center"/>
        <w:rPr>
          <w:rFonts w:ascii="Times New Roman" w:hAnsi="Times New Roman" w:cs="Times New Roman"/>
          <w:b/>
          <w:bCs/>
          <w:color w:val="000000"/>
          <w:sz w:val="28"/>
          <w:szCs w:val="28"/>
        </w:rPr>
      </w:pPr>
    </w:p>
    <w:p w14:paraId="58259554" w14:textId="77777777" w:rsidR="00FB1314" w:rsidRPr="000D2E4D" w:rsidRDefault="00FB1314" w:rsidP="00FB1314">
      <w:pPr>
        <w:jc w:val="center"/>
        <w:rPr>
          <w:rFonts w:ascii="Times New Roman" w:hAnsi="Times New Roman" w:cs="Times New Roman"/>
          <w:b/>
          <w:bCs/>
          <w:color w:val="000000"/>
          <w:sz w:val="28"/>
          <w:szCs w:val="28"/>
        </w:rPr>
      </w:pPr>
    </w:p>
    <w:p w14:paraId="34DE916E" w14:textId="77777777" w:rsidR="00FB1314" w:rsidRPr="000D2E4D" w:rsidRDefault="00FB1314" w:rsidP="00FB1314">
      <w:pPr>
        <w:jc w:val="center"/>
        <w:rPr>
          <w:rFonts w:ascii="Times New Roman" w:hAnsi="Times New Roman" w:cs="Times New Roman"/>
          <w:b/>
          <w:bCs/>
          <w:color w:val="000000"/>
          <w:sz w:val="28"/>
          <w:szCs w:val="28"/>
        </w:rPr>
      </w:pPr>
    </w:p>
    <w:p w14:paraId="597E019A" w14:textId="77777777" w:rsidR="00FB1314" w:rsidRPr="000D2E4D" w:rsidRDefault="00FB1314" w:rsidP="00FB1314">
      <w:pPr>
        <w:jc w:val="center"/>
        <w:rPr>
          <w:rFonts w:ascii="Times New Roman" w:hAnsi="Times New Roman" w:cs="Times New Roman"/>
          <w:b/>
          <w:bCs/>
          <w:color w:val="000000"/>
          <w:sz w:val="40"/>
          <w:szCs w:val="40"/>
        </w:rPr>
      </w:pPr>
    </w:p>
    <w:p w14:paraId="52104637" w14:textId="77777777" w:rsidR="00FB1314" w:rsidRPr="000D2E4D" w:rsidRDefault="00FB1314" w:rsidP="00FB1314">
      <w:pPr>
        <w:jc w:val="center"/>
        <w:rPr>
          <w:rFonts w:ascii="Times New Roman" w:hAnsi="Times New Roman" w:cs="Times New Roman"/>
          <w:b/>
          <w:bCs/>
          <w:color w:val="000000"/>
          <w:sz w:val="40"/>
          <w:szCs w:val="40"/>
        </w:rPr>
      </w:pPr>
    </w:p>
    <w:p w14:paraId="55627A94" w14:textId="77777777" w:rsidR="00FB1314" w:rsidRPr="000D2E4D" w:rsidRDefault="00FB1314" w:rsidP="0069193D">
      <w:pPr>
        <w:bidi w:val="0"/>
        <w:spacing w:after="0" w:line="240" w:lineRule="auto"/>
        <w:jc w:val="center"/>
        <w:rPr>
          <w:rFonts w:ascii="Times New Roman" w:hAnsi="Times New Roman" w:cs="Times New Roman"/>
          <w:b/>
          <w:bCs/>
          <w:color w:val="000000"/>
          <w:sz w:val="40"/>
          <w:szCs w:val="40"/>
        </w:rPr>
      </w:pPr>
      <w:r w:rsidRPr="000D2E4D">
        <w:rPr>
          <w:rFonts w:ascii="Times New Roman" w:hAnsi="Times New Roman" w:cs="Times New Roman"/>
          <w:b/>
          <w:bCs/>
          <w:color w:val="000000"/>
          <w:sz w:val="40"/>
          <w:szCs w:val="40"/>
        </w:rPr>
        <w:t xml:space="preserve">Sustainable Development Goals Statistical Report </w:t>
      </w:r>
      <w:r w:rsidR="0069193D">
        <w:rPr>
          <w:rFonts w:ascii="Times New Roman" w:hAnsi="Times New Roman" w:cs="Times New Roman"/>
          <w:b/>
          <w:bCs/>
          <w:color w:val="000000"/>
          <w:sz w:val="40"/>
          <w:szCs w:val="40"/>
        </w:rPr>
        <w:t>2022</w:t>
      </w:r>
    </w:p>
    <w:p w14:paraId="3E056E5C" w14:textId="77777777" w:rsidR="00FB1314" w:rsidRPr="000D2E4D" w:rsidRDefault="00FB1314" w:rsidP="00FB1314">
      <w:pPr>
        <w:rPr>
          <w:rFonts w:ascii="Times New Roman" w:hAnsi="Times New Roman" w:cs="Times New Roman"/>
          <w:b/>
          <w:bCs/>
          <w:color w:val="000000"/>
          <w:sz w:val="40"/>
          <w:szCs w:val="40"/>
        </w:rPr>
      </w:pPr>
    </w:p>
    <w:p w14:paraId="71679D28" w14:textId="77777777" w:rsidR="00FB1314" w:rsidRPr="000D2E4D" w:rsidRDefault="00FB1314" w:rsidP="00FB1314">
      <w:pPr>
        <w:rPr>
          <w:rFonts w:ascii="Times New Roman" w:hAnsi="Times New Roman" w:cs="Times New Roman"/>
          <w:b/>
          <w:bCs/>
          <w:color w:val="000000"/>
          <w:sz w:val="16"/>
          <w:szCs w:val="16"/>
        </w:rPr>
      </w:pPr>
    </w:p>
    <w:p w14:paraId="2F04EA4A" w14:textId="77777777" w:rsidR="00FB1314" w:rsidRPr="000D2E4D" w:rsidRDefault="00FB1314" w:rsidP="00FB1314">
      <w:pPr>
        <w:rPr>
          <w:rFonts w:ascii="Times New Roman" w:hAnsi="Times New Roman" w:cs="Times New Roman"/>
          <w:b/>
          <w:bCs/>
          <w:color w:val="000000"/>
          <w:sz w:val="16"/>
          <w:szCs w:val="16"/>
          <w:rtl/>
        </w:rPr>
      </w:pPr>
    </w:p>
    <w:p w14:paraId="6A9CDBF1" w14:textId="77777777" w:rsidR="00FB1314" w:rsidRDefault="00FB1314" w:rsidP="00FB1314">
      <w:pPr>
        <w:rPr>
          <w:rFonts w:ascii="Times New Roman" w:hAnsi="Times New Roman" w:cs="Times New Roman"/>
          <w:b/>
          <w:bCs/>
          <w:color w:val="000000"/>
          <w:sz w:val="16"/>
          <w:szCs w:val="16"/>
        </w:rPr>
      </w:pPr>
    </w:p>
    <w:p w14:paraId="1EAE9C32" w14:textId="77777777" w:rsidR="00FB1314" w:rsidRPr="000D2E4D" w:rsidRDefault="00FB1314" w:rsidP="00FB1314">
      <w:pPr>
        <w:rPr>
          <w:rFonts w:ascii="Times New Roman" w:hAnsi="Times New Roman" w:cs="Times New Roman"/>
          <w:b/>
          <w:bCs/>
          <w:color w:val="000000"/>
          <w:sz w:val="16"/>
          <w:szCs w:val="16"/>
        </w:rPr>
      </w:pPr>
    </w:p>
    <w:p w14:paraId="2BAAF65E" w14:textId="77777777" w:rsidR="00FB1314" w:rsidRPr="000D2E4D" w:rsidRDefault="00FB1314" w:rsidP="00FB1314">
      <w:pPr>
        <w:jc w:val="center"/>
        <w:rPr>
          <w:rFonts w:ascii="Times New Roman" w:hAnsi="Times New Roman" w:cs="Times New Roman"/>
          <w:b/>
          <w:bCs/>
          <w:color w:val="000000"/>
          <w:sz w:val="36"/>
          <w:szCs w:val="36"/>
        </w:rPr>
      </w:pPr>
    </w:p>
    <w:tbl>
      <w:tblPr>
        <w:tblpPr w:leftFromText="180" w:rightFromText="180" w:vertAnchor="text" w:horzAnchor="margin" w:tblpY="150"/>
        <w:tblW w:w="9072" w:type="dxa"/>
        <w:tblBorders>
          <w:top w:val="single" w:sz="12" w:space="0" w:color="auto"/>
        </w:tblBorders>
        <w:tblLook w:val="04A0" w:firstRow="1" w:lastRow="0" w:firstColumn="1" w:lastColumn="0" w:noHBand="0" w:noVBand="1"/>
      </w:tblPr>
      <w:tblGrid>
        <w:gridCol w:w="3978"/>
        <w:gridCol w:w="5094"/>
      </w:tblGrid>
      <w:tr w:rsidR="00FB1314" w:rsidRPr="000D2E4D" w14:paraId="629F94B3" w14:textId="77777777" w:rsidTr="006F7CF2">
        <w:trPr>
          <w:trHeight w:val="1134"/>
        </w:trPr>
        <w:tc>
          <w:tcPr>
            <w:tcW w:w="3978" w:type="dxa"/>
            <w:shd w:val="clear" w:color="auto" w:fill="auto"/>
            <w:vAlign w:val="center"/>
          </w:tcPr>
          <w:p w14:paraId="58BA4392" w14:textId="77777777" w:rsidR="00FB1314" w:rsidRPr="000D2E4D" w:rsidRDefault="00FB1314" w:rsidP="006F7CF2">
            <w:pPr>
              <w:spacing w:after="0" w:line="240" w:lineRule="auto"/>
              <w:jc w:val="right"/>
              <w:rPr>
                <w:rFonts w:ascii="Times New Roman" w:hAnsi="Times New Roman" w:cs="Times New Roman"/>
                <w:sz w:val="12"/>
                <w:szCs w:val="12"/>
                <w:lang w:val="it-IT"/>
              </w:rPr>
            </w:pPr>
            <w:r>
              <w:rPr>
                <w:noProof/>
              </w:rPr>
              <w:drawing>
                <wp:inline distT="0" distB="0" distL="0" distR="0" wp14:anchorId="640BD3A7" wp14:editId="34C3A0AF">
                  <wp:extent cx="723265" cy="723265"/>
                  <wp:effectExtent l="19050" t="0" r="635" b="0"/>
                  <wp:docPr id="229" name="Picture 0" descr="Description: 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PCBS QR PNG.png"/>
                          <pic:cNvPicPr>
                            <a:picLocks noChangeAspect="1" noChangeArrowheads="1"/>
                          </pic:cNvPicPr>
                        </pic:nvPicPr>
                        <pic:blipFill>
                          <a:blip r:embed="rId9" cstate="print"/>
                          <a:srcRect/>
                          <a:stretch>
                            <a:fillRect/>
                          </a:stretch>
                        </pic:blipFill>
                        <pic:spPr bwMode="auto">
                          <a:xfrm>
                            <a:off x="0" y="0"/>
                            <a:ext cx="723265" cy="723265"/>
                          </a:xfrm>
                          <a:prstGeom prst="rect">
                            <a:avLst/>
                          </a:prstGeom>
                          <a:noFill/>
                          <a:ln w="9525">
                            <a:noFill/>
                            <a:miter lim="800000"/>
                            <a:headEnd/>
                            <a:tailEnd/>
                          </a:ln>
                        </pic:spPr>
                      </pic:pic>
                    </a:graphicData>
                  </a:graphic>
                </wp:inline>
              </w:drawing>
            </w:r>
          </w:p>
        </w:tc>
        <w:tc>
          <w:tcPr>
            <w:tcW w:w="5094" w:type="dxa"/>
            <w:shd w:val="clear" w:color="auto" w:fill="auto"/>
            <w:vAlign w:val="center"/>
          </w:tcPr>
          <w:p w14:paraId="7CBF268E" w14:textId="77777777" w:rsidR="00FB1314" w:rsidRPr="000D2E4D" w:rsidRDefault="00FB1314" w:rsidP="006F7CF2">
            <w:pPr>
              <w:pStyle w:val="Heading5"/>
              <w:spacing w:line="240" w:lineRule="auto"/>
              <w:rPr>
                <w:rFonts w:ascii="Times New Roman" w:eastAsia="Calibri" w:hAnsi="Times New Roman"/>
                <w:b/>
                <w:bCs/>
                <w:sz w:val="10"/>
                <w:szCs w:val="10"/>
                <w:lang w:val="it-IT"/>
              </w:rPr>
            </w:pPr>
            <w:r>
              <w:rPr>
                <w:rFonts w:ascii="Times New Roman" w:eastAsia="Calibri" w:hAnsi="Times New Roman"/>
                <w:b/>
                <w:bCs/>
                <w:noProof/>
                <w:sz w:val="28"/>
                <w:szCs w:val="28"/>
              </w:rPr>
              <w:drawing>
                <wp:inline distT="0" distB="0" distL="0" distR="0" wp14:anchorId="4FF82C72" wp14:editId="7ECDE734">
                  <wp:extent cx="890270" cy="357505"/>
                  <wp:effectExtent l="19050" t="0" r="5080" b="0"/>
                  <wp:docPr id="230" name="Picture 230" descr="Description: 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cbs.gif"/>
                          <pic:cNvPicPr>
                            <a:picLocks noChangeAspect="1" noChangeArrowheads="1"/>
                          </pic:cNvPicPr>
                        </pic:nvPicPr>
                        <pic:blipFill>
                          <a:blip r:embed="rId10" cstate="print"/>
                          <a:srcRect/>
                          <a:stretch>
                            <a:fillRect/>
                          </a:stretch>
                        </pic:blipFill>
                        <pic:spPr bwMode="auto">
                          <a:xfrm>
                            <a:off x="0" y="0"/>
                            <a:ext cx="890270" cy="357505"/>
                          </a:xfrm>
                          <a:prstGeom prst="rect">
                            <a:avLst/>
                          </a:prstGeom>
                          <a:noFill/>
                          <a:ln w="9525">
                            <a:noFill/>
                            <a:miter lim="800000"/>
                            <a:headEnd/>
                            <a:tailEnd/>
                          </a:ln>
                        </pic:spPr>
                      </pic:pic>
                    </a:graphicData>
                  </a:graphic>
                </wp:inline>
              </w:drawing>
            </w:r>
          </w:p>
          <w:p w14:paraId="4C3712B7" w14:textId="77777777" w:rsidR="00FB1314" w:rsidRPr="000D2E4D" w:rsidRDefault="00FB1314" w:rsidP="006F7CF2">
            <w:pPr>
              <w:spacing w:after="0" w:line="240" w:lineRule="auto"/>
              <w:jc w:val="right"/>
              <w:rPr>
                <w:rFonts w:ascii="Times New Roman" w:hAnsi="Times New Roman" w:cs="Times New Roman"/>
                <w:sz w:val="18"/>
                <w:szCs w:val="18"/>
                <w:lang w:val="it-IT"/>
              </w:rPr>
            </w:pPr>
          </w:p>
          <w:p w14:paraId="77D5DD81" w14:textId="3029DBEE" w:rsidR="00FB1314" w:rsidRPr="000D2E4D" w:rsidRDefault="0094223D" w:rsidP="00D84BBE">
            <w:pPr>
              <w:bidi w:val="0"/>
              <w:jc w:val="right"/>
              <w:rPr>
                <w:rFonts w:ascii="Times New Roman" w:hAnsi="Times New Roman" w:cs="Times New Roman"/>
                <w:sz w:val="14"/>
                <w:szCs w:val="14"/>
              </w:rPr>
            </w:pPr>
            <w:r>
              <w:rPr>
                <w:rFonts w:ascii="Times New Roman" w:hAnsi="Times New Roman" w:cs="Times New Roman"/>
                <w:b/>
                <w:bCs/>
                <w:color w:val="000000"/>
                <w:sz w:val="28"/>
                <w:szCs w:val="28"/>
              </w:rPr>
              <w:t>Augest</w:t>
            </w:r>
            <w:r w:rsidR="00FB1314">
              <w:rPr>
                <w:rFonts w:ascii="Times New Roman" w:hAnsi="Times New Roman" w:cs="Times New Roman"/>
                <w:b/>
                <w:bCs/>
                <w:color w:val="000000"/>
                <w:sz w:val="28"/>
                <w:szCs w:val="28"/>
              </w:rPr>
              <w:t xml:space="preserve">, </w:t>
            </w:r>
            <w:r w:rsidR="0069193D">
              <w:rPr>
                <w:rFonts w:ascii="Times New Roman" w:hAnsi="Times New Roman" w:cs="Times New Roman"/>
                <w:b/>
                <w:bCs/>
                <w:color w:val="000000"/>
                <w:sz w:val="28"/>
                <w:szCs w:val="28"/>
              </w:rPr>
              <w:t>2023</w:t>
            </w:r>
          </w:p>
        </w:tc>
      </w:tr>
    </w:tbl>
    <w:p w14:paraId="1F18742A" w14:textId="77777777" w:rsidR="00FB1314" w:rsidRDefault="00FB1314" w:rsidP="00FB1314">
      <w:pPr>
        <w:bidi w:val="0"/>
        <w:spacing w:after="0" w:line="240" w:lineRule="auto"/>
        <w:jc w:val="lowKashida"/>
        <w:rPr>
          <w:rFonts w:ascii="Times New Roman" w:hAnsi="Times New Roman" w:cs="Times New Roman"/>
          <w:color w:val="000000"/>
          <w:sz w:val="24"/>
          <w:szCs w:val="24"/>
        </w:rPr>
      </w:pPr>
    </w:p>
    <w:p w14:paraId="082D40A2" w14:textId="77777777" w:rsidR="00FB1314" w:rsidRDefault="00756DD5" w:rsidP="00FB1314">
      <w:pPr>
        <w:bidi w:val="0"/>
      </w:pPr>
      <w:r>
        <w:rPr>
          <w:rFonts w:cs="Times New Roman"/>
          <w:noProof/>
          <w:sz w:val="24"/>
          <w:szCs w:val="24"/>
        </w:rPr>
        <w:lastRenderedPageBreak/>
        <mc:AlternateContent>
          <mc:Choice Requires="wps">
            <w:drawing>
              <wp:anchor distT="0" distB="0" distL="114300" distR="114300" simplePos="0" relativeHeight="251665920" behindDoc="0" locked="0" layoutInCell="1" allowOverlap="1" wp14:anchorId="3C2BB545" wp14:editId="73D5E9CF">
                <wp:simplePos x="0" y="0"/>
                <wp:positionH relativeFrom="margin">
                  <wp:posOffset>661670</wp:posOffset>
                </wp:positionH>
                <wp:positionV relativeFrom="paragraph">
                  <wp:posOffset>33020</wp:posOffset>
                </wp:positionV>
                <wp:extent cx="4679950" cy="923925"/>
                <wp:effectExtent l="38100" t="38100" r="25400" b="28575"/>
                <wp:wrapNone/>
                <wp:docPr id="12"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923925"/>
                        </a:xfrm>
                        <a:prstGeom prst="rect">
                          <a:avLst/>
                        </a:prstGeom>
                        <a:solidFill>
                          <a:srgbClr val="FFFFFF"/>
                        </a:solidFill>
                        <a:ln w="76200" cmpd="tri">
                          <a:solidFill>
                            <a:srgbClr val="000000"/>
                          </a:solidFill>
                          <a:miter lim="800000"/>
                          <a:headEnd/>
                          <a:tailEnd/>
                        </a:ln>
                      </wps:spPr>
                      <wps:txbx>
                        <w:txbxContent>
                          <w:p w14:paraId="3798A05A" w14:textId="77777777" w:rsidR="00BF33DF" w:rsidRPr="00283CCB" w:rsidRDefault="00BF33DF" w:rsidP="00FB1314">
                            <w:pPr>
                              <w:pStyle w:val="BodyText2"/>
                              <w:bidi w:val="0"/>
                              <w:spacing w:line="240" w:lineRule="auto"/>
                              <w:ind w:left="90"/>
                              <w:rPr>
                                <w:rFonts w:asciiTheme="majorBidi" w:hAnsiTheme="majorBidi" w:cstheme="majorBidi"/>
                                <w:b/>
                                <w:bCs/>
                                <w:color w:val="000000" w:themeColor="text1"/>
                                <w:sz w:val="30"/>
                                <w:szCs w:val="30"/>
                                <w:lang w:val="en-AU"/>
                              </w:rPr>
                            </w:pPr>
                            <w:r w:rsidRPr="00283CCB">
                              <w:rPr>
                                <w:rFonts w:asciiTheme="majorBidi" w:hAnsiTheme="majorBidi" w:cstheme="majorBidi"/>
                                <w:b/>
                                <w:bCs/>
                                <w:color w:val="000000" w:themeColor="text1"/>
                                <w:sz w:val="30"/>
                                <w:szCs w:val="30"/>
                              </w:rPr>
                              <w:t>This doc</w:t>
                            </w:r>
                            <w:r w:rsidRPr="00283CCB">
                              <w:rPr>
                                <w:rFonts w:asciiTheme="majorBidi" w:hAnsiTheme="majorBidi" w:cstheme="majorBidi"/>
                                <w:b/>
                                <w:bCs/>
                                <w:color w:val="000000" w:themeColor="text1"/>
                                <w:sz w:val="32"/>
                                <w:szCs w:val="32"/>
                              </w:rPr>
                              <w:t xml:space="preserve">ument is prepared in accordance with the standard procedures </w:t>
                            </w:r>
                            <w:r w:rsidRPr="00283CCB">
                              <w:rPr>
                                <w:rFonts w:asciiTheme="majorBidi" w:hAnsiTheme="majorBidi" w:cstheme="majorBidi"/>
                                <w:b/>
                                <w:bCs/>
                                <w:color w:val="000000" w:themeColor="text1"/>
                                <w:sz w:val="30"/>
                                <w:szCs w:val="30"/>
                              </w:rPr>
                              <w:t>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2BB545" id="_x0000_t202" coordsize="21600,21600" o:spt="202" path="m,l,21600r21600,l21600,xe">
                <v:stroke joinstyle="miter"/>
                <v:path gradientshapeok="t" o:connecttype="rect"/>
              </v:shapetype>
              <v:shape id="Text Box 228" o:spid="_x0000_s1026" type="#_x0000_t202" style="position:absolute;margin-left:52.1pt;margin-top:2.6pt;width:368.5pt;height:72.75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" strokeweight="6pt">
                <v:stroke linestyle="thickBetweenThin"/>
                <v:textbox>
                  <w:txbxContent>
                    <w:p w14:paraId="3798A05A" w14:textId="77777777" w:rsidR="00BF33DF" w:rsidRPr="00283CCB" w:rsidRDefault="00BF33DF" w:rsidP="00FB1314">
                      <w:pPr>
                        <w:pStyle w:val="BodyText2"/>
                        <w:bidi w:val="0"/>
                        <w:spacing w:line="240" w:lineRule="auto"/>
                        <w:ind w:left="90"/>
                        <w:rPr>
                          <w:rFonts w:asciiTheme="majorBidi" w:hAnsiTheme="majorBidi" w:cstheme="majorBidi"/>
                          <w:b/>
                          <w:bCs/>
                          <w:color w:val="000000" w:themeColor="text1"/>
                          <w:sz w:val="30"/>
                          <w:szCs w:val="30"/>
                          <w:lang w:val="en-AU"/>
                        </w:rPr>
                      </w:pPr>
                      <w:r w:rsidRPr="00283CCB">
                        <w:rPr>
                          <w:rFonts w:asciiTheme="majorBidi" w:hAnsiTheme="majorBidi" w:cstheme="majorBidi"/>
                          <w:b/>
                          <w:bCs/>
                          <w:color w:val="000000" w:themeColor="text1"/>
                          <w:sz w:val="30"/>
                          <w:szCs w:val="30"/>
                        </w:rPr>
                        <w:t>This doc</w:t>
                      </w:r>
                      <w:r w:rsidRPr="00283CCB">
                        <w:rPr>
                          <w:rFonts w:asciiTheme="majorBidi" w:hAnsiTheme="majorBidi" w:cstheme="majorBidi"/>
                          <w:b/>
                          <w:bCs/>
                          <w:color w:val="000000" w:themeColor="text1"/>
                          <w:sz w:val="32"/>
                          <w:szCs w:val="32"/>
                        </w:rPr>
                        <w:t xml:space="preserve">ument is prepared in accordance with the standard procedures </w:t>
                      </w:r>
                      <w:r w:rsidRPr="00283CCB">
                        <w:rPr>
                          <w:rFonts w:asciiTheme="majorBidi" w:hAnsiTheme="majorBidi" w:cstheme="majorBidi"/>
                          <w:b/>
                          <w:bCs/>
                          <w:color w:val="000000" w:themeColor="text1"/>
                          <w:sz w:val="30"/>
                          <w:szCs w:val="30"/>
                        </w:rPr>
                        <w:t>stated in the Code of Practice for Palestine Official Statistics 2006</w:t>
                      </w:r>
                    </w:p>
                  </w:txbxContent>
                </v:textbox>
                <w10:wrap anchorx="margin"/>
              </v:shape>
            </w:pict>
          </mc:Fallback>
        </mc:AlternateContent>
      </w:r>
    </w:p>
    <w:p w14:paraId="4B15445E" w14:textId="77777777" w:rsidR="00FB1314" w:rsidRDefault="00FB1314" w:rsidP="00FB1314">
      <w:pPr>
        <w:bidi w:val="0"/>
      </w:pPr>
    </w:p>
    <w:p w14:paraId="09ECA8DD" w14:textId="77777777" w:rsidR="00FB1314" w:rsidRDefault="00FB1314" w:rsidP="00FB1314">
      <w:pPr>
        <w:bidi w:val="0"/>
      </w:pPr>
    </w:p>
    <w:p w14:paraId="5716CA2D" w14:textId="77777777" w:rsidR="00FB1314" w:rsidRDefault="00FB1314" w:rsidP="00FB1314">
      <w:pPr>
        <w:bidi w:val="0"/>
      </w:pPr>
    </w:p>
    <w:p w14:paraId="2056FA6A" w14:textId="77777777" w:rsidR="00FB1314" w:rsidRDefault="00FB1314" w:rsidP="00FB1314">
      <w:pPr>
        <w:bidi w:val="0"/>
      </w:pPr>
    </w:p>
    <w:p w14:paraId="43D174B9" w14:textId="77777777" w:rsidR="00FB1314" w:rsidRDefault="00FB1314" w:rsidP="00FB1314">
      <w:pPr>
        <w:bidi w:val="0"/>
      </w:pPr>
    </w:p>
    <w:p w14:paraId="5577AA3B" w14:textId="77777777" w:rsidR="00FB1314" w:rsidRDefault="00FB1314" w:rsidP="00FB1314">
      <w:pPr>
        <w:bidi w:val="0"/>
      </w:pPr>
    </w:p>
    <w:p w14:paraId="6ACA8F25" w14:textId="77777777" w:rsidR="00FB1314" w:rsidRDefault="00FB1314" w:rsidP="00FB1314">
      <w:pPr>
        <w:bidi w:val="0"/>
      </w:pPr>
    </w:p>
    <w:p w14:paraId="77E265FD" w14:textId="77777777" w:rsidR="00FB1314" w:rsidRDefault="00FB1314" w:rsidP="00FB1314">
      <w:pPr>
        <w:bidi w:val="0"/>
      </w:pPr>
    </w:p>
    <w:p w14:paraId="436F9C50" w14:textId="77777777" w:rsidR="00FB1314" w:rsidRDefault="00FB1314" w:rsidP="00FB1314">
      <w:pPr>
        <w:bidi w:val="0"/>
      </w:pPr>
    </w:p>
    <w:p w14:paraId="2BCC7737" w14:textId="77777777" w:rsidR="00FB1314" w:rsidRDefault="00FB1314" w:rsidP="00FB1314">
      <w:pPr>
        <w:bidi w:val="0"/>
      </w:pPr>
    </w:p>
    <w:p w14:paraId="5E063DC3" w14:textId="77777777" w:rsidR="00FB1314" w:rsidRDefault="00FB1314" w:rsidP="00FB1314">
      <w:pPr>
        <w:bidi w:val="0"/>
      </w:pPr>
    </w:p>
    <w:p w14:paraId="307C584E" w14:textId="77777777" w:rsidR="00FB1314" w:rsidRDefault="00FB1314" w:rsidP="00FB1314">
      <w:pPr>
        <w:bidi w:val="0"/>
      </w:pPr>
    </w:p>
    <w:p w14:paraId="2D54627B" w14:textId="77777777" w:rsidR="00FB1314" w:rsidRDefault="00FB1314" w:rsidP="00FB1314">
      <w:pPr>
        <w:bidi w:val="0"/>
      </w:pPr>
    </w:p>
    <w:p w14:paraId="1952E0BA" w14:textId="77777777" w:rsidR="00FB1314" w:rsidRDefault="00FB1314" w:rsidP="00FB1314">
      <w:pPr>
        <w:bidi w:val="0"/>
      </w:pPr>
    </w:p>
    <w:p w14:paraId="1B840375" w14:textId="77777777" w:rsidR="00FB1314" w:rsidRDefault="00FB1314" w:rsidP="00FB1314">
      <w:pPr>
        <w:bidi w:val="0"/>
      </w:pPr>
    </w:p>
    <w:p w14:paraId="328568B6" w14:textId="77777777" w:rsidR="00FB1314" w:rsidRDefault="00FB1314" w:rsidP="00FB1314">
      <w:pPr>
        <w:bidi w:val="0"/>
      </w:pPr>
    </w:p>
    <w:p w14:paraId="430ED35A" w14:textId="373F0106" w:rsidR="00FB1314" w:rsidRPr="00283CCB" w:rsidRDefault="00FB1314" w:rsidP="0094223D">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sym w:font="Symbol" w:char="F0D3"/>
      </w:r>
      <w:r w:rsidR="0094223D">
        <w:rPr>
          <w:rFonts w:asciiTheme="majorBidi" w:hAnsiTheme="majorBidi" w:cstheme="majorBidi"/>
          <w:sz w:val="20"/>
          <w:szCs w:val="20"/>
        </w:rPr>
        <w:t>Augest</w:t>
      </w:r>
      <w:r w:rsidRPr="00283CCB">
        <w:rPr>
          <w:rFonts w:asciiTheme="majorBidi" w:hAnsiTheme="majorBidi" w:cstheme="majorBidi"/>
          <w:sz w:val="20"/>
          <w:szCs w:val="20"/>
        </w:rPr>
        <w:t>,</w:t>
      </w:r>
      <w:r w:rsidR="0094223D">
        <w:rPr>
          <w:rFonts w:asciiTheme="majorBidi" w:hAnsiTheme="majorBidi" w:cstheme="majorBidi"/>
          <w:sz w:val="20"/>
          <w:szCs w:val="20"/>
        </w:rPr>
        <w:t xml:space="preserve"> </w:t>
      </w:r>
      <w:r w:rsidR="0069193D">
        <w:rPr>
          <w:rFonts w:asciiTheme="majorBidi" w:hAnsiTheme="majorBidi" w:cstheme="majorBidi"/>
          <w:sz w:val="20"/>
          <w:szCs w:val="20"/>
        </w:rPr>
        <w:t>2023</w:t>
      </w:r>
    </w:p>
    <w:p w14:paraId="2ACEF73E"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All Rights Reserved.</w:t>
      </w:r>
    </w:p>
    <w:p w14:paraId="60EFCD4E" w14:textId="77777777" w:rsidR="00FB1314" w:rsidRPr="00283CCB" w:rsidRDefault="00FB1314" w:rsidP="00FB1314">
      <w:pPr>
        <w:bidi w:val="0"/>
        <w:rPr>
          <w:rFonts w:cs="Times New Roman"/>
          <w:b/>
          <w:bCs/>
          <w:sz w:val="4"/>
          <w:szCs w:val="4"/>
        </w:rPr>
      </w:pPr>
    </w:p>
    <w:p w14:paraId="6AA4039F" w14:textId="77777777" w:rsidR="00FB1314" w:rsidRPr="00283CCB" w:rsidRDefault="00FB1314" w:rsidP="00FB1314">
      <w:pPr>
        <w:bidi w:val="0"/>
        <w:rPr>
          <w:rFonts w:cs="Times New Roman"/>
          <w:b/>
          <w:bCs/>
        </w:rPr>
      </w:pPr>
      <w:r>
        <w:rPr>
          <w:rFonts w:cs="Times New Roman"/>
          <w:b/>
          <w:bCs/>
        </w:rPr>
        <w:t>Citation:</w:t>
      </w:r>
    </w:p>
    <w:p w14:paraId="312BE63F" w14:textId="77777777" w:rsidR="00FB1314" w:rsidRPr="00283CCB" w:rsidRDefault="00FB1314" w:rsidP="0069193D">
      <w:pPr>
        <w:bidi w:val="0"/>
        <w:spacing w:after="0" w:line="240" w:lineRule="auto"/>
        <w:rPr>
          <w:rFonts w:asciiTheme="majorBidi" w:hAnsiTheme="majorBidi" w:cstheme="majorBidi"/>
          <w:sz w:val="24"/>
          <w:szCs w:val="24"/>
        </w:rPr>
      </w:pPr>
      <w:r w:rsidRPr="00283CCB">
        <w:rPr>
          <w:rFonts w:asciiTheme="majorBidi" w:hAnsiTheme="majorBidi" w:cstheme="majorBidi"/>
          <w:b/>
          <w:bCs/>
          <w:sz w:val="24"/>
          <w:szCs w:val="24"/>
        </w:rPr>
        <w:t xml:space="preserve">Palestinian Central Bureau of Statistics, </w:t>
      </w:r>
      <w:r w:rsidR="0069193D">
        <w:rPr>
          <w:rFonts w:asciiTheme="majorBidi" w:hAnsiTheme="majorBidi" w:cstheme="majorBidi"/>
          <w:b/>
          <w:bCs/>
          <w:sz w:val="24"/>
          <w:szCs w:val="24"/>
        </w:rPr>
        <w:t>2023</w:t>
      </w:r>
      <w:r w:rsidRPr="00283CCB">
        <w:rPr>
          <w:rFonts w:asciiTheme="majorBidi" w:hAnsiTheme="majorBidi" w:cstheme="majorBidi"/>
          <w:sz w:val="24"/>
          <w:szCs w:val="24"/>
        </w:rPr>
        <w:t xml:space="preserve">. Sustainable Development Goals Statistical Report, </w:t>
      </w:r>
      <w:r w:rsidR="0069193D">
        <w:rPr>
          <w:rFonts w:asciiTheme="majorBidi" w:hAnsiTheme="majorBidi" w:cstheme="majorBidi"/>
          <w:sz w:val="24"/>
          <w:szCs w:val="24"/>
        </w:rPr>
        <w:t>2022</w:t>
      </w:r>
      <w:r w:rsidRPr="00283CCB">
        <w:rPr>
          <w:rFonts w:asciiTheme="majorBidi" w:hAnsiTheme="majorBidi" w:cstheme="majorBidi"/>
          <w:sz w:val="24"/>
          <w:szCs w:val="24"/>
        </w:rPr>
        <w:t xml:space="preserve">. </w:t>
      </w:r>
      <w:r w:rsidRPr="00283CCB">
        <w:rPr>
          <w:rFonts w:asciiTheme="majorBidi" w:hAnsiTheme="majorBidi" w:cstheme="majorBidi"/>
          <w:b/>
          <w:bCs/>
          <w:sz w:val="24"/>
          <w:szCs w:val="24"/>
        </w:rPr>
        <w:t>Ramallah – Palestine.</w:t>
      </w:r>
    </w:p>
    <w:p w14:paraId="7C2CBF8C" w14:textId="77777777" w:rsidR="00FB1314" w:rsidRDefault="00FB1314" w:rsidP="00FB1314">
      <w:pPr>
        <w:rPr>
          <w:sz w:val="20"/>
          <w:szCs w:val="20"/>
        </w:rPr>
      </w:pPr>
    </w:p>
    <w:p w14:paraId="5BBD54B2"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All correspondence shouldbe directed to</w:t>
      </w:r>
      <w:r w:rsidRPr="00283CCB">
        <w:rPr>
          <w:rFonts w:asciiTheme="majorBidi" w:hAnsiTheme="majorBidi" w:cstheme="majorBidi"/>
          <w:sz w:val="20"/>
          <w:szCs w:val="20"/>
          <w:rtl/>
        </w:rPr>
        <w:t>:</w:t>
      </w:r>
    </w:p>
    <w:p w14:paraId="09670DCE" w14:textId="77777777" w:rsidR="00FB1314" w:rsidRPr="00283CCB" w:rsidRDefault="00FB1314" w:rsidP="00FB1314">
      <w:pPr>
        <w:bidi w:val="0"/>
        <w:spacing w:after="0" w:line="240" w:lineRule="auto"/>
        <w:rPr>
          <w:rFonts w:asciiTheme="majorBidi" w:hAnsiTheme="majorBidi" w:cstheme="majorBidi"/>
          <w:b/>
          <w:bCs/>
          <w:sz w:val="20"/>
          <w:szCs w:val="20"/>
        </w:rPr>
      </w:pPr>
      <w:r w:rsidRPr="00283CCB">
        <w:rPr>
          <w:rFonts w:asciiTheme="majorBidi" w:hAnsiTheme="majorBidi" w:cstheme="majorBidi"/>
          <w:b/>
          <w:bCs/>
          <w:sz w:val="20"/>
          <w:szCs w:val="20"/>
        </w:rPr>
        <w:t>Palestinian Central Bureau of Statistics</w:t>
      </w:r>
    </w:p>
    <w:p w14:paraId="518942D8" w14:textId="77777777" w:rsidR="00FB1314" w:rsidRPr="00283CCB" w:rsidRDefault="00FB1314" w:rsidP="00FB1314">
      <w:pPr>
        <w:bidi w:val="0"/>
        <w:spacing w:after="0" w:line="240" w:lineRule="auto"/>
        <w:rPr>
          <w:rFonts w:asciiTheme="majorBidi" w:hAnsiTheme="majorBidi" w:cstheme="majorBidi"/>
          <w:b/>
          <w:bCs/>
          <w:sz w:val="20"/>
          <w:szCs w:val="20"/>
        </w:rPr>
      </w:pPr>
      <w:r w:rsidRPr="00283CCB">
        <w:rPr>
          <w:rFonts w:asciiTheme="majorBidi" w:hAnsiTheme="majorBidi" w:cstheme="majorBidi"/>
          <w:b/>
          <w:bCs/>
          <w:sz w:val="20"/>
          <w:szCs w:val="20"/>
        </w:rPr>
        <w:t xml:space="preserve">P. O. Box 1647, Ramallah P6028179 – Palestine. </w:t>
      </w:r>
    </w:p>
    <w:p w14:paraId="19D63C5A"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Tel.: (970/972) 2 2982700</w:t>
      </w:r>
    </w:p>
    <w:p w14:paraId="4AD6010B"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Fax: (970/972) 2 2982710</w:t>
      </w:r>
    </w:p>
    <w:p w14:paraId="0EF2CD41"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Toll Free: 1800300300</w:t>
      </w:r>
    </w:p>
    <w:p w14:paraId="13B8EA51" w14:textId="77777777" w:rsidR="00FB1314" w:rsidRPr="00283CCB" w:rsidRDefault="00FB1314" w:rsidP="00FB1314">
      <w:pPr>
        <w:bidi w:val="0"/>
        <w:spacing w:after="0" w:line="240" w:lineRule="auto"/>
        <w:rPr>
          <w:rFonts w:asciiTheme="majorBidi" w:hAnsiTheme="majorBidi" w:cstheme="majorBidi"/>
          <w:sz w:val="20"/>
          <w:szCs w:val="20"/>
          <w:rtl/>
        </w:rPr>
      </w:pPr>
      <w:r w:rsidRPr="00283CCB">
        <w:rPr>
          <w:rFonts w:asciiTheme="majorBidi" w:hAnsiTheme="majorBidi" w:cstheme="majorBidi"/>
          <w:sz w:val="20"/>
          <w:szCs w:val="20"/>
        </w:rPr>
        <w:t>Email: diwan@pcbs.gov.ps</w:t>
      </w:r>
    </w:p>
    <w:p w14:paraId="3801E5A4" w14:textId="77777777" w:rsidR="00FB1314" w:rsidRPr="00283CCB" w:rsidRDefault="00FB1314" w:rsidP="00FB1314">
      <w:pPr>
        <w:bidi w:val="0"/>
        <w:spacing w:after="0" w:line="240" w:lineRule="auto"/>
        <w:jc w:val="lowKashida"/>
        <w:rPr>
          <w:rFonts w:asciiTheme="majorBidi" w:hAnsiTheme="majorBidi" w:cstheme="majorBidi"/>
          <w:sz w:val="20"/>
          <w:szCs w:val="20"/>
        </w:rPr>
      </w:pPr>
      <w:r w:rsidRPr="00283CCB">
        <w:rPr>
          <w:rFonts w:asciiTheme="majorBidi" w:hAnsiTheme="majorBidi" w:cstheme="majorBidi"/>
          <w:sz w:val="20"/>
          <w:szCs w:val="20"/>
        </w:rPr>
        <w:t xml:space="preserve">Website: </w:t>
      </w:r>
      <w:hyperlink r:id="rId11" w:history="1">
        <w:r w:rsidRPr="00283CCB">
          <w:rPr>
            <w:rStyle w:val="Hyperlink"/>
            <w:rFonts w:asciiTheme="majorBidi" w:hAnsiTheme="majorBidi" w:cstheme="majorBidi"/>
            <w:sz w:val="20"/>
            <w:szCs w:val="20"/>
          </w:rPr>
          <w:t>http://www.pcbs.gov.ps</w:t>
        </w:r>
      </w:hyperlink>
    </w:p>
    <w:p w14:paraId="3BD3919B" w14:textId="08FA153A" w:rsidR="00FB1314" w:rsidRPr="00726E04" w:rsidRDefault="00FB1314" w:rsidP="00D84BBE">
      <w:pPr>
        <w:bidi w:val="0"/>
        <w:ind w:firstLine="6804"/>
        <w:jc w:val="lowKashida"/>
        <w:rPr>
          <w:b/>
          <w:bCs/>
        </w:rPr>
      </w:pPr>
      <w:r>
        <w:rPr>
          <w:b/>
          <w:bCs/>
        </w:rPr>
        <w:t>Reference ID:</w:t>
      </w:r>
      <w:r w:rsidR="00726E04" w:rsidRPr="00726E04">
        <w:rPr>
          <w:b/>
          <w:bCs/>
        </w:rPr>
        <w:t xml:space="preserve"> </w:t>
      </w:r>
      <w:r w:rsidR="0094223D">
        <w:rPr>
          <w:b/>
          <w:bCs/>
        </w:rPr>
        <w:t>2676</w:t>
      </w:r>
    </w:p>
    <w:p w14:paraId="3E85B6A8" w14:textId="77777777" w:rsidR="00FB1314" w:rsidRDefault="00FB1314" w:rsidP="00FB1314">
      <w:pPr>
        <w:tabs>
          <w:tab w:val="left" w:pos="1035"/>
        </w:tabs>
        <w:bidi w:val="0"/>
        <w:rPr>
          <w:rFonts w:cs="Times New Roman"/>
        </w:rPr>
      </w:pPr>
    </w:p>
    <w:p w14:paraId="2ABD3295" w14:textId="77777777" w:rsidR="00FB1314" w:rsidRPr="000D2E4D" w:rsidRDefault="00FB1314" w:rsidP="00FB1314">
      <w:pPr>
        <w:bidi w:val="0"/>
        <w:spacing w:after="0" w:line="240" w:lineRule="auto"/>
        <w:jc w:val="lowKashida"/>
        <w:rPr>
          <w:rFonts w:ascii="Times New Roman" w:hAnsi="Times New Roman" w:cs="Times New Roman"/>
          <w:color w:val="000000"/>
          <w:sz w:val="24"/>
          <w:szCs w:val="24"/>
        </w:rPr>
      </w:pPr>
      <w:r w:rsidRPr="003D44E4">
        <w:rPr>
          <w:rFonts w:ascii="Times New Roman" w:hAnsi="Times New Roman" w:cs="Times New Roman"/>
          <w:noProof/>
          <w:color w:val="000000"/>
          <w:sz w:val="24"/>
          <w:szCs w:val="24"/>
        </w:rPr>
        <w:lastRenderedPageBreak/>
        <w:drawing>
          <wp:inline distT="0" distB="0" distL="0" distR="0" wp14:anchorId="7077B0EB" wp14:editId="3ACB17FD">
            <wp:extent cx="5759450" cy="8138669"/>
            <wp:effectExtent l="0" t="0" r="0" b="0"/>
            <wp:docPr id="231" name="Picture 231" descr="C:\Users\lamro\lara\تكليفات\Forms\الخرائط\Palestine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mro\lara\تكليفات\Forms\الخرائط\Palestine_E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8138669"/>
                    </a:xfrm>
                    <a:prstGeom prst="rect">
                      <a:avLst/>
                    </a:prstGeom>
                    <a:noFill/>
                    <a:ln>
                      <a:noFill/>
                    </a:ln>
                  </pic:spPr>
                </pic:pic>
              </a:graphicData>
            </a:graphic>
          </wp:inline>
        </w:drawing>
      </w:r>
    </w:p>
    <w:p w14:paraId="374A5905"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r>
        <w:rPr>
          <w:rFonts w:ascii="Times New Roman" w:hAnsi="Times New Roman" w:cs="Times New Roman"/>
          <w:b/>
          <w:bCs/>
          <w:color w:val="000000"/>
          <w:sz w:val="28"/>
          <w:szCs w:val="28"/>
          <w:lang w:val="it-IT"/>
        </w:rPr>
        <w:br w:type="page"/>
      </w:r>
    </w:p>
    <w:p w14:paraId="3A45D4F5" w14:textId="77777777" w:rsidR="00FB1314" w:rsidRDefault="00FB1314" w:rsidP="00FB1314">
      <w:pPr>
        <w:bidi w:val="0"/>
        <w:spacing w:after="0" w:line="240" w:lineRule="auto"/>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lastRenderedPageBreak/>
        <w:br w:type="page"/>
      </w:r>
    </w:p>
    <w:p w14:paraId="24078110" w14:textId="77777777" w:rsidR="00FB1314" w:rsidRPr="00C8218F" w:rsidRDefault="00FB1314" w:rsidP="00FB1314">
      <w:pPr>
        <w:bidi w:val="0"/>
        <w:jc w:val="center"/>
        <w:rPr>
          <w:rFonts w:asciiTheme="majorBidi" w:hAnsiTheme="majorBidi" w:cstheme="majorBidi"/>
          <w:b/>
          <w:bCs/>
          <w:color w:val="000000" w:themeColor="text1"/>
          <w:sz w:val="28"/>
          <w:szCs w:val="28"/>
        </w:rPr>
      </w:pPr>
      <w:r w:rsidRPr="00C8218F">
        <w:rPr>
          <w:rFonts w:asciiTheme="majorBidi" w:hAnsiTheme="majorBidi" w:cstheme="majorBidi"/>
          <w:b/>
          <w:bCs/>
          <w:color w:val="000000" w:themeColor="text1"/>
          <w:sz w:val="28"/>
          <w:szCs w:val="28"/>
        </w:rPr>
        <w:lastRenderedPageBreak/>
        <w:t>Acknowledgment</w:t>
      </w:r>
    </w:p>
    <w:p w14:paraId="4EEF1648"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536AF55" w14:textId="77777777" w:rsidR="00FB1314" w:rsidRDefault="00FB1314" w:rsidP="00FB1314">
      <w:pPr>
        <w:bidi w:val="0"/>
        <w:rPr>
          <w:rFonts w:ascii="Times New Roman" w:hAnsi="Times New Roman" w:cs="Times New Roman"/>
          <w:b/>
          <w:bCs/>
          <w:sz w:val="28"/>
          <w:szCs w:val="28"/>
        </w:rPr>
      </w:pPr>
    </w:p>
    <w:p w14:paraId="5DF12E49" w14:textId="77777777" w:rsidR="00FB1314" w:rsidRPr="00C8218F" w:rsidRDefault="00FB1314" w:rsidP="00FB1314">
      <w:pPr>
        <w:bidi w:val="0"/>
        <w:spacing w:after="0"/>
        <w:jc w:val="both"/>
        <w:rPr>
          <w:rFonts w:ascii="Times New Roman" w:eastAsia="Calibri" w:hAnsi="Times New Roman" w:cs="Times New Roman"/>
          <w:b/>
          <w:bCs/>
          <w:color w:val="000000" w:themeColor="text1"/>
          <w:sz w:val="24"/>
          <w:szCs w:val="24"/>
        </w:rPr>
      </w:pPr>
      <w:r w:rsidRPr="00C8218F">
        <w:rPr>
          <w:rFonts w:ascii="Times New Roman" w:eastAsia="Calibri" w:hAnsi="Times New Roman" w:cs="Times New Roman"/>
          <w:b/>
          <w:bCs/>
          <w:color w:val="000000" w:themeColor="text1"/>
          <w:sz w:val="24"/>
          <w:szCs w:val="24"/>
        </w:rPr>
        <w:t>The Palestinian Central Bureau of Statistics (PCBS) extends its appreciation to all those who contributed to the success of this report, and for their dedication and commitment to their work.</w:t>
      </w:r>
    </w:p>
    <w:p w14:paraId="0889A1A1" w14:textId="77777777" w:rsidR="00FB1314" w:rsidRPr="00C8218F" w:rsidRDefault="00FB1314" w:rsidP="00FB1314">
      <w:pPr>
        <w:bidi w:val="0"/>
        <w:spacing w:after="0"/>
        <w:jc w:val="both"/>
        <w:rPr>
          <w:rFonts w:ascii="Times New Roman" w:eastAsia="Calibri" w:hAnsi="Times New Roman" w:cs="Times New Roman"/>
          <w:b/>
          <w:bCs/>
          <w:color w:val="000000" w:themeColor="text1"/>
          <w:sz w:val="24"/>
          <w:szCs w:val="24"/>
        </w:rPr>
      </w:pPr>
    </w:p>
    <w:p w14:paraId="230A61AD" w14:textId="77777777" w:rsidR="00FB1314" w:rsidRPr="00C8218F" w:rsidRDefault="00FB1314" w:rsidP="00FB1314">
      <w:pPr>
        <w:bidi w:val="0"/>
        <w:spacing w:after="0"/>
        <w:jc w:val="both"/>
        <w:rPr>
          <w:rFonts w:ascii="Times New Roman" w:eastAsia="Calibri" w:hAnsi="Times New Roman" w:cs="Times New Roman"/>
          <w:b/>
          <w:bCs/>
          <w:color w:val="000000" w:themeColor="text1"/>
          <w:sz w:val="24"/>
          <w:szCs w:val="24"/>
        </w:rPr>
      </w:pPr>
      <w:r w:rsidRPr="00C8218F">
        <w:rPr>
          <w:rFonts w:ascii="Times New Roman" w:eastAsia="Calibri" w:hAnsi="Times New Roman" w:cs="Times New Roman"/>
          <w:b/>
          <w:bCs/>
          <w:color w:val="000000" w:themeColor="text1"/>
          <w:sz w:val="24"/>
          <w:szCs w:val="24"/>
        </w:rPr>
        <w:t xml:space="preserve">This report was prepared by a technical team from PCBS in cooperation with the Italian National Institute of Statistics (Istat) under the mutual MoU, which is supported by the Italian Agency </w:t>
      </w:r>
      <w:r>
        <w:rPr>
          <w:rFonts w:ascii="Times New Roman" w:eastAsia="Calibri" w:hAnsi="Times New Roman" w:cs="Times New Roman"/>
          <w:b/>
          <w:bCs/>
          <w:color w:val="000000" w:themeColor="text1"/>
          <w:sz w:val="24"/>
          <w:szCs w:val="24"/>
        </w:rPr>
        <w:t>f</w:t>
      </w:r>
      <w:r w:rsidRPr="00C8218F">
        <w:rPr>
          <w:rFonts w:ascii="Times New Roman" w:eastAsia="Calibri" w:hAnsi="Times New Roman" w:cs="Times New Roman"/>
          <w:b/>
          <w:bCs/>
          <w:color w:val="000000" w:themeColor="text1"/>
          <w:sz w:val="24"/>
          <w:szCs w:val="24"/>
        </w:rPr>
        <w:t>or Development Cooperation (AICS).</w:t>
      </w:r>
    </w:p>
    <w:p w14:paraId="6051E890" w14:textId="77777777" w:rsidR="00FB1314" w:rsidRPr="00C8218F" w:rsidRDefault="00FB1314" w:rsidP="00FB1314">
      <w:pPr>
        <w:autoSpaceDE w:val="0"/>
        <w:autoSpaceDN w:val="0"/>
        <w:bidi w:val="0"/>
        <w:adjustRightInd w:val="0"/>
        <w:spacing w:after="0"/>
        <w:jc w:val="both"/>
        <w:rPr>
          <w:rFonts w:ascii="Times New Roman" w:eastAsia="Calibri" w:hAnsi="Times New Roman" w:cs="Times New Roman"/>
          <w:b/>
          <w:bCs/>
          <w:color w:val="000000" w:themeColor="text1"/>
          <w:sz w:val="24"/>
          <w:szCs w:val="24"/>
          <w:rtl/>
        </w:rPr>
      </w:pPr>
    </w:p>
    <w:p w14:paraId="4153B76D" w14:textId="77777777" w:rsidR="00FB1314" w:rsidRPr="00C8218F" w:rsidRDefault="00FB1314" w:rsidP="00FB1314">
      <w:pPr>
        <w:bidi w:val="0"/>
        <w:jc w:val="lowKashida"/>
        <w:rPr>
          <w:rFonts w:ascii="Times New Roman" w:eastAsia="Calibri" w:hAnsi="Times New Roman" w:cs="Times New Roman"/>
          <w:b/>
          <w:bCs/>
          <w:color w:val="000000" w:themeColor="text1"/>
          <w:sz w:val="24"/>
          <w:szCs w:val="24"/>
        </w:rPr>
      </w:pPr>
      <w:r w:rsidRPr="00C8218F">
        <w:rPr>
          <w:rFonts w:ascii="Times New Roman" w:eastAsia="Calibri" w:hAnsi="Times New Roman" w:cs="Times New Roman"/>
          <w:b/>
          <w:bCs/>
          <w:color w:val="000000" w:themeColor="text1"/>
          <w:sz w:val="24"/>
          <w:szCs w:val="24"/>
        </w:rPr>
        <w:t xml:space="preserve">PCBSalso extends its sincere gratitude and appreciation for the distinctive efforts </w:t>
      </w:r>
      <w:r>
        <w:rPr>
          <w:rFonts w:ascii="Times New Roman" w:eastAsia="Calibri" w:hAnsi="Times New Roman" w:cs="Times New Roman"/>
          <w:b/>
          <w:bCs/>
          <w:color w:val="000000" w:themeColor="text1"/>
          <w:sz w:val="24"/>
          <w:szCs w:val="24"/>
        </w:rPr>
        <w:t>of</w:t>
      </w:r>
      <w:r w:rsidRPr="00C8218F">
        <w:rPr>
          <w:rFonts w:ascii="Times New Roman" w:eastAsia="Calibri" w:hAnsi="Times New Roman" w:cs="Times New Roman"/>
          <w:b/>
          <w:bCs/>
          <w:color w:val="000000" w:themeColor="text1"/>
          <w:sz w:val="24"/>
          <w:szCs w:val="24"/>
        </w:rPr>
        <w:t xml:space="preserve"> the Core Funding Group (CFG) for their valuable contribution to funding this report. </w:t>
      </w:r>
    </w:p>
    <w:p w14:paraId="43B0A5A4" w14:textId="77777777" w:rsidR="00FB1314" w:rsidRPr="00C8218F" w:rsidRDefault="00FB1314" w:rsidP="00FB1314">
      <w:pPr>
        <w:autoSpaceDE w:val="0"/>
        <w:autoSpaceDN w:val="0"/>
        <w:bidi w:val="0"/>
        <w:adjustRightInd w:val="0"/>
        <w:spacing w:after="0"/>
        <w:jc w:val="both"/>
        <w:rPr>
          <w:rFonts w:ascii="Times New Roman" w:eastAsia="Calibri" w:hAnsi="Times New Roman" w:cs="Times New Roman"/>
          <w:b/>
          <w:bCs/>
          <w:color w:val="000000" w:themeColor="text1"/>
          <w:sz w:val="24"/>
          <w:szCs w:val="24"/>
          <w:rtl/>
        </w:rPr>
      </w:pPr>
    </w:p>
    <w:p w14:paraId="6ACF64A2" w14:textId="77777777" w:rsidR="00FB1314" w:rsidRPr="00C8218F" w:rsidRDefault="00FB1314" w:rsidP="00FB1314">
      <w:pPr>
        <w:autoSpaceDE w:val="0"/>
        <w:autoSpaceDN w:val="0"/>
        <w:bidi w:val="0"/>
        <w:adjustRightInd w:val="0"/>
        <w:spacing w:after="0"/>
        <w:jc w:val="both"/>
        <w:rPr>
          <w:rFonts w:ascii="Times New Roman" w:eastAsia="Calibri" w:hAnsi="Times New Roman" w:cs="Times New Roman"/>
          <w:b/>
          <w:bCs/>
          <w:color w:val="000000" w:themeColor="text1"/>
          <w:sz w:val="24"/>
          <w:szCs w:val="24"/>
        </w:rPr>
      </w:pPr>
    </w:p>
    <w:p w14:paraId="315495CF" w14:textId="77777777" w:rsidR="00FB1314" w:rsidRPr="006C13F1" w:rsidRDefault="00FB1314" w:rsidP="00FB1314">
      <w:pPr>
        <w:bidi w:val="0"/>
        <w:spacing w:after="0" w:line="240" w:lineRule="auto"/>
        <w:rPr>
          <w:rFonts w:ascii="Times New Roman" w:hAnsi="Times New Roman" w:cs="Times New Roman"/>
          <w:b/>
          <w:bCs/>
          <w:color w:val="000000"/>
          <w:sz w:val="28"/>
          <w:szCs w:val="28"/>
        </w:rPr>
      </w:pPr>
    </w:p>
    <w:p w14:paraId="150402E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5EF8C64"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1E9AE92"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CDAF380"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6BC54E2"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21144B6"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3B85AF18"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29AEF4F"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CDB5708"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5A6A39F"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4E0032C"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0E684DA"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6837F2F"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7DB2D555"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0AF24F9"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A2A517A"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74849A2C"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E1B768F"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EA00712"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7C3BFD1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468C34E"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219557C"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0F1613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72A8B4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62D69D9"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7428D56"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F34FE79"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F1346D2"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190981E"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32888B8"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511E22C"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3A1E77F8"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3DED3199"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F947F84"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EECC8FE"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CE76A2D"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4E1192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A8E36EC"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CDDC218"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326BDBB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ED838B8"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7804CAC0"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AE314C5"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4A0AE7F"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3530B6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3E8B938"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72167487" w14:textId="77777777" w:rsidR="00FB1314" w:rsidRPr="000D2E4D" w:rsidRDefault="00FB1314" w:rsidP="00FB1314">
      <w:pPr>
        <w:bidi w:val="0"/>
        <w:spacing w:after="0" w:line="240" w:lineRule="auto"/>
        <w:rPr>
          <w:rFonts w:ascii="Times New Roman" w:hAnsi="Times New Roman" w:cs="Times New Roman"/>
          <w:b/>
          <w:bCs/>
          <w:color w:val="000000"/>
          <w:sz w:val="28"/>
          <w:szCs w:val="28"/>
          <w:lang w:val="it-IT"/>
        </w:rPr>
      </w:pPr>
      <w:r>
        <w:rPr>
          <w:rFonts w:ascii="Times New Roman" w:hAnsi="Times New Roman" w:cs="Times New Roman"/>
          <w:b/>
          <w:bCs/>
          <w:color w:val="000000"/>
          <w:sz w:val="28"/>
          <w:szCs w:val="28"/>
          <w:lang w:val="it-IT"/>
        </w:rPr>
        <w:br w:type="page"/>
      </w:r>
      <w:r w:rsidRPr="000D2E4D">
        <w:rPr>
          <w:rFonts w:ascii="Times New Roman" w:hAnsi="Times New Roman" w:cs="Times New Roman"/>
          <w:b/>
          <w:bCs/>
          <w:color w:val="000000"/>
          <w:sz w:val="28"/>
          <w:szCs w:val="28"/>
          <w:lang w:val="it-IT"/>
        </w:rPr>
        <w:lastRenderedPageBreak/>
        <w:t>Work Team</w:t>
      </w:r>
    </w:p>
    <w:p w14:paraId="6281616B" w14:textId="77777777" w:rsidR="00FB1314" w:rsidRPr="000D2E4D" w:rsidRDefault="00FB1314" w:rsidP="00FB1314">
      <w:pPr>
        <w:bidi w:val="0"/>
        <w:spacing w:after="0"/>
        <w:jc w:val="center"/>
        <w:rPr>
          <w:rFonts w:ascii="Times New Roman" w:hAnsi="Times New Roman" w:cs="Times New Roman"/>
          <w:color w:val="000000"/>
          <w:sz w:val="24"/>
          <w:szCs w:val="24"/>
          <w:lang w:val="it-IT"/>
        </w:rPr>
      </w:pPr>
    </w:p>
    <w:tbl>
      <w:tblPr>
        <w:tblW w:w="8220" w:type="dxa"/>
        <w:jc w:val="center"/>
        <w:tblLook w:val="04A0" w:firstRow="1" w:lastRow="0" w:firstColumn="1" w:lastColumn="0" w:noHBand="0" w:noVBand="1"/>
      </w:tblPr>
      <w:tblGrid>
        <w:gridCol w:w="3686"/>
        <w:gridCol w:w="4534"/>
      </w:tblGrid>
      <w:tr w:rsidR="00FB1314" w:rsidRPr="000D2E4D" w14:paraId="29AF65B6" w14:textId="77777777" w:rsidTr="006F7CF2">
        <w:trPr>
          <w:trHeight w:val="284"/>
          <w:jc w:val="center"/>
        </w:trPr>
        <w:tc>
          <w:tcPr>
            <w:tcW w:w="3686" w:type="dxa"/>
            <w:shd w:val="clear" w:color="auto" w:fill="auto"/>
          </w:tcPr>
          <w:p w14:paraId="188321D0" w14:textId="77777777" w:rsidR="00FB1314" w:rsidRPr="000D2E4D" w:rsidRDefault="00FB1314"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color w:val="000000"/>
                <w:sz w:val="24"/>
                <w:szCs w:val="24"/>
                <w:rtl/>
                <w:lang w:val="it-IT"/>
              </w:rPr>
            </w:pPr>
            <w:r w:rsidRPr="000D2E4D">
              <w:rPr>
                <w:rFonts w:ascii="Times New Roman" w:hAnsi="Times New Roman" w:cs="Times New Roman"/>
                <w:b/>
                <w:bCs/>
                <w:color w:val="000000"/>
                <w:sz w:val="24"/>
                <w:szCs w:val="24"/>
                <w:lang w:val="it-IT"/>
              </w:rPr>
              <w:t>Report Preparation</w:t>
            </w:r>
          </w:p>
        </w:tc>
        <w:tc>
          <w:tcPr>
            <w:tcW w:w="4534" w:type="dxa"/>
            <w:shd w:val="clear" w:color="auto" w:fill="auto"/>
          </w:tcPr>
          <w:p w14:paraId="79B4D72A"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61B6C408" w14:textId="77777777" w:rsidTr="006F7CF2">
        <w:trPr>
          <w:trHeight w:val="340"/>
          <w:jc w:val="center"/>
        </w:trPr>
        <w:tc>
          <w:tcPr>
            <w:tcW w:w="3686" w:type="dxa"/>
            <w:shd w:val="clear" w:color="auto" w:fill="auto"/>
          </w:tcPr>
          <w:p w14:paraId="48DDCFE8" w14:textId="77777777" w:rsidR="00FB1314" w:rsidRPr="000D2E4D" w:rsidRDefault="00FB1314" w:rsidP="006F7CF2">
            <w:pPr>
              <w:pStyle w:val="Header"/>
              <w:tabs>
                <w:tab w:val="center" w:pos="1576"/>
                <w:tab w:val="right" w:pos="3153"/>
              </w:tabs>
              <w:bidi w:val="0"/>
              <w:spacing w:line="360" w:lineRule="auto"/>
              <w:ind w:left="318"/>
              <w:jc w:val="both"/>
              <w:rPr>
                <w:rFonts w:ascii="Times New Roman" w:hAnsi="Times New Roman" w:cs="Times New Roman"/>
                <w:color w:val="000000"/>
                <w:sz w:val="24"/>
                <w:szCs w:val="24"/>
                <w:rtl/>
              </w:rPr>
            </w:pPr>
            <w:r w:rsidRPr="000D2E4D">
              <w:rPr>
                <w:rFonts w:ascii="Times New Roman" w:hAnsi="Times New Roman" w:cs="Times New Roman"/>
                <w:color w:val="000000"/>
                <w:sz w:val="24"/>
                <w:szCs w:val="24"/>
                <w:lang w:val="it-IT"/>
              </w:rPr>
              <w:t>Ahmad Atiah</w:t>
            </w:r>
          </w:p>
          <w:p w14:paraId="007DDA7E" w14:textId="77777777" w:rsidR="00FB1314" w:rsidRDefault="00FB1314" w:rsidP="006F7CF2">
            <w:pPr>
              <w:pStyle w:val="Header"/>
              <w:bidi w:val="0"/>
              <w:spacing w:line="360" w:lineRule="auto"/>
              <w:ind w:left="318"/>
              <w:rPr>
                <w:rFonts w:ascii="Times New Roman" w:hAnsi="Times New Roman" w:cs="Times New Roman"/>
                <w:color w:val="000000"/>
                <w:sz w:val="24"/>
                <w:szCs w:val="24"/>
                <w:lang w:val="it-IT"/>
              </w:rPr>
            </w:pPr>
            <w:r>
              <w:rPr>
                <w:rFonts w:ascii="Times New Roman" w:hAnsi="Times New Roman" w:cs="Times New Roman"/>
                <w:color w:val="000000"/>
                <w:sz w:val="24"/>
                <w:szCs w:val="24"/>
                <w:lang w:val="it-IT"/>
              </w:rPr>
              <w:t>Reham Mualla</w:t>
            </w:r>
          </w:p>
          <w:p w14:paraId="7733B3C4" w14:textId="77777777" w:rsidR="00FB1314" w:rsidRDefault="00FB1314" w:rsidP="006F7CF2">
            <w:pPr>
              <w:pStyle w:val="Header"/>
              <w:tabs>
                <w:tab w:val="center" w:pos="1576"/>
                <w:tab w:val="right" w:pos="3153"/>
              </w:tabs>
              <w:bidi w:val="0"/>
              <w:spacing w:line="360" w:lineRule="auto"/>
              <w:ind w:left="318"/>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Lara Amro</w:t>
            </w:r>
          </w:p>
          <w:p w14:paraId="1584558D" w14:textId="77777777" w:rsidR="00FB1314" w:rsidRPr="000D2E4D" w:rsidRDefault="00FB1314" w:rsidP="006F7CF2">
            <w:pPr>
              <w:pStyle w:val="Header"/>
              <w:bidi w:val="0"/>
              <w:spacing w:line="360" w:lineRule="auto"/>
              <w:ind w:left="318"/>
              <w:rPr>
                <w:rFonts w:ascii="Times New Roman" w:hAnsi="Times New Roman" w:cs="Times New Roman"/>
                <w:color w:val="000000"/>
                <w:sz w:val="24"/>
                <w:szCs w:val="24"/>
                <w:lang w:val="it-IT"/>
              </w:rPr>
            </w:pPr>
            <w:r>
              <w:rPr>
                <w:rFonts w:ascii="Times New Roman" w:hAnsi="Times New Roman" w:cs="Times New Roman"/>
                <w:color w:val="000000"/>
                <w:sz w:val="24"/>
                <w:szCs w:val="24"/>
                <w:lang w:val="it-IT"/>
              </w:rPr>
              <w:t>Reem Al Ahmad</w:t>
            </w:r>
          </w:p>
          <w:p w14:paraId="69C5B12B" w14:textId="77777777" w:rsidR="00FB1314" w:rsidRPr="000D2E4D" w:rsidRDefault="00FB1314" w:rsidP="006F7CF2">
            <w:pPr>
              <w:pStyle w:val="Header"/>
              <w:tabs>
                <w:tab w:val="center" w:pos="1576"/>
                <w:tab w:val="right" w:pos="3153"/>
              </w:tabs>
              <w:bidi w:val="0"/>
              <w:spacing w:line="360" w:lineRule="auto"/>
              <w:ind w:left="318"/>
              <w:jc w:val="both"/>
              <w:rPr>
                <w:rFonts w:ascii="Times New Roman" w:hAnsi="Times New Roman" w:cs="Times New Roman"/>
                <w:color w:val="000000"/>
                <w:sz w:val="24"/>
                <w:szCs w:val="24"/>
              </w:rPr>
            </w:pPr>
            <w:r>
              <w:rPr>
                <w:rFonts w:ascii="Times New Roman" w:hAnsi="Times New Roman" w:cs="Times New Roman"/>
                <w:color w:val="000000"/>
                <w:sz w:val="24"/>
                <w:szCs w:val="24"/>
              </w:rPr>
              <w:t>Hiba Masoud</w:t>
            </w:r>
          </w:p>
        </w:tc>
        <w:tc>
          <w:tcPr>
            <w:tcW w:w="4534" w:type="dxa"/>
            <w:shd w:val="clear" w:color="auto" w:fill="auto"/>
          </w:tcPr>
          <w:p w14:paraId="602AB6E1" w14:textId="77777777" w:rsidR="00FB1314" w:rsidRPr="000D2E4D" w:rsidRDefault="00FB1314" w:rsidP="006F7CF2">
            <w:pPr>
              <w:pStyle w:val="Header"/>
              <w:bidi w:val="0"/>
              <w:spacing w:line="360" w:lineRule="auto"/>
              <w:rPr>
                <w:rFonts w:ascii="Times New Roman" w:hAnsi="Times New Roman" w:cs="Times New Roman"/>
                <w:color w:val="000000"/>
                <w:sz w:val="24"/>
                <w:szCs w:val="24"/>
              </w:rPr>
            </w:pPr>
          </w:p>
        </w:tc>
      </w:tr>
      <w:tr w:rsidR="00FB1314" w:rsidRPr="000D2E4D" w14:paraId="2347D0D9" w14:textId="77777777" w:rsidTr="006F7CF2">
        <w:trPr>
          <w:trHeight w:hRule="exact" w:val="271"/>
          <w:jc w:val="center"/>
        </w:trPr>
        <w:tc>
          <w:tcPr>
            <w:tcW w:w="3686" w:type="dxa"/>
            <w:shd w:val="clear" w:color="auto" w:fill="auto"/>
          </w:tcPr>
          <w:p w14:paraId="3B8B4F22"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c>
          <w:tcPr>
            <w:tcW w:w="4534" w:type="dxa"/>
            <w:shd w:val="clear" w:color="auto" w:fill="auto"/>
          </w:tcPr>
          <w:p w14:paraId="6A67983A"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p>
        </w:tc>
      </w:tr>
      <w:tr w:rsidR="00FB1314" w:rsidRPr="000D2E4D" w14:paraId="3B0862C0" w14:textId="77777777" w:rsidTr="006F7CF2">
        <w:trPr>
          <w:trHeight w:val="284"/>
          <w:jc w:val="center"/>
        </w:trPr>
        <w:tc>
          <w:tcPr>
            <w:tcW w:w="3686" w:type="dxa"/>
            <w:shd w:val="clear" w:color="auto" w:fill="auto"/>
          </w:tcPr>
          <w:p w14:paraId="1523DE44" w14:textId="77777777" w:rsidR="007D42CF" w:rsidRPr="007D42CF" w:rsidRDefault="007D42CF"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lang w:val="it-IT"/>
              </w:rPr>
            </w:pPr>
            <w:r>
              <w:rPr>
                <w:rFonts w:ascii="Times New Roman" w:hAnsi="Times New Roman" w:cs="Times New Roman"/>
                <w:b/>
                <w:bCs/>
                <w:color w:val="000000"/>
                <w:sz w:val="24"/>
                <w:szCs w:val="24"/>
              </w:rPr>
              <w:t>Translation and Editing</w:t>
            </w:r>
          </w:p>
          <w:p w14:paraId="1C128A7B" w14:textId="77777777" w:rsidR="007D42CF" w:rsidRP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24"/>
                <w:szCs w:val="24"/>
              </w:rPr>
            </w:pPr>
            <w:r w:rsidRPr="007D42CF">
              <w:rPr>
                <w:rFonts w:ascii="Times New Roman" w:hAnsi="Times New Roman" w:cs="Times New Roman"/>
                <w:color w:val="000000"/>
                <w:sz w:val="24"/>
                <w:szCs w:val="24"/>
              </w:rPr>
              <w:t>IkramNashata</w:t>
            </w:r>
          </w:p>
          <w:p w14:paraId="0E5757DE" w14:textId="77777777" w:rsid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24"/>
                <w:szCs w:val="24"/>
              </w:rPr>
            </w:pPr>
            <w:r w:rsidRPr="007D42CF">
              <w:rPr>
                <w:rFonts w:ascii="Times New Roman" w:hAnsi="Times New Roman" w:cs="Times New Roman"/>
                <w:color w:val="000000"/>
                <w:sz w:val="24"/>
                <w:szCs w:val="24"/>
              </w:rPr>
              <w:t>A</w:t>
            </w:r>
            <w:r>
              <w:rPr>
                <w:rFonts w:ascii="Times New Roman" w:hAnsi="Times New Roman" w:cs="Times New Roman"/>
                <w:color w:val="000000"/>
                <w:sz w:val="24"/>
                <w:szCs w:val="24"/>
              </w:rPr>
              <w:t>lad</w:t>
            </w:r>
            <w:r w:rsidRPr="007D42CF">
              <w:rPr>
                <w:rFonts w:ascii="Times New Roman" w:hAnsi="Times New Roman" w:cs="Times New Roman"/>
                <w:color w:val="000000"/>
                <w:sz w:val="24"/>
                <w:szCs w:val="24"/>
              </w:rPr>
              <w:t>din S</w:t>
            </w:r>
            <w:r>
              <w:rPr>
                <w:rFonts w:ascii="Times New Roman" w:hAnsi="Times New Roman" w:cs="Times New Roman"/>
                <w:color w:val="000000"/>
                <w:sz w:val="24"/>
                <w:szCs w:val="24"/>
              </w:rPr>
              <w:t>alameh</w:t>
            </w:r>
          </w:p>
          <w:p w14:paraId="47D2A88E" w14:textId="77777777" w:rsidR="007D42CF" w:rsidRP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14"/>
                <w:szCs w:val="14"/>
              </w:rPr>
            </w:pPr>
          </w:p>
          <w:p w14:paraId="77991F4E" w14:textId="77777777" w:rsidR="007D42CF" w:rsidRDefault="007D42CF" w:rsidP="007D42CF">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lang w:val="it-IT"/>
              </w:rPr>
            </w:pPr>
            <w:r>
              <w:rPr>
                <w:rFonts w:ascii="Times New Roman" w:hAnsi="Times New Roman" w:cs="Times New Roman"/>
                <w:b/>
                <w:bCs/>
                <w:color w:val="000000"/>
                <w:sz w:val="24"/>
                <w:szCs w:val="24"/>
                <w:lang w:val="it-IT"/>
              </w:rPr>
              <w:t>Graphic Design</w:t>
            </w:r>
          </w:p>
          <w:p w14:paraId="4852FDBA" w14:textId="77777777" w:rsid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24"/>
                <w:szCs w:val="24"/>
              </w:rPr>
            </w:pPr>
            <w:r w:rsidRPr="007D42CF">
              <w:rPr>
                <w:rFonts w:ascii="Times New Roman" w:hAnsi="Times New Roman" w:cs="Times New Roman"/>
                <w:color w:val="000000"/>
                <w:sz w:val="24"/>
                <w:szCs w:val="24"/>
              </w:rPr>
              <w:t>Mosab Thuminat</w:t>
            </w:r>
          </w:p>
          <w:p w14:paraId="32DCB54B" w14:textId="77777777" w:rsidR="007D42CF" w:rsidRP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14"/>
                <w:szCs w:val="14"/>
              </w:rPr>
            </w:pPr>
          </w:p>
          <w:p w14:paraId="5823C73A" w14:textId="77777777" w:rsidR="00FB1314" w:rsidRPr="000D2E4D" w:rsidRDefault="00FB1314" w:rsidP="007D42CF">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rtl/>
                <w:lang w:val="it-IT"/>
              </w:rPr>
            </w:pPr>
            <w:r w:rsidRPr="000D2E4D">
              <w:rPr>
                <w:rFonts w:ascii="Times New Roman" w:hAnsi="Times New Roman" w:cs="Times New Roman"/>
                <w:b/>
                <w:bCs/>
                <w:color w:val="000000"/>
                <w:sz w:val="24"/>
                <w:szCs w:val="24"/>
                <w:lang w:val="it-IT"/>
              </w:rPr>
              <w:t>DisseminationStandards</w:t>
            </w:r>
          </w:p>
        </w:tc>
        <w:tc>
          <w:tcPr>
            <w:tcW w:w="4534" w:type="dxa"/>
            <w:shd w:val="clear" w:color="auto" w:fill="auto"/>
          </w:tcPr>
          <w:p w14:paraId="6F9ED2C3"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1C4E5B6D" w14:textId="77777777" w:rsidTr="006F7CF2">
        <w:trPr>
          <w:trHeight w:val="340"/>
          <w:jc w:val="center"/>
        </w:trPr>
        <w:tc>
          <w:tcPr>
            <w:tcW w:w="3686" w:type="dxa"/>
            <w:shd w:val="clear" w:color="auto" w:fill="auto"/>
          </w:tcPr>
          <w:p w14:paraId="4BC12668" w14:textId="77777777" w:rsidR="00FB1314" w:rsidRPr="000D2E4D" w:rsidRDefault="00FB1314" w:rsidP="006F7CF2">
            <w:pPr>
              <w:pStyle w:val="Header"/>
              <w:bidi w:val="0"/>
              <w:spacing w:line="360" w:lineRule="auto"/>
              <w:ind w:left="318"/>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HananJanajreh</w:t>
            </w:r>
          </w:p>
        </w:tc>
        <w:tc>
          <w:tcPr>
            <w:tcW w:w="4534" w:type="dxa"/>
            <w:shd w:val="clear" w:color="auto" w:fill="auto"/>
          </w:tcPr>
          <w:p w14:paraId="4BEB48A2"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p>
        </w:tc>
      </w:tr>
      <w:tr w:rsidR="00FB1314" w:rsidRPr="000D2E4D" w14:paraId="7AE841BF" w14:textId="77777777" w:rsidTr="006F7CF2">
        <w:trPr>
          <w:trHeight w:hRule="exact" w:val="211"/>
          <w:jc w:val="center"/>
        </w:trPr>
        <w:tc>
          <w:tcPr>
            <w:tcW w:w="3686" w:type="dxa"/>
            <w:shd w:val="clear" w:color="auto" w:fill="auto"/>
          </w:tcPr>
          <w:p w14:paraId="05161FA5"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c>
          <w:tcPr>
            <w:tcW w:w="4534" w:type="dxa"/>
            <w:shd w:val="clear" w:color="auto" w:fill="auto"/>
          </w:tcPr>
          <w:p w14:paraId="3CC8B583"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p>
        </w:tc>
      </w:tr>
      <w:tr w:rsidR="00FB1314" w:rsidRPr="000D2E4D" w14:paraId="0CC37805" w14:textId="77777777" w:rsidTr="006F7CF2">
        <w:trPr>
          <w:trHeight w:val="284"/>
          <w:jc w:val="center"/>
        </w:trPr>
        <w:tc>
          <w:tcPr>
            <w:tcW w:w="3686" w:type="dxa"/>
            <w:shd w:val="clear" w:color="auto" w:fill="auto"/>
          </w:tcPr>
          <w:p w14:paraId="3B2F3074" w14:textId="77777777" w:rsidR="00FB1314" w:rsidRPr="000D2E4D" w:rsidRDefault="00FB1314"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lang w:val="it-IT"/>
              </w:rPr>
            </w:pPr>
            <w:r w:rsidRPr="000D2E4D">
              <w:rPr>
                <w:rFonts w:ascii="Times New Roman" w:hAnsi="Times New Roman" w:cs="Times New Roman"/>
                <w:b/>
                <w:bCs/>
                <w:color w:val="000000"/>
                <w:sz w:val="24"/>
                <w:szCs w:val="24"/>
                <w:lang w:val="it-IT"/>
              </w:rPr>
              <w:t>Preliminary Review</w:t>
            </w:r>
          </w:p>
        </w:tc>
        <w:tc>
          <w:tcPr>
            <w:tcW w:w="4534" w:type="dxa"/>
            <w:shd w:val="clear" w:color="auto" w:fill="auto"/>
          </w:tcPr>
          <w:p w14:paraId="1C62938E"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08624CE1" w14:textId="77777777" w:rsidTr="006F7CF2">
        <w:trPr>
          <w:trHeight w:val="284"/>
          <w:jc w:val="center"/>
        </w:trPr>
        <w:tc>
          <w:tcPr>
            <w:tcW w:w="3686" w:type="dxa"/>
            <w:shd w:val="clear" w:color="auto" w:fill="auto"/>
          </w:tcPr>
          <w:p w14:paraId="4B298D66" w14:textId="77777777" w:rsidR="00FB1314" w:rsidRPr="00992D30" w:rsidRDefault="00FB1314" w:rsidP="006F7CF2">
            <w:pPr>
              <w:pStyle w:val="Header"/>
              <w:bidi w:val="0"/>
              <w:spacing w:line="360" w:lineRule="auto"/>
              <w:ind w:left="318"/>
              <w:rPr>
                <w:rFonts w:ascii="Times New Roman" w:hAnsi="Times New Roman" w:cs="Times New Roman"/>
                <w:color w:val="000000"/>
                <w:sz w:val="24"/>
                <w:szCs w:val="24"/>
                <w:lang w:val="it-IT"/>
              </w:rPr>
            </w:pPr>
            <w:r>
              <w:rPr>
                <w:rFonts w:ascii="Times New Roman" w:hAnsi="Times New Roman" w:cs="Times New Roman"/>
                <w:color w:val="000000"/>
                <w:sz w:val="24"/>
                <w:szCs w:val="24"/>
                <w:lang w:val="it-IT"/>
              </w:rPr>
              <w:t xml:space="preserve">Khalid Abu Khalid </w:t>
            </w:r>
          </w:p>
        </w:tc>
        <w:tc>
          <w:tcPr>
            <w:tcW w:w="4534" w:type="dxa"/>
            <w:shd w:val="clear" w:color="auto" w:fill="auto"/>
          </w:tcPr>
          <w:p w14:paraId="14227154" w14:textId="77777777" w:rsidR="00FB1314" w:rsidRPr="000D2E4D" w:rsidRDefault="00FB1314" w:rsidP="006F7CF2">
            <w:pPr>
              <w:pStyle w:val="Header"/>
              <w:bidi w:val="0"/>
              <w:spacing w:line="360" w:lineRule="auto"/>
              <w:rPr>
                <w:rFonts w:ascii="Times New Roman" w:hAnsi="Times New Roman" w:cs="Times New Roman"/>
                <w:color w:val="000000"/>
                <w:sz w:val="24"/>
                <w:szCs w:val="24"/>
                <w:lang w:val="it-IT"/>
              </w:rPr>
            </w:pPr>
          </w:p>
        </w:tc>
      </w:tr>
      <w:tr w:rsidR="00FB1314" w:rsidRPr="000D2E4D" w14:paraId="322B1330" w14:textId="77777777" w:rsidTr="006F7CF2">
        <w:trPr>
          <w:trHeight w:val="138"/>
          <w:jc w:val="center"/>
        </w:trPr>
        <w:tc>
          <w:tcPr>
            <w:tcW w:w="3686" w:type="dxa"/>
            <w:shd w:val="clear" w:color="auto" w:fill="auto"/>
          </w:tcPr>
          <w:p w14:paraId="3E2C1168" w14:textId="77777777" w:rsidR="00FB1314" w:rsidRPr="000D2E4D" w:rsidRDefault="00FB1314" w:rsidP="006F7CF2">
            <w:pPr>
              <w:pStyle w:val="Header"/>
              <w:tabs>
                <w:tab w:val="clear" w:pos="4153"/>
                <w:tab w:val="clear" w:pos="8306"/>
                <w:tab w:val="center" w:pos="4320"/>
                <w:tab w:val="right" w:pos="8640"/>
              </w:tabs>
              <w:bidi w:val="0"/>
              <w:spacing w:line="360" w:lineRule="auto"/>
              <w:ind w:left="340" w:right="340"/>
              <w:rPr>
                <w:rFonts w:ascii="Times New Roman" w:hAnsi="Times New Roman" w:cs="Times New Roman"/>
                <w:b/>
                <w:bCs/>
                <w:color w:val="000000"/>
                <w:sz w:val="24"/>
                <w:szCs w:val="24"/>
                <w:lang w:val="it-IT"/>
              </w:rPr>
            </w:pPr>
          </w:p>
        </w:tc>
        <w:tc>
          <w:tcPr>
            <w:tcW w:w="4534" w:type="dxa"/>
            <w:shd w:val="clear" w:color="auto" w:fill="auto"/>
          </w:tcPr>
          <w:p w14:paraId="3BA48911" w14:textId="77777777" w:rsidR="00FB1314" w:rsidRPr="000D2E4D" w:rsidRDefault="00FB1314" w:rsidP="006F7CF2">
            <w:pPr>
              <w:pStyle w:val="Header"/>
              <w:tabs>
                <w:tab w:val="clear" w:pos="4153"/>
                <w:tab w:val="clear" w:pos="8306"/>
                <w:tab w:val="center" w:pos="4320"/>
                <w:tab w:val="right" w:pos="8640"/>
              </w:tabs>
              <w:bidi w:val="0"/>
              <w:spacing w:line="360" w:lineRule="auto"/>
              <w:ind w:left="340" w:right="340" w:hanging="448"/>
              <w:rPr>
                <w:rFonts w:ascii="Times New Roman" w:hAnsi="Times New Roman" w:cs="Times New Roman"/>
                <w:color w:val="000000"/>
                <w:sz w:val="24"/>
                <w:szCs w:val="24"/>
                <w:lang w:val="it-IT"/>
              </w:rPr>
            </w:pPr>
          </w:p>
        </w:tc>
      </w:tr>
      <w:tr w:rsidR="00FB1314" w:rsidRPr="000D2E4D" w14:paraId="16209234" w14:textId="77777777" w:rsidTr="006F7CF2">
        <w:trPr>
          <w:trHeight w:val="284"/>
          <w:jc w:val="center"/>
        </w:trPr>
        <w:tc>
          <w:tcPr>
            <w:tcW w:w="3686" w:type="dxa"/>
            <w:shd w:val="clear" w:color="auto" w:fill="auto"/>
          </w:tcPr>
          <w:p w14:paraId="398BF340" w14:textId="77777777" w:rsidR="00FB1314" w:rsidRPr="000D2E4D" w:rsidRDefault="00FB1314"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rtl/>
                <w:lang w:val="it-IT"/>
              </w:rPr>
            </w:pPr>
            <w:r w:rsidRPr="000D2E4D">
              <w:rPr>
                <w:rFonts w:ascii="Times New Roman" w:hAnsi="Times New Roman" w:cs="Times New Roman"/>
                <w:b/>
                <w:bCs/>
                <w:color w:val="000000"/>
                <w:sz w:val="24"/>
                <w:szCs w:val="24"/>
                <w:lang w:val="it-IT"/>
              </w:rPr>
              <w:t>FinalReview</w:t>
            </w:r>
          </w:p>
        </w:tc>
        <w:tc>
          <w:tcPr>
            <w:tcW w:w="4534" w:type="dxa"/>
            <w:shd w:val="clear" w:color="auto" w:fill="auto"/>
          </w:tcPr>
          <w:p w14:paraId="48FFBDC9"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4A4ACA85" w14:textId="77777777" w:rsidTr="006F7CF2">
        <w:trPr>
          <w:trHeight w:val="340"/>
          <w:jc w:val="center"/>
        </w:trPr>
        <w:tc>
          <w:tcPr>
            <w:tcW w:w="3686" w:type="dxa"/>
            <w:shd w:val="clear" w:color="auto" w:fill="auto"/>
          </w:tcPr>
          <w:p w14:paraId="7A95819F" w14:textId="77777777" w:rsidR="00FB1314" w:rsidRPr="000D2E4D" w:rsidRDefault="00FB1314" w:rsidP="006F7CF2">
            <w:pPr>
              <w:pStyle w:val="Header"/>
              <w:bidi w:val="0"/>
              <w:spacing w:line="360" w:lineRule="auto"/>
              <w:ind w:left="318"/>
              <w:rPr>
                <w:rFonts w:ascii="Times New Roman" w:hAnsi="Times New Roman" w:cs="Times New Roman"/>
                <w:color w:val="000000"/>
                <w:sz w:val="24"/>
                <w:szCs w:val="24"/>
                <w:lang w:val="it-IT"/>
              </w:rPr>
            </w:pPr>
            <w:r>
              <w:rPr>
                <w:rFonts w:ascii="Times New Roman" w:hAnsi="Times New Roman" w:cs="Times New Roman"/>
                <w:color w:val="000000"/>
                <w:sz w:val="24"/>
                <w:szCs w:val="24"/>
                <w:lang w:val="it-IT"/>
              </w:rPr>
              <w:t>Jawad Al Saleh</w:t>
            </w:r>
          </w:p>
        </w:tc>
        <w:tc>
          <w:tcPr>
            <w:tcW w:w="4534" w:type="dxa"/>
            <w:shd w:val="clear" w:color="auto" w:fill="auto"/>
          </w:tcPr>
          <w:p w14:paraId="549A9B75" w14:textId="77777777" w:rsidR="00FB1314" w:rsidRPr="000D2E4D" w:rsidRDefault="00FB1314" w:rsidP="006F7CF2">
            <w:pPr>
              <w:pStyle w:val="Header"/>
              <w:bidi w:val="0"/>
              <w:spacing w:line="360" w:lineRule="auto"/>
              <w:rPr>
                <w:rFonts w:ascii="Times New Roman" w:hAnsi="Times New Roman" w:cs="Times New Roman"/>
                <w:color w:val="000000"/>
                <w:sz w:val="24"/>
                <w:szCs w:val="24"/>
                <w:lang w:val="it-IT"/>
              </w:rPr>
            </w:pPr>
          </w:p>
        </w:tc>
      </w:tr>
      <w:tr w:rsidR="00FB1314" w:rsidRPr="000D2E4D" w14:paraId="43E0B673" w14:textId="77777777" w:rsidTr="006F7CF2">
        <w:trPr>
          <w:trHeight w:hRule="exact" w:val="211"/>
          <w:jc w:val="center"/>
        </w:trPr>
        <w:tc>
          <w:tcPr>
            <w:tcW w:w="3686" w:type="dxa"/>
            <w:shd w:val="clear" w:color="auto" w:fill="auto"/>
          </w:tcPr>
          <w:p w14:paraId="32482330"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c>
          <w:tcPr>
            <w:tcW w:w="4534" w:type="dxa"/>
            <w:shd w:val="clear" w:color="auto" w:fill="auto"/>
          </w:tcPr>
          <w:p w14:paraId="147ABE3C"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p>
        </w:tc>
      </w:tr>
      <w:tr w:rsidR="00FB1314" w:rsidRPr="000D2E4D" w14:paraId="6B2A0DBC" w14:textId="77777777" w:rsidTr="006F7CF2">
        <w:trPr>
          <w:trHeight w:val="284"/>
          <w:jc w:val="center"/>
        </w:trPr>
        <w:tc>
          <w:tcPr>
            <w:tcW w:w="3686" w:type="dxa"/>
            <w:shd w:val="clear" w:color="auto" w:fill="auto"/>
          </w:tcPr>
          <w:p w14:paraId="1EC42B87" w14:textId="77777777" w:rsidR="00FB1314" w:rsidRPr="000D2E4D" w:rsidRDefault="00FB1314"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rtl/>
                <w:lang w:val="it-IT"/>
              </w:rPr>
            </w:pPr>
            <w:r w:rsidRPr="000D2E4D">
              <w:rPr>
                <w:rFonts w:ascii="Times New Roman" w:hAnsi="Times New Roman" w:cs="Times New Roman"/>
                <w:b/>
                <w:bCs/>
                <w:color w:val="000000"/>
                <w:sz w:val="24"/>
                <w:szCs w:val="24"/>
                <w:lang w:val="it-IT"/>
              </w:rPr>
              <w:t>OverallSupervision</w:t>
            </w:r>
          </w:p>
        </w:tc>
        <w:tc>
          <w:tcPr>
            <w:tcW w:w="4534" w:type="dxa"/>
            <w:shd w:val="clear" w:color="auto" w:fill="auto"/>
          </w:tcPr>
          <w:p w14:paraId="66C69409"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17278C63" w14:textId="77777777" w:rsidTr="006F7CF2">
        <w:trPr>
          <w:trHeight w:val="340"/>
          <w:jc w:val="center"/>
        </w:trPr>
        <w:tc>
          <w:tcPr>
            <w:tcW w:w="3686" w:type="dxa"/>
            <w:shd w:val="clear" w:color="auto" w:fill="auto"/>
          </w:tcPr>
          <w:p w14:paraId="475DD7CA" w14:textId="77777777" w:rsidR="00FB1314" w:rsidRPr="000D2E4D" w:rsidRDefault="00FB1314" w:rsidP="006F7CF2">
            <w:pPr>
              <w:pStyle w:val="Header"/>
              <w:bidi w:val="0"/>
              <w:spacing w:line="360" w:lineRule="auto"/>
              <w:ind w:left="318"/>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Dr. Ola Awad</w:t>
            </w:r>
          </w:p>
        </w:tc>
        <w:tc>
          <w:tcPr>
            <w:tcW w:w="4534" w:type="dxa"/>
            <w:shd w:val="clear" w:color="auto" w:fill="auto"/>
          </w:tcPr>
          <w:p w14:paraId="762C28D6"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President of  PCBS</w:t>
            </w:r>
          </w:p>
        </w:tc>
      </w:tr>
    </w:tbl>
    <w:p w14:paraId="63416224" w14:textId="77777777" w:rsidR="00FB1314" w:rsidRPr="00A44E81" w:rsidRDefault="00FB1314" w:rsidP="00FB1314">
      <w:pPr>
        <w:bidi w:val="0"/>
        <w:rPr>
          <w:rFonts w:ascii="Times New Roman" w:hAnsi="Times New Roman" w:cs="Times New Roman"/>
          <w:b/>
          <w:bCs/>
          <w:color w:val="222222"/>
          <w:sz w:val="24"/>
          <w:szCs w:val="24"/>
          <w:shd w:val="clear" w:color="auto" w:fill="FBFBFB"/>
        </w:rPr>
      </w:pPr>
    </w:p>
    <w:p w14:paraId="5E5EF769" w14:textId="77777777" w:rsidR="00FB1314" w:rsidRDefault="00FB1314" w:rsidP="00FB1314">
      <w:pPr>
        <w:bidi w:val="0"/>
        <w:rPr>
          <w:rFonts w:ascii="Times New Roman" w:hAnsi="Times New Roman" w:cs="Times New Roman"/>
          <w:b/>
          <w:bCs/>
          <w:color w:val="222222"/>
          <w:sz w:val="24"/>
          <w:szCs w:val="24"/>
          <w:shd w:val="clear" w:color="auto" w:fill="FBFBFB"/>
        </w:rPr>
      </w:pPr>
      <w:r w:rsidRPr="00A44E81">
        <w:rPr>
          <w:rFonts w:ascii="Times New Roman" w:hAnsi="Times New Roman" w:cs="Times New Roman"/>
          <w:b/>
          <w:bCs/>
          <w:color w:val="222222"/>
          <w:sz w:val="24"/>
          <w:szCs w:val="24"/>
          <w:shd w:val="clear" w:color="auto" w:fill="FBFBFB"/>
        </w:rPr>
        <w:br w:type="page"/>
      </w:r>
    </w:p>
    <w:p w14:paraId="7C466C67" w14:textId="77777777" w:rsidR="00FB1314" w:rsidRDefault="00FB1314" w:rsidP="00FB1314">
      <w:pPr>
        <w:bidi w:val="0"/>
        <w:spacing w:after="0" w:line="240" w:lineRule="auto"/>
        <w:rPr>
          <w:rFonts w:cs="Simplified Arabic"/>
          <w:b/>
          <w:bCs/>
          <w:sz w:val="28"/>
          <w:szCs w:val="28"/>
        </w:rPr>
      </w:pPr>
      <w:r>
        <w:rPr>
          <w:rFonts w:cs="Simplified Arabic"/>
          <w:b/>
          <w:bCs/>
          <w:sz w:val="28"/>
          <w:szCs w:val="28"/>
        </w:rPr>
        <w:lastRenderedPageBreak/>
        <w:br w:type="page"/>
      </w:r>
    </w:p>
    <w:p w14:paraId="34B9B5E3" w14:textId="77777777" w:rsidR="00FB1314" w:rsidRPr="00AD7F78" w:rsidRDefault="00FB1314" w:rsidP="00FB1314">
      <w:pPr>
        <w:jc w:val="center"/>
        <w:rPr>
          <w:rFonts w:asciiTheme="majorBidi" w:hAnsiTheme="majorBidi" w:cstheme="majorBidi"/>
          <w:b/>
          <w:bCs/>
          <w:sz w:val="28"/>
          <w:szCs w:val="28"/>
          <w:rtl/>
        </w:rPr>
      </w:pPr>
      <w:r w:rsidRPr="00AD7F78">
        <w:rPr>
          <w:rFonts w:asciiTheme="majorBidi" w:hAnsiTheme="majorBidi" w:cstheme="majorBidi"/>
          <w:b/>
          <w:bCs/>
          <w:sz w:val="28"/>
          <w:szCs w:val="28"/>
        </w:rPr>
        <w:lastRenderedPageBreak/>
        <w:t>Notice for Users</w:t>
      </w:r>
    </w:p>
    <w:p w14:paraId="538392B7" w14:textId="77777777" w:rsidR="00FB1314" w:rsidRPr="00AD7F78" w:rsidRDefault="00FB1314" w:rsidP="00FB1314">
      <w:pPr>
        <w:bidi w:val="0"/>
        <w:jc w:val="both"/>
        <w:rPr>
          <w:rFonts w:asciiTheme="majorBidi" w:hAnsiTheme="majorBidi" w:cstheme="majorBidi"/>
          <w:color w:val="1F497D"/>
        </w:rPr>
      </w:pPr>
    </w:p>
    <w:p w14:paraId="79A05ABB" w14:textId="77777777" w:rsidR="00FB1314" w:rsidRPr="00AD7F78" w:rsidRDefault="00FB1314" w:rsidP="00FB1314">
      <w:pPr>
        <w:pStyle w:val="ListParagraph"/>
        <w:numPr>
          <w:ilvl w:val="0"/>
          <w:numId w:val="24"/>
        </w:numPr>
        <w:spacing w:after="0" w:line="240" w:lineRule="auto"/>
        <w:contextualSpacing w:val="0"/>
        <w:jc w:val="both"/>
        <w:rPr>
          <w:rFonts w:asciiTheme="majorBidi" w:hAnsiTheme="majorBidi" w:cstheme="majorBidi"/>
          <w:color w:val="000000" w:themeColor="text1"/>
          <w:sz w:val="24"/>
          <w:szCs w:val="24"/>
        </w:rPr>
      </w:pPr>
      <w:r w:rsidRPr="00AD7F78">
        <w:rPr>
          <w:rFonts w:asciiTheme="majorBidi" w:hAnsiTheme="majorBidi" w:cstheme="majorBidi"/>
          <w:color w:val="000000" w:themeColor="text1"/>
          <w:sz w:val="24"/>
          <w:szCs w:val="24"/>
        </w:rPr>
        <w:t xml:space="preserve">The </w:t>
      </w:r>
      <w:r>
        <w:rPr>
          <w:rFonts w:asciiTheme="majorBidi" w:hAnsiTheme="majorBidi" w:cstheme="majorBidi"/>
          <w:color w:val="000000" w:themeColor="text1"/>
          <w:sz w:val="24"/>
          <w:szCs w:val="24"/>
        </w:rPr>
        <w:t xml:space="preserve">data </w:t>
      </w:r>
      <w:r w:rsidRPr="00AD7F78">
        <w:rPr>
          <w:rFonts w:asciiTheme="majorBidi" w:hAnsiTheme="majorBidi" w:cstheme="majorBidi"/>
          <w:color w:val="000000" w:themeColor="text1"/>
          <w:sz w:val="24"/>
          <w:szCs w:val="24"/>
        </w:rPr>
        <w:t xml:space="preserve">presented in this report </w:t>
      </w:r>
      <w:r>
        <w:rPr>
          <w:rFonts w:asciiTheme="majorBidi" w:hAnsiTheme="majorBidi" w:cstheme="majorBidi"/>
          <w:color w:val="000000" w:themeColor="text1"/>
          <w:sz w:val="24"/>
          <w:szCs w:val="24"/>
        </w:rPr>
        <w:t xml:space="preserve">is </w:t>
      </w:r>
      <w:r w:rsidRPr="00AD7F78">
        <w:rPr>
          <w:rFonts w:asciiTheme="majorBidi" w:hAnsiTheme="majorBidi" w:cstheme="majorBidi"/>
          <w:color w:val="000000" w:themeColor="text1"/>
          <w:sz w:val="24"/>
          <w:szCs w:val="24"/>
        </w:rPr>
        <w:t>divided</w:t>
      </w:r>
      <w:r>
        <w:rPr>
          <w:rFonts w:asciiTheme="majorBidi" w:hAnsiTheme="majorBidi" w:cstheme="majorBidi"/>
          <w:color w:val="000000" w:themeColor="text1"/>
          <w:sz w:val="24"/>
          <w:szCs w:val="24"/>
        </w:rPr>
        <w:t>in</w:t>
      </w:r>
      <w:r w:rsidRPr="00AD7F78">
        <w:rPr>
          <w:rFonts w:asciiTheme="majorBidi" w:hAnsiTheme="majorBidi" w:cstheme="majorBidi"/>
          <w:color w:val="000000" w:themeColor="text1"/>
          <w:sz w:val="24"/>
          <w:szCs w:val="24"/>
        </w:rPr>
        <w:t>to two main categories</w:t>
      </w:r>
      <w:r>
        <w:rPr>
          <w:rFonts w:asciiTheme="majorBidi" w:hAnsiTheme="majorBidi" w:cstheme="majorBidi"/>
          <w:color w:val="000000" w:themeColor="text1"/>
          <w:sz w:val="24"/>
          <w:szCs w:val="24"/>
        </w:rPr>
        <w:t>. T</w:t>
      </w:r>
      <w:r w:rsidRPr="00AD7F78">
        <w:rPr>
          <w:rFonts w:asciiTheme="majorBidi" w:hAnsiTheme="majorBidi" w:cstheme="majorBidi"/>
          <w:color w:val="000000" w:themeColor="text1"/>
          <w:sz w:val="24"/>
          <w:szCs w:val="24"/>
        </w:rPr>
        <w:t>he first is provided by PCBS as it</w:t>
      </w:r>
      <w:r>
        <w:rPr>
          <w:rFonts w:asciiTheme="majorBidi" w:hAnsiTheme="majorBidi" w:cstheme="majorBidi"/>
          <w:color w:val="000000" w:themeColor="text1"/>
          <w:sz w:val="24"/>
          <w:szCs w:val="24"/>
        </w:rPr>
        <w:t xml:space="preserve"> is</w:t>
      </w:r>
      <w:r w:rsidRPr="00AD7F78">
        <w:rPr>
          <w:rFonts w:asciiTheme="majorBidi" w:hAnsiTheme="majorBidi" w:cstheme="majorBidi"/>
          <w:color w:val="000000" w:themeColor="text1"/>
          <w:sz w:val="24"/>
          <w:szCs w:val="24"/>
        </w:rPr>
        <w:t xml:space="preserve"> derived from </w:t>
      </w:r>
      <w:r>
        <w:rPr>
          <w:rFonts w:asciiTheme="majorBidi" w:hAnsiTheme="majorBidi" w:cstheme="majorBidi"/>
          <w:color w:val="000000" w:themeColor="text1"/>
          <w:sz w:val="24"/>
          <w:szCs w:val="24"/>
        </w:rPr>
        <w:t>PCBS’s</w:t>
      </w:r>
      <w:r w:rsidRPr="00AD7F78">
        <w:rPr>
          <w:rFonts w:asciiTheme="majorBidi" w:hAnsiTheme="majorBidi" w:cstheme="majorBidi"/>
          <w:color w:val="000000" w:themeColor="text1"/>
          <w:sz w:val="24"/>
          <w:szCs w:val="24"/>
        </w:rPr>
        <w:t xml:space="preserve"> primary sources including statistical surveys and administrative data of the ministries and other institutions</w:t>
      </w:r>
      <w:r>
        <w:rPr>
          <w:rFonts w:asciiTheme="majorBidi" w:hAnsiTheme="majorBidi" w:cstheme="majorBidi"/>
          <w:color w:val="000000" w:themeColor="text1"/>
          <w:sz w:val="24"/>
          <w:szCs w:val="24"/>
        </w:rPr>
        <w:t>. T</w:t>
      </w:r>
      <w:r w:rsidRPr="00AD7F78">
        <w:rPr>
          <w:rFonts w:asciiTheme="majorBidi" w:hAnsiTheme="majorBidi" w:cstheme="majorBidi"/>
          <w:color w:val="000000" w:themeColor="text1"/>
          <w:sz w:val="24"/>
          <w:szCs w:val="24"/>
        </w:rPr>
        <w:t xml:space="preserve">he second is data provided by the UNSD global database that relied on different sources </w:t>
      </w:r>
      <w:r>
        <w:rPr>
          <w:rFonts w:asciiTheme="majorBidi" w:hAnsiTheme="majorBidi" w:cstheme="majorBidi"/>
          <w:color w:val="000000" w:themeColor="text1"/>
          <w:sz w:val="24"/>
          <w:szCs w:val="24"/>
        </w:rPr>
        <w:t>i</w:t>
      </w:r>
      <w:r w:rsidR="00266B86">
        <w:rPr>
          <w:rFonts w:asciiTheme="majorBidi" w:hAnsiTheme="majorBidi" w:cstheme="majorBidi"/>
          <w:color w:val="000000" w:themeColor="text1"/>
          <w:sz w:val="24"/>
          <w:szCs w:val="24"/>
        </w:rPr>
        <w:t>n</w:t>
      </w:r>
      <w:r w:rsidRPr="00AD7F78">
        <w:rPr>
          <w:rFonts w:asciiTheme="majorBidi" w:hAnsiTheme="majorBidi" w:cstheme="majorBidi"/>
          <w:color w:val="000000" w:themeColor="text1"/>
          <w:sz w:val="24"/>
          <w:szCs w:val="24"/>
        </w:rPr>
        <w:t xml:space="preserve"> the format of URL links but </w:t>
      </w:r>
      <w:r>
        <w:rPr>
          <w:rFonts w:asciiTheme="majorBidi" w:hAnsiTheme="majorBidi" w:cstheme="majorBidi"/>
          <w:color w:val="000000" w:themeColor="text1"/>
          <w:sz w:val="24"/>
          <w:szCs w:val="24"/>
        </w:rPr>
        <w:t xml:space="preserve">is </w:t>
      </w:r>
      <w:r w:rsidRPr="00AD7F78">
        <w:rPr>
          <w:rFonts w:asciiTheme="majorBidi" w:hAnsiTheme="majorBidi" w:cstheme="majorBidi"/>
          <w:color w:val="000000" w:themeColor="text1"/>
          <w:sz w:val="24"/>
          <w:szCs w:val="24"/>
        </w:rPr>
        <w:t xml:space="preserve">not </w:t>
      </w:r>
      <w:r>
        <w:rPr>
          <w:rFonts w:asciiTheme="majorBidi" w:hAnsiTheme="majorBidi" w:cstheme="majorBidi"/>
          <w:color w:val="000000" w:themeColor="text1"/>
          <w:sz w:val="24"/>
          <w:szCs w:val="24"/>
        </w:rPr>
        <w:t xml:space="preserve">yet </w:t>
      </w:r>
      <w:r w:rsidRPr="00AD7F78">
        <w:rPr>
          <w:rFonts w:asciiTheme="majorBidi" w:hAnsiTheme="majorBidi" w:cstheme="majorBidi"/>
          <w:color w:val="000000" w:themeColor="text1"/>
          <w:sz w:val="24"/>
          <w:szCs w:val="24"/>
        </w:rPr>
        <w:t>validated by PCBS.</w:t>
      </w:r>
    </w:p>
    <w:p w14:paraId="17C5B97D" w14:textId="77777777" w:rsidR="00FB1314" w:rsidRPr="00AD7F78" w:rsidRDefault="00FB1314" w:rsidP="00FB1314">
      <w:pPr>
        <w:bidi w:val="0"/>
        <w:jc w:val="both"/>
        <w:rPr>
          <w:rFonts w:asciiTheme="majorBidi" w:hAnsiTheme="majorBidi" w:cstheme="majorBidi"/>
          <w:color w:val="000000" w:themeColor="text1"/>
          <w:sz w:val="24"/>
          <w:szCs w:val="24"/>
        </w:rPr>
      </w:pPr>
    </w:p>
    <w:p w14:paraId="1769A623" w14:textId="77777777" w:rsidR="00FB1314" w:rsidRPr="00AD7F78" w:rsidRDefault="00FB1314" w:rsidP="00FB1314">
      <w:pPr>
        <w:pStyle w:val="ListParagraph"/>
        <w:numPr>
          <w:ilvl w:val="0"/>
          <w:numId w:val="24"/>
        </w:numPr>
        <w:spacing w:after="0" w:line="240" w:lineRule="auto"/>
        <w:contextualSpacing w:val="0"/>
        <w:jc w:val="both"/>
        <w:rPr>
          <w:rFonts w:asciiTheme="majorBidi" w:hAnsiTheme="majorBidi" w:cstheme="majorBidi"/>
          <w:color w:val="000000" w:themeColor="text1"/>
          <w:sz w:val="24"/>
          <w:szCs w:val="24"/>
        </w:rPr>
      </w:pPr>
      <w:r w:rsidRPr="00AD7F78">
        <w:rPr>
          <w:rFonts w:asciiTheme="majorBidi" w:hAnsiTheme="majorBidi" w:cstheme="majorBidi"/>
          <w:color w:val="000000" w:themeColor="text1"/>
          <w:sz w:val="24"/>
          <w:szCs w:val="24"/>
        </w:rPr>
        <w:t xml:space="preserve">The comparison in indicators values refers to the most recent data with the second last available data and </w:t>
      </w:r>
      <w:r>
        <w:rPr>
          <w:rFonts w:asciiTheme="majorBidi" w:hAnsiTheme="majorBidi" w:cstheme="majorBidi"/>
          <w:color w:val="000000" w:themeColor="text1"/>
          <w:sz w:val="24"/>
          <w:szCs w:val="24"/>
        </w:rPr>
        <w:t xml:space="preserve">does </w:t>
      </w:r>
      <w:r w:rsidRPr="00AD7F78">
        <w:rPr>
          <w:rFonts w:asciiTheme="majorBidi" w:hAnsiTheme="majorBidi" w:cstheme="majorBidi"/>
          <w:color w:val="000000" w:themeColor="text1"/>
          <w:sz w:val="24"/>
          <w:szCs w:val="24"/>
        </w:rPr>
        <w:t xml:space="preserve">not refer to identified or certain milestone. </w:t>
      </w:r>
    </w:p>
    <w:p w14:paraId="4B174942" w14:textId="77777777" w:rsidR="00FB1314" w:rsidRPr="009E4C23" w:rsidRDefault="00FB1314" w:rsidP="00FB1314">
      <w:pPr>
        <w:bidi w:val="0"/>
        <w:jc w:val="both"/>
        <w:rPr>
          <w:b/>
          <w:bCs/>
        </w:rPr>
      </w:pPr>
    </w:p>
    <w:p w14:paraId="576239D3" w14:textId="77777777" w:rsidR="00FB1314" w:rsidRDefault="00FB1314" w:rsidP="00FB1314">
      <w:pPr>
        <w:bidi w:val="0"/>
        <w:jc w:val="both"/>
        <w:rPr>
          <w:rFonts w:ascii="Times New Roman" w:hAnsi="Times New Roman" w:cs="Times New Roman"/>
          <w:b/>
          <w:bCs/>
          <w:color w:val="222222"/>
          <w:sz w:val="24"/>
          <w:szCs w:val="24"/>
          <w:shd w:val="clear" w:color="auto" w:fill="FBFBFB"/>
        </w:rPr>
      </w:pPr>
    </w:p>
    <w:p w14:paraId="6E512D1D" w14:textId="77777777" w:rsidR="00FB1314" w:rsidRDefault="00FB1314" w:rsidP="00FB1314">
      <w:pPr>
        <w:bidi w:val="0"/>
        <w:spacing w:after="0" w:line="240" w:lineRule="auto"/>
        <w:rPr>
          <w:rFonts w:ascii="Times New Roman" w:hAnsi="Times New Roman" w:cs="Times New Roman"/>
          <w:b/>
          <w:bCs/>
          <w:color w:val="222222"/>
          <w:sz w:val="24"/>
          <w:szCs w:val="24"/>
          <w:shd w:val="clear" w:color="auto" w:fill="FBFBFB"/>
        </w:rPr>
      </w:pPr>
      <w:r>
        <w:rPr>
          <w:rFonts w:ascii="Times New Roman" w:hAnsi="Times New Roman" w:cs="Times New Roman"/>
          <w:b/>
          <w:bCs/>
          <w:color w:val="222222"/>
          <w:sz w:val="24"/>
          <w:szCs w:val="24"/>
          <w:shd w:val="clear" w:color="auto" w:fill="FBFBFB"/>
        </w:rPr>
        <w:br w:type="page"/>
      </w:r>
    </w:p>
    <w:p w14:paraId="3B3CAD18" w14:textId="77777777" w:rsidR="00FB1314" w:rsidRDefault="00FB1314" w:rsidP="00FB1314">
      <w:pPr>
        <w:bidi w:val="0"/>
        <w:spacing w:after="0" w:line="240" w:lineRule="auto"/>
        <w:rPr>
          <w:rFonts w:ascii="Times New Roman" w:hAnsi="Times New Roman" w:cs="Times New Roman"/>
          <w:b/>
          <w:bCs/>
          <w:color w:val="222222"/>
          <w:sz w:val="24"/>
          <w:szCs w:val="24"/>
          <w:shd w:val="clear" w:color="auto" w:fill="FBFBFB"/>
        </w:rPr>
      </w:pPr>
      <w:r>
        <w:rPr>
          <w:rFonts w:ascii="Times New Roman" w:hAnsi="Times New Roman" w:cs="Times New Roman"/>
          <w:b/>
          <w:bCs/>
          <w:color w:val="222222"/>
          <w:sz w:val="24"/>
          <w:szCs w:val="24"/>
          <w:shd w:val="clear" w:color="auto" w:fill="FBFBFB"/>
        </w:rPr>
        <w:lastRenderedPageBreak/>
        <w:br w:type="page"/>
      </w:r>
    </w:p>
    <w:p w14:paraId="21C9396D" w14:textId="77777777" w:rsidR="00FB1314" w:rsidRDefault="00FB1314" w:rsidP="00FB1314">
      <w:pPr>
        <w:bidi w:val="0"/>
        <w:jc w:val="center"/>
        <w:rPr>
          <w:rFonts w:ascii="Times New Roman" w:hAnsi="Times New Roman" w:cs="Times New Roman"/>
          <w:b/>
          <w:bCs/>
          <w:sz w:val="28"/>
          <w:szCs w:val="28"/>
        </w:rPr>
      </w:pPr>
    </w:p>
    <w:p w14:paraId="3FACDDEB" w14:textId="77777777" w:rsidR="00FB1314" w:rsidRPr="00363E88" w:rsidRDefault="00FB1314" w:rsidP="00FB1314">
      <w:pPr>
        <w:bidi w:val="0"/>
        <w:jc w:val="center"/>
        <w:rPr>
          <w:rFonts w:ascii="Times New Roman" w:hAnsi="Times New Roman" w:cs="Times New Roman"/>
          <w:b/>
          <w:bCs/>
          <w:sz w:val="28"/>
          <w:szCs w:val="28"/>
        </w:rPr>
      </w:pPr>
      <w:r w:rsidRPr="00363E88">
        <w:rPr>
          <w:rFonts w:ascii="Times New Roman" w:hAnsi="Times New Roman" w:cs="Times New Roman"/>
          <w:b/>
          <w:bCs/>
          <w:sz w:val="28"/>
          <w:szCs w:val="28"/>
        </w:rPr>
        <w:t>Table of Contents</w:t>
      </w:r>
    </w:p>
    <w:tbl>
      <w:tblPr>
        <w:tblpPr w:leftFromText="180" w:rightFromText="180" w:vertAnchor="text" w:tblpXSpec="center" w:tblpY="1"/>
        <w:tblOverlap w:val="never"/>
        <w:bidiVisual/>
        <w:tblW w:w="0" w:type="auto"/>
        <w:tblLayout w:type="fixed"/>
        <w:tblLook w:val="0000" w:firstRow="0" w:lastRow="0" w:firstColumn="0" w:lastColumn="0" w:noHBand="0" w:noVBand="0"/>
      </w:tblPr>
      <w:tblGrid>
        <w:gridCol w:w="735"/>
        <w:gridCol w:w="6191"/>
        <w:gridCol w:w="2089"/>
      </w:tblGrid>
      <w:tr w:rsidR="00FB1314" w:rsidRPr="000D2E4D" w14:paraId="1065F026" w14:textId="77777777" w:rsidTr="006F7CF2">
        <w:trPr>
          <w:trHeight w:val="470"/>
          <w:tblHeader/>
        </w:trPr>
        <w:tc>
          <w:tcPr>
            <w:tcW w:w="735" w:type="dxa"/>
            <w:vAlign w:val="center"/>
          </w:tcPr>
          <w:p w14:paraId="65CA599C" w14:textId="77777777" w:rsidR="00FB1314" w:rsidRPr="000D2E4D" w:rsidRDefault="00FB1314" w:rsidP="006F7CF2">
            <w:pPr>
              <w:spacing w:after="0" w:line="240" w:lineRule="auto"/>
              <w:jc w:val="center"/>
              <w:rPr>
                <w:rFonts w:ascii="Times New Roman" w:hAnsi="Times New Roman" w:cs="Times New Roman"/>
                <w:b/>
                <w:bCs/>
                <w:color w:val="000000"/>
                <w:sz w:val="24"/>
                <w:szCs w:val="24"/>
                <w:rtl/>
              </w:rPr>
            </w:pPr>
            <w:r w:rsidRPr="000D2E4D">
              <w:rPr>
                <w:rFonts w:ascii="Times New Roman" w:hAnsi="Times New Roman" w:cs="Times New Roman"/>
                <w:b/>
                <w:bCs/>
                <w:color w:val="000000"/>
                <w:sz w:val="24"/>
                <w:szCs w:val="24"/>
              </w:rPr>
              <w:t>Page</w:t>
            </w:r>
          </w:p>
        </w:tc>
        <w:tc>
          <w:tcPr>
            <w:tcW w:w="8280" w:type="dxa"/>
            <w:gridSpan w:val="2"/>
            <w:vAlign w:val="center"/>
          </w:tcPr>
          <w:p w14:paraId="1EDC9C53" w14:textId="77777777" w:rsidR="00FB1314" w:rsidRPr="0005416B" w:rsidRDefault="00FB1314" w:rsidP="006F7CF2">
            <w:pPr>
              <w:pStyle w:val="Heading1"/>
              <w:spacing w:before="0" w:line="240" w:lineRule="auto"/>
              <w:jc w:val="right"/>
              <w:rPr>
                <w:rFonts w:ascii="Times New Roman" w:eastAsia="Arial Unicode MS" w:hAnsi="Times New Roman"/>
                <w:color w:val="000000"/>
                <w:sz w:val="24"/>
                <w:szCs w:val="24"/>
                <w:rtl/>
              </w:rPr>
            </w:pPr>
            <w:r w:rsidRPr="0005416B">
              <w:rPr>
                <w:rFonts w:ascii="Times New Roman" w:hAnsi="Times New Roman"/>
                <w:color w:val="000000"/>
                <w:sz w:val="24"/>
                <w:szCs w:val="24"/>
              </w:rPr>
              <w:t>Subject</w:t>
            </w:r>
          </w:p>
        </w:tc>
      </w:tr>
      <w:tr w:rsidR="00FB1314" w:rsidRPr="000D2E4D" w14:paraId="777309BE" w14:textId="77777777" w:rsidTr="006F7CF2">
        <w:trPr>
          <w:trHeight w:hRule="exact" w:val="79"/>
        </w:trPr>
        <w:tc>
          <w:tcPr>
            <w:tcW w:w="6926" w:type="dxa"/>
            <w:gridSpan w:val="2"/>
            <w:vAlign w:val="center"/>
          </w:tcPr>
          <w:p w14:paraId="31BAAD09" w14:textId="77777777" w:rsidR="00FB1314" w:rsidRPr="000D2E4D" w:rsidRDefault="00FB1314" w:rsidP="006F7CF2">
            <w:pPr>
              <w:spacing w:after="0" w:line="240" w:lineRule="auto"/>
              <w:rPr>
                <w:rFonts w:ascii="Times New Roman" w:hAnsi="Times New Roman" w:cs="Times New Roman"/>
                <w:color w:val="000000"/>
                <w:sz w:val="24"/>
                <w:szCs w:val="24"/>
              </w:rPr>
            </w:pPr>
          </w:p>
        </w:tc>
        <w:tc>
          <w:tcPr>
            <w:tcW w:w="2089" w:type="dxa"/>
            <w:vAlign w:val="center"/>
          </w:tcPr>
          <w:p w14:paraId="618CF3D4" w14:textId="77777777" w:rsidR="00FB1314" w:rsidRPr="000D2E4D" w:rsidRDefault="00FB1314" w:rsidP="006F7CF2">
            <w:pPr>
              <w:spacing w:after="0" w:line="240" w:lineRule="auto"/>
              <w:rPr>
                <w:rFonts w:ascii="Times New Roman" w:hAnsi="Times New Roman" w:cs="Times New Roman"/>
                <w:color w:val="000000"/>
                <w:sz w:val="24"/>
                <w:szCs w:val="24"/>
              </w:rPr>
            </w:pPr>
          </w:p>
        </w:tc>
      </w:tr>
      <w:tr w:rsidR="00FB1314" w:rsidRPr="000D2E4D" w14:paraId="16B400E5" w14:textId="77777777" w:rsidTr="006F7CF2">
        <w:tc>
          <w:tcPr>
            <w:tcW w:w="735" w:type="dxa"/>
            <w:vAlign w:val="center"/>
          </w:tcPr>
          <w:p w14:paraId="1349B649" w14:textId="77777777" w:rsidR="00FB1314" w:rsidRDefault="00FB1314" w:rsidP="006F7CF2">
            <w:pPr>
              <w:spacing w:after="0" w:line="240" w:lineRule="auto"/>
              <w:rPr>
                <w:rFonts w:ascii="Times New Roman" w:hAnsi="Times New Roman" w:cs="Times New Roman"/>
                <w:b/>
                <w:bCs/>
                <w:color w:val="000000"/>
                <w:sz w:val="24"/>
                <w:szCs w:val="24"/>
              </w:rPr>
            </w:pPr>
          </w:p>
          <w:p w14:paraId="0DE2D687" w14:textId="77777777" w:rsidR="00FB1314" w:rsidRDefault="00FB1314" w:rsidP="006F7CF2">
            <w:pPr>
              <w:spacing w:after="0" w:line="240" w:lineRule="auto"/>
              <w:rPr>
                <w:rFonts w:ascii="Times New Roman" w:hAnsi="Times New Roman" w:cs="Times New Roman"/>
                <w:b/>
                <w:bCs/>
                <w:color w:val="000000"/>
                <w:sz w:val="24"/>
                <w:szCs w:val="24"/>
              </w:rPr>
            </w:pPr>
          </w:p>
          <w:p w14:paraId="524CC1DF" w14:textId="77777777" w:rsidR="00FB1314" w:rsidRDefault="00FB1314" w:rsidP="006F7CF2">
            <w:pPr>
              <w:spacing w:after="0" w:line="240" w:lineRule="auto"/>
              <w:rPr>
                <w:rFonts w:ascii="Times New Roman" w:hAnsi="Times New Roman" w:cs="Times New Roman"/>
                <w:b/>
                <w:bCs/>
                <w:color w:val="000000"/>
                <w:sz w:val="24"/>
                <w:szCs w:val="24"/>
              </w:rPr>
            </w:pPr>
          </w:p>
          <w:p w14:paraId="65B67721"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15</w:t>
            </w:r>
          </w:p>
        </w:tc>
        <w:tc>
          <w:tcPr>
            <w:tcW w:w="6191" w:type="dxa"/>
            <w:vAlign w:val="center"/>
          </w:tcPr>
          <w:p w14:paraId="24051524" w14:textId="77777777" w:rsidR="00FB1314" w:rsidRDefault="00FB1314" w:rsidP="006F7CF2">
            <w:pPr>
              <w:pStyle w:val="Footer"/>
              <w:tabs>
                <w:tab w:val="clear" w:pos="4153"/>
                <w:tab w:val="clear" w:pos="8306"/>
              </w:tabs>
              <w:bidi w:val="0"/>
              <w:rPr>
                <w:rFonts w:ascii="Times New Roman" w:hAnsi="Times New Roman" w:cs="Times New Roman"/>
                <w:b/>
                <w:bCs/>
                <w:sz w:val="24"/>
                <w:szCs w:val="24"/>
              </w:rPr>
            </w:pPr>
            <w:r>
              <w:rPr>
                <w:rFonts w:ascii="Times New Roman" w:hAnsi="Times New Roman" w:cs="Times New Roman"/>
                <w:b/>
                <w:bCs/>
                <w:sz w:val="24"/>
                <w:szCs w:val="24"/>
              </w:rPr>
              <w:t>Preface</w:t>
            </w:r>
          </w:p>
          <w:p w14:paraId="7208CBFC" w14:textId="77777777" w:rsidR="00FB1314" w:rsidRDefault="00FB1314" w:rsidP="006F7CF2">
            <w:pPr>
              <w:pStyle w:val="Footer"/>
              <w:tabs>
                <w:tab w:val="clear" w:pos="4153"/>
                <w:tab w:val="clear" w:pos="8306"/>
              </w:tabs>
              <w:bidi w:val="0"/>
              <w:rPr>
                <w:rFonts w:ascii="Times New Roman" w:hAnsi="Times New Roman" w:cs="Times New Roman"/>
                <w:b/>
                <w:bCs/>
                <w:sz w:val="24"/>
                <w:szCs w:val="24"/>
              </w:rPr>
            </w:pPr>
          </w:p>
          <w:p w14:paraId="56866E71" w14:textId="77777777" w:rsidR="00FB1314" w:rsidRDefault="00FB1314" w:rsidP="006F7CF2">
            <w:pPr>
              <w:pStyle w:val="Footer"/>
              <w:tabs>
                <w:tab w:val="clear" w:pos="4153"/>
                <w:tab w:val="clear" w:pos="8306"/>
              </w:tabs>
              <w:bidi w:val="0"/>
              <w:rPr>
                <w:rFonts w:ascii="Times New Roman" w:hAnsi="Times New Roman" w:cs="Times New Roman"/>
                <w:b/>
                <w:bCs/>
                <w:sz w:val="24"/>
                <w:szCs w:val="24"/>
              </w:rPr>
            </w:pPr>
            <w:r>
              <w:rPr>
                <w:rFonts w:ascii="Times New Roman" w:hAnsi="Times New Roman" w:cs="Times New Roman"/>
                <w:b/>
                <w:bCs/>
                <w:sz w:val="24"/>
                <w:szCs w:val="24"/>
              </w:rPr>
              <w:t>Important Note</w:t>
            </w:r>
          </w:p>
          <w:p w14:paraId="7E47D477" w14:textId="77777777" w:rsidR="00FB1314" w:rsidRDefault="00FB1314" w:rsidP="006F7CF2">
            <w:pPr>
              <w:pStyle w:val="Footer"/>
              <w:tabs>
                <w:tab w:val="clear" w:pos="4153"/>
                <w:tab w:val="clear" w:pos="8306"/>
              </w:tabs>
              <w:bidi w:val="0"/>
              <w:rPr>
                <w:rFonts w:ascii="Times New Roman" w:hAnsi="Times New Roman" w:cs="Times New Roman"/>
                <w:b/>
                <w:bCs/>
                <w:sz w:val="24"/>
                <w:szCs w:val="24"/>
              </w:rPr>
            </w:pPr>
          </w:p>
          <w:p w14:paraId="24AEDD42" w14:textId="77777777" w:rsidR="00FB1314" w:rsidRDefault="00FB1314" w:rsidP="006F7CF2">
            <w:pPr>
              <w:pStyle w:val="Footer"/>
              <w:tabs>
                <w:tab w:val="clear" w:pos="4153"/>
                <w:tab w:val="clear" w:pos="8306"/>
              </w:tabs>
              <w:bidi w:val="0"/>
              <w:rPr>
                <w:rFonts w:ascii="Times New Roman" w:hAnsi="Times New Roman" w:cs="Times New Roman"/>
                <w:b/>
                <w:bCs/>
                <w:sz w:val="24"/>
                <w:szCs w:val="24"/>
                <w:rtl/>
              </w:rPr>
            </w:pPr>
            <w:r>
              <w:rPr>
                <w:rFonts w:ascii="Times New Roman" w:hAnsi="Times New Roman" w:cs="Times New Roman"/>
                <w:b/>
                <w:bCs/>
                <w:sz w:val="24"/>
                <w:szCs w:val="24"/>
              </w:rPr>
              <w:t>Concepts and definitions</w:t>
            </w:r>
          </w:p>
          <w:p w14:paraId="636AE28C" w14:textId="77777777" w:rsidR="00FB1314" w:rsidRPr="000D2E4D" w:rsidRDefault="00FB1314" w:rsidP="006F7CF2">
            <w:pPr>
              <w:pStyle w:val="Footer"/>
              <w:tabs>
                <w:tab w:val="clear" w:pos="4153"/>
                <w:tab w:val="clear" w:pos="8306"/>
              </w:tabs>
              <w:bidi w:val="0"/>
              <w:rPr>
                <w:rFonts w:ascii="Times New Roman" w:hAnsi="Times New Roman" w:cs="Times New Roman"/>
                <w:b/>
                <w:bCs/>
                <w:sz w:val="24"/>
                <w:szCs w:val="24"/>
              </w:rPr>
            </w:pPr>
          </w:p>
        </w:tc>
        <w:tc>
          <w:tcPr>
            <w:tcW w:w="2089" w:type="dxa"/>
            <w:vAlign w:val="center"/>
          </w:tcPr>
          <w:p w14:paraId="16821032" w14:textId="77777777" w:rsidR="00FB1314" w:rsidRPr="000D2E4D" w:rsidRDefault="00FB1314" w:rsidP="006F7CF2">
            <w:pPr>
              <w:bidi w:val="0"/>
              <w:spacing w:after="0" w:line="240" w:lineRule="auto"/>
              <w:rPr>
                <w:rFonts w:ascii="Times New Roman" w:hAnsi="Times New Roman" w:cs="Times New Roman"/>
                <w:b/>
                <w:bCs/>
                <w:color w:val="000000"/>
                <w:sz w:val="24"/>
                <w:szCs w:val="24"/>
              </w:rPr>
            </w:pPr>
          </w:p>
        </w:tc>
      </w:tr>
      <w:tr w:rsidR="00FB1314" w:rsidRPr="000D2E4D" w14:paraId="522A41C6" w14:textId="77777777" w:rsidTr="006F7CF2">
        <w:trPr>
          <w:trHeight w:hRule="exact" w:val="100"/>
        </w:trPr>
        <w:tc>
          <w:tcPr>
            <w:tcW w:w="6926" w:type="dxa"/>
            <w:gridSpan w:val="2"/>
            <w:vAlign w:val="center"/>
          </w:tcPr>
          <w:p w14:paraId="1293038C" w14:textId="77777777" w:rsidR="00FB1314" w:rsidRPr="000D2E4D" w:rsidRDefault="00FB1314" w:rsidP="006F7CF2">
            <w:pPr>
              <w:bidi w:val="0"/>
              <w:spacing w:after="0" w:line="240" w:lineRule="auto"/>
              <w:rPr>
                <w:rFonts w:ascii="Times New Roman" w:hAnsi="Times New Roman" w:cs="Times New Roman"/>
                <w:color w:val="000000"/>
                <w:sz w:val="24"/>
                <w:szCs w:val="24"/>
              </w:rPr>
            </w:pPr>
          </w:p>
        </w:tc>
        <w:tc>
          <w:tcPr>
            <w:tcW w:w="2089" w:type="dxa"/>
            <w:vAlign w:val="center"/>
          </w:tcPr>
          <w:p w14:paraId="2CFBC7BC" w14:textId="77777777" w:rsidR="00FB1314" w:rsidRPr="000D2E4D" w:rsidRDefault="00FB1314" w:rsidP="006F7CF2">
            <w:pPr>
              <w:bidi w:val="0"/>
              <w:spacing w:after="0" w:line="240" w:lineRule="auto"/>
              <w:rPr>
                <w:rFonts w:ascii="Times New Roman" w:hAnsi="Times New Roman" w:cs="Times New Roman"/>
                <w:color w:val="000000"/>
                <w:sz w:val="24"/>
                <w:szCs w:val="24"/>
              </w:rPr>
            </w:pPr>
          </w:p>
        </w:tc>
      </w:tr>
      <w:tr w:rsidR="00FB1314" w:rsidRPr="000D2E4D" w14:paraId="6A992AA0" w14:textId="77777777" w:rsidTr="006F7CF2">
        <w:trPr>
          <w:trHeight w:val="398"/>
        </w:trPr>
        <w:tc>
          <w:tcPr>
            <w:tcW w:w="735" w:type="dxa"/>
            <w:vAlign w:val="center"/>
          </w:tcPr>
          <w:p w14:paraId="3A2A37E6" w14:textId="77777777" w:rsidR="00FB1314" w:rsidRPr="000D2E4D"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17</w:t>
            </w:r>
          </w:p>
        </w:tc>
        <w:tc>
          <w:tcPr>
            <w:tcW w:w="6191" w:type="dxa"/>
            <w:vAlign w:val="center"/>
          </w:tcPr>
          <w:p w14:paraId="00AF4CC6" w14:textId="77777777" w:rsidR="00FB1314" w:rsidRPr="000D2E4D" w:rsidRDefault="00FB1314" w:rsidP="006F7CF2">
            <w:pPr>
              <w:bidi w:val="0"/>
              <w:rPr>
                <w:rFonts w:ascii="Times New Roman" w:hAnsi="Times New Roman" w:cs="Times New Roman"/>
                <w:b/>
                <w:bCs/>
                <w:color w:val="000000"/>
                <w:sz w:val="24"/>
                <w:szCs w:val="24"/>
              </w:rPr>
            </w:pPr>
            <w:r w:rsidRPr="002573CC">
              <w:rPr>
                <w:rFonts w:asciiTheme="majorBidi" w:hAnsiTheme="majorBidi" w:cstheme="majorBidi"/>
                <w:sz w:val="24"/>
                <w:szCs w:val="24"/>
              </w:rPr>
              <w:t xml:space="preserve">Sustainabledevelopment </w:t>
            </w:r>
            <w:r w:rsidRPr="00B55AAC">
              <w:rPr>
                <w:rFonts w:asciiTheme="majorBidi" w:hAnsiTheme="majorBidi" w:cstheme="majorBidi"/>
                <w:sz w:val="24"/>
                <w:szCs w:val="24"/>
              </w:rPr>
              <w:t>indicators</w:t>
            </w:r>
            <w:r w:rsidRPr="002573CC">
              <w:rPr>
                <w:rFonts w:asciiTheme="majorBidi" w:hAnsiTheme="majorBidi" w:cstheme="majorBidi"/>
                <w:sz w:val="24"/>
                <w:szCs w:val="24"/>
              </w:rPr>
              <w:t>: an overview</w:t>
            </w:r>
          </w:p>
        </w:tc>
        <w:tc>
          <w:tcPr>
            <w:tcW w:w="2089" w:type="dxa"/>
            <w:vMerge w:val="restart"/>
          </w:tcPr>
          <w:p w14:paraId="6020EFB7"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r w:rsidRPr="000D2E4D">
              <w:rPr>
                <w:rFonts w:ascii="Times New Roman" w:hAnsi="Times New Roman" w:cs="Times New Roman"/>
                <w:color w:val="000000"/>
                <w:sz w:val="24"/>
                <w:szCs w:val="24"/>
              </w:rPr>
              <w:t>Chapter One:</w:t>
            </w:r>
          </w:p>
        </w:tc>
      </w:tr>
      <w:tr w:rsidR="00FB1314" w:rsidRPr="000D2E4D" w14:paraId="37803DE8" w14:textId="77777777" w:rsidTr="006F7CF2">
        <w:trPr>
          <w:trHeight w:val="375"/>
        </w:trPr>
        <w:tc>
          <w:tcPr>
            <w:tcW w:w="735" w:type="dxa"/>
            <w:vAlign w:val="center"/>
          </w:tcPr>
          <w:p w14:paraId="11053E0E" w14:textId="77777777" w:rsidR="00FB1314"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17</w:t>
            </w:r>
          </w:p>
        </w:tc>
        <w:tc>
          <w:tcPr>
            <w:tcW w:w="6191" w:type="dxa"/>
            <w:vAlign w:val="center"/>
          </w:tcPr>
          <w:p w14:paraId="112A5137" w14:textId="77777777" w:rsidR="00FB1314" w:rsidRPr="00EC4319" w:rsidRDefault="00FB1314" w:rsidP="006F7CF2">
            <w:pPr>
              <w:pStyle w:val="ListParagraph"/>
              <w:ind w:left="67"/>
              <w:rPr>
                <w:rFonts w:asciiTheme="majorBidi" w:hAnsiTheme="majorBidi" w:cstheme="majorBidi"/>
                <w:sz w:val="24"/>
                <w:szCs w:val="24"/>
              </w:rPr>
            </w:pPr>
            <w:r>
              <w:rPr>
                <w:rFonts w:asciiTheme="majorBidi" w:hAnsiTheme="majorBidi" w:cstheme="majorBidi"/>
                <w:sz w:val="24"/>
                <w:szCs w:val="24"/>
              </w:rPr>
              <w:t xml:space="preserve">1.1 </w:t>
            </w:r>
            <w:r w:rsidRPr="002573CC">
              <w:rPr>
                <w:rFonts w:asciiTheme="majorBidi" w:hAnsiTheme="majorBidi" w:cstheme="majorBidi"/>
                <w:sz w:val="24"/>
                <w:szCs w:val="24"/>
              </w:rPr>
              <w:t>Introduction</w:t>
            </w:r>
          </w:p>
        </w:tc>
        <w:tc>
          <w:tcPr>
            <w:tcW w:w="2089" w:type="dxa"/>
            <w:vMerge/>
          </w:tcPr>
          <w:p w14:paraId="1F7A7251"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39649587" w14:textId="77777777" w:rsidTr="006F7CF2">
        <w:trPr>
          <w:trHeight w:val="366"/>
        </w:trPr>
        <w:tc>
          <w:tcPr>
            <w:tcW w:w="735" w:type="dxa"/>
            <w:vAlign w:val="center"/>
          </w:tcPr>
          <w:p w14:paraId="4DD3B4C3" w14:textId="77777777" w:rsidR="00FB1314"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18</w:t>
            </w:r>
          </w:p>
        </w:tc>
        <w:tc>
          <w:tcPr>
            <w:tcW w:w="6191" w:type="dxa"/>
            <w:vAlign w:val="center"/>
          </w:tcPr>
          <w:p w14:paraId="4DCA819E" w14:textId="77777777" w:rsidR="00FB1314" w:rsidRDefault="00FB1314" w:rsidP="006F7CF2">
            <w:pPr>
              <w:pStyle w:val="ListParagraph"/>
              <w:ind w:left="67"/>
              <w:rPr>
                <w:rFonts w:asciiTheme="majorBidi" w:hAnsiTheme="majorBidi" w:cstheme="majorBidi"/>
                <w:sz w:val="24"/>
                <w:szCs w:val="24"/>
              </w:rPr>
            </w:pPr>
            <w:r>
              <w:rPr>
                <w:rFonts w:asciiTheme="majorBidi" w:hAnsiTheme="majorBidi" w:cstheme="majorBidi"/>
                <w:sz w:val="24"/>
                <w:szCs w:val="24"/>
              </w:rPr>
              <w:t xml:space="preserve">1.2 </w:t>
            </w:r>
            <w:r w:rsidRPr="00B55AAC">
              <w:rPr>
                <w:rFonts w:asciiTheme="majorBidi" w:hAnsiTheme="majorBidi" w:cstheme="majorBidi"/>
                <w:sz w:val="24"/>
                <w:szCs w:val="24"/>
              </w:rPr>
              <w:t xml:space="preserve"> Progress towards sustainable development</w:t>
            </w:r>
          </w:p>
        </w:tc>
        <w:tc>
          <w:tcPr>
            <w:tcW w:w="2089" w:type="dxa"/>
            <w:vMerge/>
          </w:tcPr>
          <w:p w14:paraId="6CDB7000"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4A8DE5FE" w14:textId="77777777" w:rsidTr="006F7CF2">
        <w:trPr>
          <w:trHeight w:val="515"/>
        </w:trPr>
        <w:tc>
          <w:tcPr>
            <w:tcW w:w="735" w:type="dxa"/>
            <w:vAlign w:val="center"/>
          </w:tcPr>
          <w:p w14:paraId="62C93AAD" w14:textId="77777777" w:rsidR="00FB1314"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21</w:t>
            </w:r>
          </w:p>
        </w:tc>
        <w:tc>
          <w:tcPr>
            <w:tcW w:w="6191" w:type="dxa"/>
            <w:vAlign w:val="center"/>
          </w:tcPr>
          <w:p w14:paraId="5CDCE87F" w14:textId="77777777" w:rsidR="00FB1314" w:rsidRPr="00EC4319" w:rsidRDefault="00FB1314" w:rsidP="006F7CF2">
            <w:pPr>
              <w:pStyle w:val="ListParagraph"/>
              <w:ind w:left="67"/>
              <w:rPr>
                <w:rFonts w:asciiTheme="majorBidi" w:hAnsiTheme="majorBidi" w:cstheme="majorBidi"/>
                <w:sz w:val="24"/>
                <w:szCs w:val="24"/>
              </w:rPr>
            </w:pPr>
            <w:r>
              <w:rPr>
                <w:rFonts w:asciiTheme="majorBidi" w:hAnsiTheme="majorBidi" w:cstheme="majorBidi"/>
                <w:sz w:val="24"/>
                <w:szCs w:val="24"/>
              </w:rPr>
              <w:t xml:space="preserve">1.3 </w:t>
            </w:r>
            <w:r w:rsidRPr="00B55AAC">
              <w:rPr>
                <w:rFonts w:asciiTheme="majorBidi" w:hAnsiTheme="majorBidi" w:cstheme="majorBidi"/>
                <w:sz w:val="24"/>
                <w:szCs w:val="24"/>
              </w:rPr>
              <w:t xml:space="preserve">Synthesis of goals (focus) </w:t>
            </w:r>
          </w:p>
        </w:tc>
        <w:tc>
          <w:tcPr>
            <w:tcW w:w="2089" w:type="dxa"/>
            <w:vMerge/>
          </w:tcPr>
          <w:p w14:paraId="21D02E53"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72FD9205" w14:textId="77777777" w:rsidTr="006F7CF2">
        <w:trPr>
          <w:trHeight w:val="393"/>
        </w:trPr>
        <w:tc>
          <w:tcPr>
            <w:tcW w:w="735" w:type="dxa"/>
            <w:vAlign w:val="center"/>
          </w:tcPr>
          <w:p w14:paraId="40BD11D2"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25</w:t>
            </w:r>
          </w:p>
        </w:tc>
        <w:tc>
          <w:tcPr>
            <w:tcW w:w="6191" w:type="dxa"/>
          </w:tcPr>
          <w:p w14:paraId="3061893F" w14:textId="77777777" w:rsidR="00FB1314" w:rsidRPr="001A6A63" w:rsidRDefault="00FB1314" w:rsidP="006F7CF2">
            <w:pPr>
              <w:bidi w:val="0"/>
              <w:rPr>
                <w:rFonts w:asciiTheme="majorBidi" w:hAnsiTheme="majorBidi" w:cstheme="majorBidi"/>
                <w:sz w:val="24"/>
                <w:szCs w:val="24"/>
              </w:rPr>
            </w:pPr>
            <w:r>
              <w:rPr>
                <w:rFonts w:asciiTheme="majorBidi" w:hAnsiTheme="majorBidi" w:cstheme="majorBidi"/>
                <w:sz w:val="24"/>
                <w:szCs w:val="24"/>
              </w:rPr>
              <w:t xml:space="preserve">International and regional processes </w:t>
            </w:r>
            <w:r w:rsidRPr="00B55AAC">
              <w:rPr>
                <w:rFonts w:asciiTheme="majorBidi" w:hAnsiTheme="majorBidi" w:cstheme="majorBidi"/>
                <w:sz w:val="24"/>
                <w:szCs w:val="24"/>
              </w:rPr>
              <w:t>in SDGs</w:t>
            </w:r>
          </w:p>
        </w:tc>
        <w:tc>
          <w:tcPr>
            <w:tcW w:w="2089" w:type="dxa"/>
            <w:vMerge w:val="restart"/>
          </w:tcPr>
          <w:p w14:paraId="28DAF534" w14:textId="77777777" w:rsidR="00FB1314" w:rsidRPr="00206211" w:rsidRDefault="00FB1314" w:rsidP="006F7CF2">
            <w:pPr>
              <w:pStyle w:val="Footer"/>
              <w:tabs>
                <w:tab w:val="clear" w:pos="4153"/>
                <w:tab w:val="clear" w:pos="8306"/>
              </w:tabs>
              <w:bidi w:val="0"/>
              <w:rPr>
                <w:rFonts w:ascii="Times New Roman" w:hAnsi="Times New Roman" w:cs="Times New Roman"/>
                <w:color w:val="000000"/>
                <w:sz w:val="24"/>
                <w:szCs w:val="24"/>
              </w:rPr>
            </w:pPr>
            <w:r w:rsidRPr="000D2E4D">
              <w:rPr>
                <w:rFonts w:ascii="Times New Roman" w:hAnsi="Times New Roman" w:cs="Times New Roman"/>
                <w:color w:val="000000"/>
                <w:sz w:val="24"/>
                <w:szCs w:val="24"/>
              </w:rPr>
              <w:t>Chapter Two:</w:t>
            </w:r>
          </w:p>
        </w:tc>
      </w:tr>
      <w:tr w:rsidR="00FB1314" w:rsidRPr="000D2E4D" w14:paraId="5A3B4AEF" w14:textId="77777777" w:rsidTr="006F7CF2">
        <w:trPr>
          <w:trHeight w:val="632"/>
        </w:trPr>
        <w:tc>
          <w:tcPr>
            <w:tcW w:w="735" w:type="dxa"/>
            <w:vAlign w:val="center"/>
          </w:tcPr>
          <w:p w14:paraId="04D7CA9F" w14:textId="77777777" w:rsidR="00FB1314"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25</w:t>
            </w:r>
          </w:p>
          <w:p w14:paraId="6584F287" w14:textId="77777777" w:rsidR="00FB1314" w:rsidRDefault="00FB1314" w:rsidP="006F7CF2">
            <w:pPr>
              <w:spacing w:after="0" w:line="240" w:lineRule="auto"/>
              <w:jc w:val="center"/>
              <w:rPr>
                <w:rFonts w:ascii="Times New Roman" w:hAnsi="Times New Roman" w:cs="Times New Roman"/>
                <w:b/>
                <w:bCs/>
                <w:color w:val="000000"/>
                <w:sz w:val="24"/>
                <w:szCs w:val="24"/>
              </w:rPr>
            </w:pPr>
          </w:p>
        </w:tc>
        <w:tc>
          <w:tcPr>
            <w:tcW w:w="6191" w:type="dxa"/>
          </w:tcPr>
          <w:p w14:paraId="38590ACC" w14:textId="77777777" w:rsidR="00FB1314" w:rsidRPr="00863FB8" w:rsidRDefault="00FB1314" w:rsidP="00863FB8">
            <w:pPr>
              <w:bidi w:val="0"/>
              <w:rPr>
                <w:rFonts w:asciiTheme="majorBidi" w:hAnsiTheme="majorBidi" w:cstheme="majorBidi"/>
                <w:sz w:val="24"/>
                <w:szCs w:val="24"/>
              </w:rPr>
            </w:pPr>
            <w:r w:rsidRPr="00863FB8">
              <w:rPr>
                <w:rFonts w:asciiTheme="majorBidi" w:hAnsiTheme="majorBidi" w:cstheme="majorBidi"/>
                <w:sz w:val="24"/>
                <w:szCs w:val="24"/>
              </w:rPr>
              <w:t>The evolution of the global implementation process of the Agenda 2030</w:t>
            </w:r>
          </w:p>
        </w:tc>
        <w:tc>
          <w:tcPr>
            <w:tcW w:w="2089" w:type="dxa"/>
            <w:vMerge/>
          </w:tcPr>
          <w:p w14:paraId="4B000136"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31A13AB8" w14:textId="77777777" w:rsidTr="006F7CF2">
        <w:trPr>
          <w:trHeight w:val="405"/>
        </w:trPr>
        <w:tc>
          <w:tcPr>
            <w:tcW w:w="735" w:type="dxa"/>
            <w:vAlign w:val="center"/>
          </w:tcPr>
          <w:p w14:paraId="2FB69641" w14:textId="77777777" w:rsidR="00FB1314" w:rsidRPr="000D2E4D" w:rsidRDefault="00FB1314" w:rsidP="006F7CF2">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29</w:t>
            </w:r>
          </w:p>
        </w:tc>
        <w:tc>
          <w:tcPr>
            <w:tcW w:w="6191" w:type="dxa"/>
          </w:tcPr>
          <w:p w14:paraId="0AAF16E1" w14:textId="77777777" w:rsidR="00FB1314" w:rsidRPr="00B55AAC" w:rsidRDefault="00FB1314" w:rsidP="006F7CF2">
            <w:pPr>
              <w:jc w:val="right"/>
              <w:rPr>
                <w:rFonts w:asciiTheme="majorBidi" w:hAnsiTheme="majorBidi" w:cstheme="majorBidi"/>
                <w:sz w:val="24"/>
                <w:szCs w:val="24"/>
                <w:lang w:eastAsia="zh-CN"/>
              </w:rPr>
            </w:pPr>
            <w:r w:rsidRPr="002573CC">
              <w:rPr>
                <w:rFonts w:asciiTheme="majorBidi" w:hAnsiTheme="majorBidi" w:cstheme="majorBidi"/>
                <w:sz w:val="24"/>
                <w:szCs w:val="24"/>
                <w:lang w:eastAsia="zh-CN"/>
              </w:rPr>
              <w:t xml:space="preserve">Analysis </w:t>
            </w:r>
            <w:r>
              <w:rPr>
                <w:rFonts w:asciiTheme="majorBidi" w:hAnsiTheme="majorBidi" w:cstheme="majorBidi"/>
                <w:sz w:val="24"/>
                <w:szCs w:val="24"/>
                <w:lang w:eastAsia="zh-CN"/>
              </w:rPr>
              <w:t>of statistical measures by Goal</w:t>
            </w:r>
          </w:p>
        </w:tc>
        <w:tc>
          <w:tcPr>
            <w:tcW w:w="2089" w:type="dxa"/>
            <w:vMerge w:val="restart"/>
          </w:tcPr>
          <w:p w14:paraId="7A0D725A" w14:textId="77777777" w:rsidR="00FB1314" w:rsidRDefault="00FB1314" w:rsidP="006F7CF2">
            <w:pPr>
              <w:pStyle w:val="ListParagraph"/>
              <w:ind w:left="0" w:firstLine="9"/>
              <w:rPr>
                <w:rFonts w:asciiTheme="majorBidi" w:hAnsiTheme="majorBidi" w:cstheme="majorBidi"/>
                <w:sz w:val="24"/>
                <w:szCs w:val="24"/>
              </w:rPr>
            </w:pPr>
            <w:r>
              <w:rPr>
                <w:rFonts w:asciiTheme="majorBidi" w:hAnsiTheme="majorBidi" w:cstheme="majorBidi"/>
                <w:sz w:val="24"/>
                <w:szCs w:val="24"/>
              </w:rPr>
              <w:t>Chapter Three:</w:t>
            </w:r>
          </w:p>
          <w:p w14:paraId="70E8E4DF"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2561E1AA" w14:textId="77777777" w:rsidTr="006F7CF2">
        <w:trPr>
          <w:trHeight w:val="416"/>
        </w:trPr>
        <w:tc>
          <w:tcPr>
            <w:tcW w:w="735" w:type="dxa"/>
            <w:vAlign w:val="center"/>
          </w:tcPr>
          <w:p w14:paraId="11567A7D" w14:textId="77777777" w:rsidR="00FB1314" w:rsidRPr="000D2E4D" w:rsidRDefault="00FB1314" w:rsidP="006F7CF2">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29</w:t>
            </w:r>
          </w:p>
        </w:tc>
        <w:tc>
          <w:tcPr>
            <w:tcW w:w="6191" w:type="dxa"/>
          </w:tcPr>
          <w:p w14:paraId="3DA5D87D" w14:textId="77777777" w:rsidR="00FB1314" w:rsidRPr="002573CC"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 – End poverty in all its forms everywhere </w:t>
            </w:r>
          </w:p>
        </w:tc>
        <w:tc>
          <w:tcPr>
            <w:tcW w:w="2089" w:type="dxa"/>
            <w:vMerge/>
          </w:tcPr>
          <w:p w14:paraId="1E6F0D67"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6A32BF11" w14:textId="77777777" w:rsidTr="006F7CF2">
        <w:trPr>
          <w:trHeight w:val="420"/>
        </w:trPr>
        <w:tc>
          <w:tcPr>
            <w:tcW w:w="735" w:type="dxa"/>
            <w:vAlign w:val="center"/>
          </w:tcPr>
          <w:p w14:paraId="371B07E8" w14:textId="77777777" w:rsidR="00FB1314" w:rsidRPr="000D2E4D" w:rsidRDefault="00FB1314" w:rsidP="006F7CF2">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35</w:t>
            </w:r>
          </w:p>
        </w:tc>
        <w:tc>
          <w:tcPr>
            <w:tcW w:w="6191" w:type="dxa"/>
          </w:tcPr>
          <w:p w14:paraId="230B1E42" w14:textId="77777777" w:rsidR="00FB1314" w:rsidRPr="002573CC"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2 – End hunger, achieve food security and improved nutrition and promote sustainable agriculture </w:t>
            </w:r>
          </w:p>
        </w:tc>
        <w:tc>
          <w:tcPr>
            <w:tcW w:w="2089" w:type="dxa"/>
            <w:vMerge/>
          </w:tcPr>
          <w:p w14:paraId="7C948EAF"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03AD65E1" w14:textId="77777777" w:rsidTr="006F7CF2">
        <w:trPr>
          <w:trHeight w:val="750"/>
        </w:trPr>
        <w:tc>
          <w:tcPr>
            <w:tcW w:w="735" w:type="dxa"/>
            <w:vAlign w:val="center"/>
          </w:tcPr>
          <w:p w14:paraId="37D8D3CE" w14:textId="77777777" w:rsidR="00FB1314" w:rsidRPr="000D2E4D" w:rsidRDefault="00FB1314" w:rsidP="00FB1314">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42</w:t>
            </w:r>
          </w:p>
        </w:tc>
        <w:tc>
          <w:tcPr>
            <w:tcW w:w="6191" w:type="dxa"/>
          </w:tcPr>
          <w:p w14:paraId="14425D81" w14:textId="77777777" w:rsidR="00FB1314" w:rsidRPr="002573CC"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3 – Ensure healthy lives and promote well-being for all at all ages </w:t>
            </w:r>
          </w:p>
        </w:tc>
        <w:tc>
          <w:tcPr>
            <w:tcW w:w="2089" w:type="dxa"/>
            <w:vMerge/>
          </w:tcPr>
          <w:p w14:paraId="5109E545"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33922BA9" w14:textId="77777777" w:rsidTr="006F7CF2">
        <w:trPr>
          <w:trHeight w:val="630"/>
        </w:trPr>
        <w:tc>
          <w:tcPr>
            <w:tcW w:w="735" w:type="dxa"/>
            <w:vAlign w:val="center"/>
          </w:tcPr>
          <w:p w14:paraId="2E2A2C1A"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55</w:t>
            </w:r>
          </w:p>
        </w:tc>
        <w:tc>
          <w:tcPr>
            <w:tcW w:w="6191" w:type="dxa"/>
          </w:tcPr>
          <w:p w14:paraId="22EAA03D"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4 – Ensure inclusive and equitable quality education and promote lifelong learning opportunities for all </w:t>
            </w:r>
          </w:p>
        </w:tc>
        <w:tc>
          <w:tcPr>
            <w:tcW w:w="2089" w:type="dxa"/>
            <w:vMerge/>
          </w:tcPr>
          <w:p w14:paraId="1E11FFE1"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3594AA9E" w14:textId="77777777" w:rsidTr="006F7CF2">
        <w:trPr>
          <w:trHeight w:val="735"/>
        </w:trPr>
        <w:tc>
          <w:tcPr>
            <w:tcW w:w="735" w:type="dxa"/>
            <w:vAlign w:val="center"/>
          </w:tcPr>
          <w:p w14:paraId="09A1D2D5"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70</w:t>
            </w:r>
          </w:p>
        </w:tc>
        <w:tc>
          <w:tcPr>
            <w:tcW w:w="6191" w:type="dxa"/>
          </w:tcPr>
          <w:p w14:paraId="2021E017"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5 – Achieve gender equality and empower all women and girls </w:t>
            </w:r>
          </w:p>
        </w:tc>
        <w:tc>
          <w:tcPr>
            <w:tcW w:w="2089" w:type="dxa"/>
            <w:vMerge/>
          </w:tcPr>
          <w:p w14:paraId="4E9E9A5C"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199FE390" w14:textId="77777777" w:rsidTr="006F7CF2">
        <w:trPr>
          <w:trHeight w:val="705"/>
        </w:trPr>
        <w:tc>
          <w:tcPr>
            <w:tcW w:w="735" w:type="dxa"/>
            <w:vAlign w:val="center"/>
          </w:tcPr>
          <w:p w14:paraId="23623828"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82</w:t>
            </w:r>
          </w:p>
        </w:tc>
        <w:tc>
          <w:tcPr>
            <w:tcW w:w="6191" w:type="dxa"/>
          </w:tcPr>
          <w:p w14:paraId="0A111852"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6 – Ensure availability and sustainable management of water and sanitation for all </w:t>
            </w:r>
          </w:p>
        </w:tc>
        <w:tc>
          <w:tcPr>
            <w:tcW w:w="2089" w:type="dxa"/>
            <w:vMerge/>
          </w:tcPr>
          <w:p w14:paraId="4CDEC7B2"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1F23FFF2" w14:textId="77777777" w:rsidTr="006F7CF2">
        <w:trPr>
          <w:trHeight w:val="705"/>
        </w:trPr>
        <w:tc>
          <w:tcPr>
            <w:tcW w:w="735" w:type="dxa"/>
            <w:vAlign w:val="center"/>
          </w:tcPr>
          <w:p w14:paraId="25E9D45F"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86</w:t>
            </w:r>
          </w:p>
        </w:tc>
        <w:tc>
          <w:tcPr>
            <w:tcW w:w="6191" w:type="dxa"/>
          </w:tcPr>
          <w:p w14:paraId="1684F7D0"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Goal 7 – Ensure access to affordable, reliable, sustainable</w:t>
            </w:r>
            <w:r>
              <w:rPr>
                <w:rFonts w:asciiTheme="majorBidi" w:hAnsiTheme="majorBidi" w:cstheme="majorBidi"/>
                <w:sz w:val="24"/>
                <w:szCs w:val="24"/>
                <w:lang w:eastAsia="zh-CN"/>
              </w:rPr>
              <w:t>,</w:t>
            </w:r>
            <w:r w:rsidRPr="00F220EA">
              <w:rPr>
                <w:rFonts w:asciiTheme="majorBidi" w:hAnsiTheme="majorBidi" w:cstheme="majorBidi"/>
                <w:sz w:val="24"/>
                <w:szCs w:val="24"/>
                <w:lang w:eastAsia="zh-CN"/>
              </w:rPr>
              <w:t xml:space="preserve"> and modern energy for all </w:t>
            </w:r>
          </w:p>
        </w:tc>
        <w:tc>
          <w:tcPr>
            <w:tcW w:w="2089" w:type="dxa"/>
            <w:vMerge/>
          </w:tcPr>
          <w:p w14:paraId="06239BFD"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489FB3D4" w14:textId="77777777" w:rsidTr="006F7CF2">
        <w:trPr>
          <w:trHeight w:val="870"/>
        </w:trPr>
        <w:tc>
          <w:tcPr>
            <w:tcW w:w="735" w:type="dxa"/>
            <w:vAlign w:val="center"/>
          </w:tcPr>
          <w:p w14:paraId="431EA1E2"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91</w:t>
            </w:r>
          </w:p>
        </w:tc>
        <w:tc>
          <w:tcPr>
            <w:tcW w:w="6191" w:type="dxa"/>
          </w:tcPr>
          <w:p w14:paraId="09353312" w14:textId="77777777" w:rsidR="00FB1314" w:rsidRPr="00F220EA" w:rsidRDefault="00FB1314" w:rsidP="006F7CF2">
            <w:pPr>
              <w:pStyle w:val="Header"/>
              <w:tabs>
                <w:tab w:val="left" w:pos="720"/>
              </w:tabs>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8 – Promote sustained, inclusive and sustainable economic growth, full and productive employment and decent work for all </w:t>
            </w:r>
          </w:p>
        </w:tc>
        <w:tc>
          <w:tcPr>
            <w:tcW w:w="2089" w:type="dxa"/>
            <w:vMerge/>
          </w:tcPr>
          <w:p w14:paraId="58F4F674"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55373FEB" w14:textId="77777777" w:rsidTr="006F7CF2">
        <w:trPr>
          <w:trHeight w:val="617"/>
        </w:trPr>
        <w:tc>
          <w:tcPr>
            <w:tcW w:w="735" w:type="dxa"/>
            <w:vAlign w:val="center"/>
          </w:tcPr>
          <w:p w14:paraId="31C2B73D"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100</w:t>
            </w:r>
          </w:p>
        </w:tc>
        <w:tc>
          <w:tcPr>
            <w:tcW w:w="6191" w:type="dxa"/>
          </w:tcPr>
          <w:p w14:paraId="15FC763B"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9 – Build resilient infrastructure, promote inclusive and sustainable industrialization and foster innovation </w:t>
            </w:r>
          </w:p>
        </w:tc>
        <w:tc>
          <w:tcPr>
            <w:tcW w:w="2089" w:type="dxa"/>
            <w:vMerge/>
          </w:tcPr>
          <w:p w14:paraId="11506B76"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06CB1389" w14:textId="77777777" w:rsidTr="006F7CF2">
        <w:trPr>
          <w:trHeight w:val="493"/>
        </w:trPr>
        <w:tc>
          <w:tcPr>
            <w:tcW w:w="735" w:type="dxa"/>
            <w:vAlign w:val="center"/>
          </w:tcPr>
          <w:p w14:paraId="439C0119"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108</w:t>
            </w:r>
          </w:p>
        </w:tc>
        <w:tc>
          <w:tcPr>
            <w:tcW w:w="6191" w:type="dxa"/>
          </w:tcPr>
          <w:p w14:paraId="52E2F70B" w14:textId="77777777" w:rsidR="00FB1314" w:rsidRPr="002573CC"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10 – Reduce inequality within and among countries </w:t>
            </w:r>
          </w:p>
        </w:tc>
        <w:tc>
          <w:tcPr>
            <w:tcW w:w="2089" w:type="dxa"/>
            <w:vMerge/>
          </w:tcPr>
          <w:p w14:paraId="682C4E77"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35A00E9C" w14:textId="77777777" w:rsidTr="006F7CF2">
        <w:trPr>
          <w:trHeight w:val="720"/>
        </w:trPr>
        <w:tc>
          <w:tcPr>
            <w:tcW w:w="735" w:type="dxa"/>
            <w:vAlign w:val="center"/>
          </w:tcPr>
          <w:p w14:paraId="37B91C40"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114</w:t>
            </w:r>
          </w:p>
        </w:tc>
        <w:tc>
          <w:tcPr>
            <w:tcW w:w="6191" w:type="dxa"/>
          </w:tcPr>
          <w:p w14:paraId="537DA6E7"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11 – Make cities and human settlements inclusive, safe, resilient and sustainable </w:t>
            </w:r>
          </w:p>
        </w:tc>
        <w:tc>
          <w:tcPr>
            <w:tcW w:w="2089" w:type="dxa"/>
            <w:vMerge/>
          </w:tcPr>
          <w:p w14:paraId="1678DC17"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4F4B63BA" w14:textId="77777777" w:rsidTr="006F7CF2">
        <w:trPr>
          <w:trHeight w:val="556"/>
        </w:trPr>
        <w:tc>
          <w:tcPr>
            <w:tcW w:w="735" w:type="dxa"/>
            <w:vAlign w:val="center"/>
          </w:tcPr>
          <w:p w14:paraId="585D4F9C"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119</w:t>
            </w:r>
          </w:p>
        </w:tc>
        <w:tc>
          <w:tcPr>
            <w:tcW w:w="6191" w:type="dxa"/>
          </w:tcPr>
          <w:p w14:paraId="0EC404D1"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12 – Ensure sustainable consumption and production patterns </w:t>
            </w:r>
          </w:p>
        </w:tc>
        <w:tc>
          <w:tcPr>
            <w:tcW w:w="2089" w:type="dxa"/>
            <w:vMerge/>
          </w:tcPr>
          <w:p w14:paraId="10F9840B"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1D341A14" w14:textId="77777777" w:rsidTr="006F7CF2">
        <w:trPr>
          <w:trHeight w:val="694"/>
        </w:trPr>
        <w:tc>
          <w:tcPr>
            <w:tcW w:w="735" w:type="dxa"/>
            <w:vAlign w:val="center"/>
          </w:tcPr>
          <w:p w14:paraId="1A3DA639"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123</w:t>
            </w:r>
          </w:p>
        </w:tc>
        <w:tc>
          <w:tcPr>
            <w:tcW w:w="6191" w:type="dxa"/>
          </w:tcPr>
          <w:p w14:paraId="4A1E8F68"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13 – Take urgent action to combat climate change and its impacts </w:t>
            </w:r>
          </w:p>
        </w:tc>
        <w:tc>
          <w:tcPr>
            <w:tcW w:w="2089" w:type="dxa"/>
            <w:vMerge/>
          </w:tcPr>
          <w:p w14:paraId="11705330"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2FA1EF38" w14:textId="77777777" w:rsidTr="006F7CF2">
        <w:trPr>
          <w:trHeight w:val="660"/>
        </w:trPr>
        <w:tc>
          <w:tcPr>
            <w:tcW w:w="735" w:type="dxa"/>
            <w:vAlign w:val="center"/>
          </w:tcPr>
          <w:p w14:paraId="72D9293C"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127</w:t>
            </w:r>
          </w:p>
        </w:tc>
        <w:tc>
          <w:tcPr>
            <w:tcW w:w="6191" w:type="dxa"/>
          </w:tcPr>
          <w:p w14:paraId="100FD6F0"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14 – Conserve and sustainably use the oceans, seas and marine resources for sustainable development </w:t>
            </w:r>
          </w:p>
        </w:tc>
        <w:tc>
          <w:tcPr>
            <w:tcW w:w="2089" w:type="dxa"/>
            <w:vMerge/>
          </w:tcPr>
          <w:p w14:paraId="4AB57DA5"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3D8FE031" w14:textId="77777777" w:rsidTr="006F7CF2">
        <w:trPr>
          <w:trHeight w:val="1006"/>
        </w:trPr>
        <w:tc>
          <w:tcPr>
            <w:tcW w:w="735" w:type="dxa"/>
            <w:vAlign w:val="center"/>
          </w:tcPr>
          <w:p w14:paraId="72630DBC"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129</w:t>
            </w:r>
          </w:p>
        </w:tc>
        <w:tc>
          <w:tcPr>
            <w:tcW w:w="6191" w:type="dxa"/>
          </w:tcPr>
          <w:p w14:paraId="5D12CFB2"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15 – Protect, restore and promote sustainable use of terrestrial ecosystems, sustainably manage forests, combat desertification, and halt and reverse land degradation and halt biodiversity loss </w:t>
            </w:r>
          </w:p>
        </w:tc>
        <w:tc>
          <w:tcPr>
            <w:tcW w:w="2089" w:type="dxa"/>
            <w:vMerge/>
          </w:tcPr>
          <w:p w14:paraId="35B6B6CE"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700D04CC" w14:textId="77777777" w:rsidTr="006F7CF2">
        <w:trPr>
          <w:trHeight w:val="1284"/>
        </w:trPr>
        <w:tc>
          <w:tcPr>
            <w:tcW w:w="735" w:type="dxa"/>
            <w:vAlign w:val="center"/>
          </w:tcPr>
          <w:p w14:paraId="53988C18"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133</w:t>
            </w:r>
          </w:p>
        </w:tc>
        <w:tc>
          <w:tcPr>
            <w:tcW w:w="6191" w:type="dxa"/>
          </w:tcPr>
          <w:p w14:paraId="1E435BD3"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16 – Promote peaceful and inclusive societies for sustainable development, provide access to justice for all and build effective, accountable and inclusive institutions at all levels </w:t>
            </w:r>
          </w:p>
        </w:tc>
        <w:tc>
          <w:tcPr>
            <w:tcW w:w="2089" w:type="dxa"/>
            <w:vMerge/>
          </w:tcPr>
          <w:p w14:paraId="19265EBC"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1C242972" w14:textId="77777777" w:rsidTr="006F7CF2">
        <w:trPr>
          <w:trHeight w:val="745"/>
        </w:trPr>
        <w:tc>
          <w:tcPr>
            <w:tcW w:w="735" w:type="dxa"/>
            <w:vAlign w:val="center"/>
          </w:tcPr>
          <w:p w14:paraId="3E7DF048" w14:textId="77777777" w:rsidR="00FB1314" w:rsidRPr="000D2E4D"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148</w:t>
            </w:r>
          </w:p>
        </w:tc>
        <w:tc>
          <w:tcPr>
            <w:tcW w:w="6191" w:type="dxa"/>
          </w:tcPr>
          <w:p w14:paraId="0077E2D6"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Goal 17 – Strengthen the means of implementation and revitalize the global partnership for sustainable development</w:t>
            </w:r>
          </w:p>
        </w:tc>
        <w:tc>
          <w:tcPr>
            <w:tcW w:w="2089" w:type="dxa"/>
            <w:vMerge/>
          </w:tcPr>
          <w:p w14:paraId="1245D5B5" w14:textId="77777777" w:rsidR="00FB1314" w:rsidRDefault="00FB1314" w:rsidP="006F7CF2">
            <w:pPr>
              <w:pStyle w:val="ListParagraph"/>
              <w:ind w:left="0" w:firstLine="9"/>
              <w:rPr>
                <w:rFonts w:asciiTheme="majorBidi" w:hAnsiTheme="majorBidi" w:cstheme="majorBidi"/>
                <w:sz w:val="24"/>
                <w:szCs w:val="24"/>
              </w:rPr>
            </w:pPr>
          </w:p>
        </w:tc>
      </w:tr>
    </w:tbl>
    <w:p w14:paraId="3256AB3B" w14:textId="77777777" w:rsidR="00FB1314" w:rsidRDefault="00FB1314" w:rsidP="00FB1314">
      <w:pPr>
        <w:bidi w:val="0"/>
        <w:spacing w:after="0"/>
        <w:jc w:val="center"/>
        <w:rPr>
          <w:rFonts w:ascii="Times New Roman" w:hAnsi="Times New Roman" w:cs="Times New Roman"/>
          <w:b/>
          <w:bCs/>
          <w:sz w:val="28"/>
          <w:szCs w:val="28"/>
        </w:rPr>
      </w:pPr>
    </w:p>
    <w:p w14:paraId="41F3CA17" w14:textId="77777777" w:rsidR="00FB1314" w:rsidRDefault="00FB1314" w:rsidP="00FB1314">
      <w:pPr>
        <w:bidi w:val="0"/>
        <w:spacing w:after="0"/>
        <w:jc w:val="center"/>
        <w:rPr>
          <w:rFonts w:ascii="Times New Roman" w:hAnsi="Times New Roman" w:cs="Times New Roman"/>
          <w:b/>
          <w:bCs/>
          <w:sz w:val="28"/>
          <w:szCs w:val="28"/>
        </w:rPr>
      </w:pPr>
    </w:p>
    <w:p w14:paraId="409CB9C5" w14:textId="77777777" w:rsidR="00FB1314" w:rsidRDefault="00FB1314" w:rsidP="00FB1314">
      <w:pPr>
        <w:bidi w:val="0"/>
        <w:spacing w:after="0"/>
        <w:jc w:val="center"/>
        <w:rPr>
          <w:rFonts w:ascii="Times New Roman" w:hAnsi="Times New Roman" w:cs="Times New Roman"/>
          <w:b/>
          <w:bCs/>
          <w:sz w:val="28"/>
          <w:szCs w:val="28"/>
        </w:rPr>
      </w:pPr>
    </w:p>
    <w:p w14:paraId="578FA1D1" w14:textId="77777777" w:rsidR="00FB1314" w:rsidRDefault="00FB1314" w:rsidP="00FB1314">
      <w:pPr>
        <w:bidi w:val="0"/>
        <w:spacing w:after="0"/>
        <w:jc w:val="center"/>
        <w:rPr>
          <w:rFonts w:ascii="Times New Roman" w:hAnsi="Times New Roman" w:cs="Times New Roman"/>
          <w:b/>
          <w:bCs/>
          <w:sz w:val="28"/>
          <w:szCs w:val="28"/>
        </w:rPr>
      </w:pPr>
    </w:p>
    <w:p w14:paraId="3C3FB44E" w14:textId="77777777" w:rsidR="00FB1314" w:rsidRDefault="00FB1314" w:rsidP="00FB1314">
      <w:pPr>
        <w:bidi w:val="0"/>
        <w:spacing w:after="0"/>
        <w:jc w:val="center"/>
        <w:rPr>
          <w:rFonts w:ascii="Times New Roman" w:hAnsi="Times New Roman" w:cs="Times New Roman"/>
          <w:b/>
          <w:bCs/>
          <w:sz w:val="28"/>
          <w:szCs w:val="28"/>
        </w:rPr>
      </w:pPr>
    </w:p>
    <w:p w14:paraId="72F4E4F5" w14:textId="77777777" w:rsidR="00FB1314" w:rsidRDefault="00FB1314" w:rsidP="00FB1314">
      <w:pPr>
        <w:bidi w:val="0"/>
        <w:spacing w:after="0"/>
        <w:jc w:val="center"/>
        <w:rPr>
          <w:rFonts w:ascii="Times New Roman" w:hAnsi="Times New Roman" w:cs="Times New Roman"/>
          <w:b/>
          <w:bCs/>
          <w:sz w:val="28"/>
          <w:szCs w:val="28"/>
        </w:rPr>
      </w:pPr>
    </w:p>
    <w:p w14:paraId="380075ED" w14:textId="77777777" w:rsidR="00FB1314" w:rsidRDefault="00FB1314" w:rsidP="00FB1314">
      <w:pPr>
        <w:bidi w:val="0"/>
        <w:spacing w:after="0"/>
        <w:jc w:val="center"/>
        <w:rPr>
          <w:rFonts w:ascii="Times New Roman" w:hAnsi="Times New Roman" w:cs="Times New Roman"/>
          <w:b/>
          <w:bCs/>
          <w:sz w:val="28"/>
          <w:szCs w:val="28"/>
        </w:rPr>
      </w:pPr>
    </w:p>
    <w:p w14:paraId="04B8E6BC" w14:textId="77777777" w:rsidR="00FB1314" w:rsidRDefault="00FB1314" w:rsidP="00FB1314">
      <w:pPr>
        <w:bidi w:val="0"/>
        <w:spacing w:after="0"/>
        <w:jc w:val="center"/>
        <w:rPr>
          <w:rFonts w:ascii="Times New Roman" w:hAnsi="Times New Roman" w:cs="Times New Roman"/>
          <w:b/>
          <w:bCs/>
          <w:sz w:val="28"/>
          <w:szCs w:val="28"/>
        </w:rPr>
      </w:pPr>
    </w:p>
    <w:p w14:paraId="44786169" w14:textId="77777777" w:rsidR="00FB1314" w:rsidRDefault="00FB1314" w:rsidP="00FB1314">
      <w:pPr>
        <w:bidi w:val="0"/>
        <w:spacing w:after="0"/>
        <w:jc w:val="center"/>
        <w:rPr>
          <w:rFonts w:ascii="Times New Roman" w:hAnsi="Times New Roman" w:cs="Times New Roman"/>
          <w:b/>
          <w:bCs/>
          <w:sz w:val="28"/>
          <w:szCs w:val="28"/>
        </w:rPr>
      </w:pPr>
    </w:p>
    <w:p w14:paraId="593DCBF0" w14:textId="77777777" w:rsidR="00FB1314" w:rsidRDefault="00FB1314" w:rsidP="00FB1314">
      <w:pPr>
        <w:bidi w:val="0"/>
        <w:spacing w:after="0"/>
        <w:jc w:val="center"/>
        <w:rPr>
          <w:rFonts w:ascii="Times New Roman" w:hAnsi="Times New Roman" w:cs="Times New Roman"/>
          <w:b/>
          <w:bCs/>
          <w:sz w:val="28"/>
          <w:szCs w:val="28"/>
        </w:rPr>
      </w:pPr>
    </w:p>
    <w:p w14:paraId="32C5AB60" w14:textId="77777777" w:rsidR="00FB1314" w:rsidRDefault="00FB1314" w:rsidP="00FB1314">
      <w:pPr>
        <w:bidi w:val="0"/>
        <w:spacing w:after="0"/>
        <w:jc w:val="center"/>
        <w:rPr>
          <w:rFonts w:ascii="Times New Roman" w:hAnsi="Times New Roman" w:cs="Times New Roman"/>
          <w:b/>
          <w:bCs/>
          <w:sz w:val="28"/>
          <w:szCs w:val="28"/>
        </w:rPr>
      </w:pPr>
    </w:p>
    <w:p w14:paraId="644C5F02" w14:textId="77777777" w:rsidR="00FB1314" w:rsidRDefault="00FB1314" w:rsidP="00FB1314">
      <w:pPr>
        <w:bidi w:val="0"/>
        <w:spacing w:after="0"/>
        <w:jc w:val="center"/>
        <w:rPr>
          <w:rFonts w:ascii="Times New Roman" w:hAnsi="Times New Roman" w:cs="Times New Roman"/>
          <w:b/>
          <w:bCs/>
          <w:sz w:val="28"/>
          <w:szCs w:val="28"/>
        </w:rPr>
      </w:pPr>
    </w:p>
    <w:p w14:paraId="60E5C776" w14:textId="77777777" w:rsidR="00FB1314" w:rsidRDefault="00FB1314" w:rsidP="00FB1314">
      <w:pPr>
        <w:bidi w:val="0"/>
        <w:spacing w:after="0"/>
        <w:jc w:val="center"/>
        <w:rPr>
          <w:rFonts w:ascii="Times New Roman" w:hAnsi="Times New Roman" w:cs="Times New Roman"/>
          <w:b/>
          <w:bCs/>
          <w:sz w:val="28"/>
          <w:szCs w:val="28"/>
        </w:rPr>
      </w:pPr>
    </w:p>
    <w:p w14:paraId="6A21DDBF" w14:textId="77777777" w:rsidR="00FB1314" w:rsidRDefault="00FB1314" w:rsidP="00FB1314">
      <w:pPr>
        <w:bidi w:val="0"/>
        <w:spacing w:after="0"/>
        <w:jc w:val="center"/>
        <w:rPr>
          <w:rFonts w:ascii="Times New Roman" w:hAnsi="Times New Roman" w:cs="Times New Roman"/>
          <w:b/>
          <w:bCs/>
          <w:sz w:val="28"/>
          <w:szCs w:val="28"/>
        </w:rPr>
      </w:pPr>
    </w:p>
    <w:p w14:paraId="3044C719" w14:textId="77777777" w:rsidR="00FB1314" w:rsidRDefault="00FB1314" w:rsidP="00FB1314">
      <w:pPr>
        <w:bidi w:val="0"/>
        <w:spacing w:after="0"/>
        <w:rPr>
          <w:rFonts w:ascii="Times New Roman" w:hAnsi="Times New Roman" w:cs="Times New Roman"/>
          <w:b/>
          <w:bCs/>
          <w:sz w:val="28"/>
          <w:szCs w:val="28"/>
        </w:rPr>
      </w:pPr>
    </w:p>
    <w:p w14:paraId="5996D456" w14:textId="77777777" w:rsidR="00FB1314" w:rsidRPr="00363E88" w:rsidRDefault="00FB1314" w:rsidP="00FB1314">
      <w:pPr>
        <w:bidi w:val="0"/>
        <w:spacing w:after="0"/>
        <w:jc w:val="center"/>
        <w:rPr>
          <w:rFonts w:ascii="Times New Roman" w:hAnsi="Times New Roman" w:cs="Times New Roman"/>
          <w:b/>
          <w:bCs/>
          <w:sz w:val="28"/>
          <w:szCs w:val="28"/>
        </w:rPr>
      </w:pPr>
      <w:r>
        <w:rPr>
          <w:rFonts w:ascii="Times New Roman" w:hAnsi="Times New Roman" w:cs="Times New Roman"/>
          <w:b/>
          <w:bCs/>
          <w:sz w:val="28"/>
          <w:szCs w:val="28"/>
        </w:rPr>
        <w:lastRenderedPageBreak/>
        <w:t>Preface</w:t>
      </w:r>
    </w:p>
    <w:p w14:paraId="0A5CC14F"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2370B3EA" w14:textId="77777777" w:rsidR="00FB1314" w:rsidRPr="00872316" w:rsidRDefault="00FB1314" w:rsidP="00FB1314">
      <w:pPr>
        <w:bidi w:val="0"/>
        <w:spacing w:after="0" w:line="240" w:lineRule="auto"/>
        <w:jc w:val="both"/>
        <w:rPr>
          <w:rFonts w:ascii="Times New Roman" w:hAnsi="Times New Roman" w:cs="Times New Roman"/>
          <w:color w:val="000000"/>
          <w:sz w:val="23"/>
          <w:szCs w:val="23"/>
          <w:lang w:eastAsia="ar-SA"/>
        </w:rPr>
      </w:pPr>
      <w:r w:rsidRPr="00872316">
        <w:rPr>
          <w:rFonts w:ascii="Times New Roman" w:hAnsi="Times New Roman" w:cs="Times New Roman"/>
          <w:color w:val="000000"/>
          <w:sz w:val="23"/>
          <w:szCs w:val="23"/>
          <w:lang w:eastAsia="ar-SA"/>
        </w:rPr>
        <w:t>During the historic</w:t>
      </w:r>
      <w:r>
        <w:rPr>
          <w:rFonts w:ascii="Times New Roman" w:hAnsi="Times New Roman" w:cs="Times New Roman"/>
          <w:color w:val="000000"/>
          <w:sz w:val="23"/>
          <w:szCs w:val="23"/>
          <w:lang w:eastAsia="ar-SA"/>
        </w:rPr>
        <w:t>al</w:t>
      </w:r>
      <w:r w:rsidRPr="00872316">
        <w:rPr>
          <w:rFonts w:ascii="Times New Roman" w:hAnsi="Times New Roman" w:cs="Times New Roman"/>
          <w:color w:val="000000"/>
          <w:sz w:val="23"/>
          <w:szCs w:val="23"/>
          <w:lang w:eastAsia="ar-SA"/>
        </w:rPr>
        <w:t xml:space="preserve"> UN Summit attended by world leaders and held at the United Nations General Assembly in September 2015, President Mahmoud Abbas announced that the State of Palestine is committed to the 2030 Agenda for Sustainable Development and the State of Palestine </w:t>
      </w:r>
      <w:r>
        <w:rPr>
          <w:rFonts w:ascii="Times New Roman" w:hAnsi="Times New Roman" w:cs="Times New Roman"/>
          <w:color w:val="000000"/>
          <w:sz w:val="23"/>
          <w:szCs w:val="23"/>
          <w:lang w:eastAsia="ar-SA"/>
        </w:rPr>
        <w:t>officially began</w:t>
      </w:r>
      <w:r w:rsidRPr="00872316">
        <w:rPr>
          <w:rFonts w:ascii="Times New Roman" w:hAnsi="Times New Roman" w:cs="Times New Roman"/>
          <w:color w:val="000000"/>
          <w:sz w:val="23"/>
          <w:szCs w:val="23"/>
          <w:lang w:eastAsia="ar-SA"/>
        </w:rPr>
        <w:t xml:space="preserve"> implementing the plan </w:t>
      </w:r>
      <w:r>
        <w:rPr>
          <w:rFonts w:ascii="Times New Roman" w:hAnsi="Times New Roman" w:cs="Times New Roman"/>
          <w:color w:val="000000"/>
          <w:sz w:val="23"/>
          <w:szCs w:val="23"/>
          <w:lang w:eastAsia="ar-SA"/>
        </w:rPr>
        <w:t xml:space="preserve">on </w:t>
      </w:r>
      <w:r w:rsidRPr="00872316">
        <w:rPr>
          <w:rFonts w:ascii="Times New Roman" w:hAnsi="Times New Roman" w:cs="Times New Roman"/>
          <w:color w:val="000000"/>
          <w:sz w:val="23"/>
          <w:szCs w:val="23"/>
          <w:lang w:eastAsia="ar-SA"/>
        </w:rPr>
        <w:t>January</w:t>
      </w:r>
      <w:r>
        <w:rPr>
          <w:rFonts w:ascii="Times New Roman" w:hAnsi="Times New Roman" w:cs="Times New Roman"/>
          <w:color w:val="000000"/>
          <w:sz w:val="23"/>
          <w:szCs w:val="23"/>
          <w:lang w:eastAsia="ar-SA"/>
        </w:rPr>
        <w:t xml:space="preserve"> 1</w:t>
      </w:r>
      <w:r w:rsidRPr="00872316">
        <w:rPr>
          <w:rFonts w:ascii="Times New Roman" w:hAnsi="Times New Roman" w:cs="Times New Roman"/>
          <w:color w:val="000000"/>
          <w:sz w:val="23"/>
          <w:szCs w:val="23"/>
          <w:lang w:eastAsia="ar-SA"/>
        </w:rPr>
        <w:t xml:space="preserve">, 2016. </w:t>
      </w:r>
      <w:r>
        <w:rPr>
          <w:rFonts w:ascii="Times New Roman" w:hAnsi="Times New Roman" w:cs="Times New Roman"/>
          <w:color w:val="000000"/>
          <w:sz w:val="23"/>
          <w:szCs w:val="23"/>
          <w:lang w:eastAsia="ar-SA"/>
        </w:rPr>
        <w:t>T</w:t>
      </w:r>
      <w:r w:rsidRPr="00872316">
        <w:rPr>
          <w:rFonts w:ascii="Times New Roman" w:hAnsi="Times New Roman" w:cs="Times New Roman"/>
          <w:color w:val="000000"/>
          <w:sz w:val="23"/>
          <w:szCs w:val="23"/>
          <w:lang w:eastAsia="ar-SA"/>
        </w:rPr>
        <w:t xml:space="preserve">he Council of </w:t>
      </w:r>
      <w:r>
        <w:rPr>
          <w:rFonts w:ascii="Times New Roman" w:hAnsi="Times New Roman" w:cs="Times New Roman"/>
          <w:color w:val="000000"/>
          <w:sz w:val="23"/>
          <w:szCs w:val="23"/>
          <w:lang w:eastAsia="ar-SA"/>
        </w:rPr>
        <w:t>M</w:t>
      </w:r>
      <w:r w:rsidRPr="00872316">
        <w:rPr>
          <w:rFonts w:ascii="Times New Roman" w:hAnsi="Times New Roman" w:cs="Times New Roman"/>
          <w:color w:val="000000"/>
          <w:sz w:val="23"/>
          <w:szCs w:val="23"/>
          <w:lang w:eastAsia="ar-SA"/>
        </w:rPr>
        <w:t xml:space="preserve">inistries issued a decree on formation of the National Team headed by </w:t>
      </w:r>
      <w:r>
        <w:rPr>
          <w:rFonts w:ascii="Times New Roman" w:hAnsi="Times New Roman" w:cs="Times New Roman"/>
          <w:color w:val="000000"/>
          <w:sz w:val="23"/>
          <w:szCs w:val="23"/>
          <w:lang w:eastAsia="ar-SA"/>
        </w:rPr>
        <w:t>t</w:t>
      </w:r>
      <w:r w:rsidRPr="00872316">
        <w:rPr>
          <w:rFonts w:ascii="Times New Roman" w:hAnsi="Times New Roman" w:cs="Times New Roman"/>
          <w:color w:val="000000"/>
          <w:sz w:val="23"/>
          <w:szCs w:val="23"/>
          <w:lang w:eastAsia="ar-SA"/>
        </w:rPr>
        <w:t>he Prime Minister's Office and the membership of ministries and related institutions including the Palestinian Central Bureau of Statistics (PCBS), as well as representatives from civil society and the private sector. The team worked on identifying the national priorities of the SDGs, within the sectoral strategic plans and the relevant interventions that will lead to achiev</w:t>
      </w:r>
      <w:r>
        <w:rPr>
          <w:rFonts w:ascii="Times New Roman" w:hAnsi="Times New Roman" w:cs="Times New Roman"/>
          <w:color w:val="000000"/>
          <w:sz w:val="23"/>
          <w:szCs w:val="23"/>
          <w:lang w:eastAsia="ar-SA"/>
        </w:rPr>
        <w:t>ing</w:t>
      </w:r>
      <w:r w:rsidRPr="00872316">
        <w:rPr>
          <w:rFonts w:ascii="Times New Roman" w:hAnsi="Times New Roman" w:cs="Times New Roman"/>
          <w:color w:val="000000"/>
          <w:sz w:val="23"/>
          <w:szCs w:val="23"/>
          <w:lang w:eastAsia="ar-SA"/>
        </w:rPr>
        <w:t xml:space="preserve"> these priorities.</w:t>
      </w:r>
    </w:p>
    <w:p w14:paraId="35B2E509" w14:textId="77777777" w:rsidR="00FB1314" w:rsidRPr="00872316" w:rsidRDefault="00FB1314" w:rsidP="00FB1314">
      <w:pPr>
        <w:bidi w:val="0"/>
        <w:spacing w:after="0" w:line="240" w:lineRule="auto"/>
        <w:jc w:val="both"/>
        <w:rPr>
          <w:rFonts w:ascii="Times New Roman" w:hAnsi="Times New Roman" w:cs="Times New Roman"/>
          <w:color w:val="000000"/>
          <w:sz w:val="20"/>
          <w:szCs w:val="20"/>
          <w:rtl/>
          <w:lang w:eastAsia="ar-SA"/>
        </w:rPr>
      </w:pPr>
    </w:p>
    <w:p w14:paraId="2B09599F" w14:textId="77777777" w:rsidR="00FB1314" w:rsidRPr="00872316" w:rsidRDefault="00FB1314" w:rsidP="00FB1314">
      <w:pPr>
        <w:bidi w:val="0"/>
        <w:spacing w:after="0" w:line="240" w:lineRule="auto"/>
        <w:jc w:val="both"/>
        <w:rPr>
          <w:rFonts w:ascii="Times New Roman" w:hAnsi="Times New Roman" w:cs="Times New Roman"/>
          <w:color w:val="000000"/>
          <w:sz w:val="23"/>
          <w:szCs w:val="23"/>
          <w:lang w:eastAsia="ar-SA"/>
        </w:rPr>
      </w:pPr>
      <w:r>
        <w:rPr>
          <w:rFonts w:ascii="Times New Roman" w:hAnsi="Times New Roman" w:cs="Times New Roman"/>
          <w:color w:val="000000"/>
          <w:sz w:val="23"/>
          <w:szCs w:val="23"/>
          <w:lang w:eastAsia="ar-SA"/>
        </w:rPr>
        <w:t>A</w:t>
      </w:r>
      <w:r w:rsidRPr="00872316">
        <w:rPr>
          <w:rFonts w:ascii="Times New Roman" w:hAnsi="Times New Roman" w:cs="Times New Roman"/>
          <w:color w:val="000000"/>
          <w:sz w:val="23"/>
          <w:szCs w:val="23"/>
          <w:lang w:eastAsia="ar-SA"/>
        </w:rPr>
        <w:t xml:space="preserve">s the official institution </w:t>
      </w:r>
      <w:r>
        <w:rPr>
          <w:rFonts w:ascii="Times New Roman" w:hAnsi="Times New Roman" w:cs="Times New Roman"/>
          <w:color w:val="000000"/>
          <w:sz w:val="23"/>
          <w:szCs w:val="23"/>
          <w:lang w:eastAsia="ar-SA"/>
        </w:rPr>
        <w:t xml:space="preserve">mandated </w:t>
      </w:r>
      <w:r w:rsidRPr="00872316">
        <w:rPr>
          <w:rFonts w:ascii="Times New Roman" w:hAnsi="Times New Roman" w:cs="Times New Roman"/>
          <w:color w:val="000000"/>
          <w:sz w:val="23"/>
          <w:szCs w:val="23"/>
          <w:lang w:eastAsia="ar-SA"/>
        </w:rPr>
        <w:t xml:space="preserve">to monitor and modernize the SDG indicators by providing the required data in cooperation with Palestinian partners, PCBS assessed the global framework of SDGs indicators and </w:t>
      </w:r>
      <w:r>
        <w:rPr>
          <w:rFonts w:ascii="Times New Roman" w:hAnsi="Times New Roman" w:cs="Times New Roman"/>
          <w:color w:val="000000"/>
          <w:sz w:val="23"/>
          <w:szCs w:val="23"/>
          <w:lang w:eastAsia="ar-SA"/>
        </w:rPr>
        <w:t>their</w:t>
      </w:r>
      <w:r w:rsidRPr="00872316">
        <w:rPr>
          <w:rFonts w:ascii="Times New Roman" w:hAnsi="Times New Roman" w:cs="Times New Roman"/>
          <w:color w:val="000000"/>
          <w:sz w:val="23"/>
          <w:szCs w:val="23"/>
          <w:lang w:eastAsia="ar-SA"/>
        </w:rPr>
        <w:t xml:space="preserve"> relevance </w:t>
      </w:r>
      <w:r>
        <w:rPr>
          <w:rFonts w:ascii="Times New Roman" w:hAnsi="Times New Roman" w:cs="Times New Roman"/>
          <w:color w:val="000000"/>
          <w:sz w:val="23"/>
          <w:szCs w:val="23"/>
          <w:lang w:eastAsia="ar-SA"/>
        </w:rPr>
        <w:t>to</w:t>
      </w:r>
      <w:r w:rsidRPr="00872316">
        <w:rPr>
          <w:rFonts w:ascii="Times New Roman" w:hAnsi="Times New Roman" w:cs="Times New Roman"/>
          <w:color w:val="000000"/>
          <w:sz w:val="23"/>
          <w:szCs w:val="23"/>
          <w:lang w:eastAsia="ar-SA"/>
        </w:rPr>
        <w:t xml:space="preserve"> the national context </w:t>
      </w:r>
      <w:r>
        <w:rPr>
          <w:rFonts w:ascii="Times New Roman" w:hAnsi="Times New Roman" w:cs="Times New Roman"/>
          <w:color w:val="000000"/>
          <w:sz w:val="23"/>
          <w:szCs w:val="23"/>
          <w:lang w:eastAsia="ar-SA"/>
        </w:rPr>
        <w:t xml:space="preserve">in addition to their </w:t>
      </w:r>
      <w:r w:rsidRPr="00872316">
        <w:rPr>
          <w:rFonts w:ascii="Times New Roman" w:hAnsi="Times New Roman" w:cs="Times New Roman"/>
          <w:color w:val="000000"/>
          <w:sz w:val="23"/>
          <w:szCs w:val="23"/>
          <w:lang w:eastAsia="ar-SA"/>
        </w:rPr>
        <w:t xml:space="preserve">priority </w:t>
      </w:r>
      <w:r>
        <w:rPr>
          <w:rFonts w:ascii="Times New Roman" w:hAnsi="Times New Roman" w:cs="Times New Roman"/>
          <w:color w:val="000000"/>
          <w:sz w:val="23"/>
          <w:szCs w:val="23"/>
          <w:lang w:eastAsia="ar-SA"/>
        </w:rPr>
        <w:t xml:space="preserve">level </w:t>
      </w:r>
      <w:r w:rsidRPr="00872316">
        <w:rPr>
          <w:rFonts w:ascii="Times New Roman" w:hAnsi="Times New Roman" w:cs="Times New Roman"/>
          <w:color w:val="000000"/>
          <w:sz w:val="23"/>
          <w:szCs w:val="23"/>
          <w:lang w:eastAsia="ar-SA"/>
        </w:rPr>
        <w:t>based on the strategic plans and the methodologies to provide data with all related mechanisms including data sources. In light of the technological development</w:t>
      </w:r>
      <w:r>
        <w:rPr>
          <w:rFonts w:ascii="Times New Roman" w:hAnsi="Times New Roman" w:cs="Times New Roman"/>
          <w:color w:val="000000"/>
          <w:sz w:val="23"/>
          <w:szCs w:val="23"/>
          <w:lang w:eastAsia="ar-SA"/>
        </w:rPr>
        <w:t>s</w:t>
      </w:r>
      <w:r w:rsidRPr="00872316">
        <w:rPr>
          <w:rFonts w:ascii="Times New Roman" w:hAnsi="Times New Roman" w:cs="Times New Roman"/>
          <w:color w:val="000000"/>
          <w:sz w:val="23"/>
          <w:szCs w:val="23"/>
          <w:lang w:eastAsia="ar-SA"/>
        </w:rPr>
        <w:t xml:space="preserve"> and the data revolution, modernization of statistical systems has become directly linked to the expansion and enhancement of data with all </w:t>
      </w:r>
      <w:r>
        <w:rPr>
          <w:rFonts w:ascii="Times New Roman" w:hAnsi="Times New Roman" w:cs="Times New Roman"/>
          <w:color w:val="000000"/>
          <w:sz w:val="23"/>
          <w:szCs w:val="23"/>
          <w:lang w:eastAsia="ar-SA"/>
        </w:rPr>
        <w:t xml:space="preserve">involved </w:t>
      </w:r>
      <w:r w:rsidRPr="00872316">
        <w:rPr>
          <w:rFonts w:ascii="Times New Roman" w:hAnsi="Times New Roman" w:cs="Times New Roman"/>
          <w:color w:val="000000"/>
          <w:sz w:val="23"/>
          <w:szCs w:val="23"/>
          <w:lang w:eastAsia="ar-SA"/>
        </w:rPr>
        <w:t xml:space="preserve">parties </w:t>
      </w:r>
      <w:r>
        <w:rPr>
          <w:rFonts w:ascii="Times New Roman" w:hAnsi="Times New Roman" w:cs="Times New Roman"/>
          <w:color w:val="000000"/>
          <w:sz w:val="23"/>
          <w:szCs w:val="23"/>
          <w:lang w:eastAsia="ar-SA"/>
        </w:rPr>
        <w:t xml:space="preserve">at </w:t>
      </w:r>
      <w:r w:rsidRPr="00872316">
        <w:rPr>
          <w:rFonts w:ascii="Times New Roman" w:hAnsi="Times New Roman" w:cs="Times New Roman"/>
          <w:color w:val="000000"/>
          <w:sz w:val="23"/>
          <w:szCs w:val="23"/>
          <w:lang w:eastAsia="ar-SA"/>
        </w:rPr>
        <w:t>the state and the national</w:t>
      </w:r>
      <w:r>
        <w:rPr>
          <w:rFonts w:ascii="Times New Roman" w:hAnsi="Times New Roman" w:cs="Times New Roman"/>
          <w:color w:val="000000"/>
          <w:sz w:val="23"/>
          <w:szCs w:val="23"/>
          <w:lang w:eastAsia="ar-SA"/>
        </w:rPr>
        <w:t xml:space="preserve"> level</w:t>
      </w:r>
      <w:r w:rsidRPr="00872316">
        <w:rPr>
          <w:rFonts w:ascii="Times New Roman" w:hAnsi="Times New Roman" w:cs="Times New Roman"/>
          <w:color w:val="000000"/>
          <w:sz w:val="23"/>
          <w:szCs w:val="23"/>
          <w:lang w:eastAsia="ar-SA"/>
        </w:rPr>
        <w:t xml:space="preserve">, including the private sector. The </w:t>
      </w:r>
      <w:r>
        <w:rPr>
          <w:rFonts w:ascii="Times New Roman" w:hAnsi="Times New Roman" w:cs="Times New Roman"/>
          <w:color w:val="000000"/>
          <w:sz w:val="23"/>
          <w:szCs w:val="23"/>
          <w:lang w:eastAsia="ar-SA"/>
        </w:rPr>
        <w:t xml:space="preserve">agency’s </w:t>
      </w:r>
      <w:r w:rsidRPr="00872316">
        <w:rPr>
          <w:rFonts w:ascii="Times New Roman" w:hAnsi="Times New Roman" w:cs="Times New Roman"/>
          <w:color w:val="000000"/>
          <w:sz w:val="23"/>
          <w:szCs w:val="23"/>
          <w:lang w:eastAsia="ar-SA"/>
        </w:rPr>
        <w:t>work teams made intensive efforts to coordinate with all agencies and traditional and modern data sources to benefit from them in responding to the requirements and monitoring of sustainable development indicators and to bridge the gap in the data shortage required from the sources that the official administrative agencies rel</w:t>
      </w:r>
      <w:r>
        <w:rPr>
          <w:rFonts w:ascii="Times New Roman" w:hAnsi="Times New Roman" w:cs="Times New Roman"/>
          <w:color w:val="000000"/>
          <w:sz w:val="23"/>
          <w:szCs w:val="23"/>
          <w:lang w:eastAsia="ar-SA"/>
        </w:rPr>
        <w:t>ied</w:t>
      </w:r>
      <w:r w:rsidRPr="00872316">
        <w:rPr>
          <w:rFonts w:ascii="Times New Roman" w:hAnsi="Times New Roman" w:cs="Times New Roman"/>
          <w:color w:val="000000"/>
          <w:sz w:val="23"/>
          <w:szCs w:val="23"/>
          <w:lang w:eastAsia="ar-SA"/>
        </w:rPr>
        <w:t xml:space="preserve"> on.</w:t>
      </w:r>
    </w:p>
    <w:p w14:paraId="20BFE9F4" w14:textId="77777777" w:rsidR="00FB1314" w:rsidRPr="00872316" w:rsidRDefault="00FB1314" w:rsidP="00FB1314">
      <w:pPr>
        <w:bidi w:val="0"/>
        <w:spacing w:after="0" w:line="240" w:lineRule="auto"/>
        <w:jc w:val="both"/>
        <w:rPr>
          <w:rFonts w:ascii="Times New Roman" w:hAnsi="Times New Roman" w:cs="Times New Roman"/>
          <w:color w:val="000000"/>
          <w:sz w:val="20"/>
          <w:szCs w:val="20"/>
          <w:lang w:eastAsia="ar-SA"/>
        </w:rPr>
      </w:pPr>
    </w:p>
    <w:p w14:paraId="7D7EEA29" w14:textId="77777777" w:rsidR="00FB1314" w:rsidRPr="00872316" w:rsidRDefault="00FB1314" w:rsidP="00FB1314">
      <w:pPr>
        <w:bidi w:val="0"/>
        <w:spacing w:after="0" w:line="240" w:lineRule="auto"/>
        <w:jc w:val="both"/>
        <w:rPr>
          <w:rFonts w:ascii="Times New Roman" w:hAnsi="Times New Roman" w:cs="Times New Roman"/>
          <w:color w:val="000000"/>
          <w:sz w:val="23"/>
          <w:szCs w:val="23"/>
          <w:lang w:eastAsia="ar-SA"/>
        </w:rPr>
      </w:pPr>
      <w:r>
        <w:rPr>
          <w:rFonts w:ascii="Times New Roman" w:hAnsi="Times New Roman" w:cs="Times New Roman"/>
          <w:color w:val="000000"/>
          <w:sz w:val="23"/>
          <w:szCs w:val="23"/>
          <w:lang w:eastAsia="ar-SA"/>
        </w:rPr>
        <w:t xml:space="preserve">Due to continuous </w:t>
      </w:r>
      <w:r w:rsidRPr="00872316">
        <w:rPr>
          <w:rFonts w:ascii="Times New Roman" w:hAnsi="Times New Roman" w:cs="Times New Roman"/>
          <w:color w:val="000000"/>
          <w:sz w:val="23"/>
          <w:szCs w:val="23"/>
          <w:lang w:eastAsia="ar-SA"/>
        </w:rPr>
        <w:t>PCBS efforts in cooperation with all partners, PCBS launched the database of the sustainable development indicators available for public use with the possible time series and disaggregation</w:t>
      </w:r>
      <w:r>
        <w:rPr>
          <w:rFonts w:ascii="Times New Roman" w:hAnsi="Times New Roman" w:cs="Times New Roman"/>
          <w:color w:val="000000"/>
          <w:sz w:val="23"/>
          <w:szCs w:val="23"/>
          <w:lang w:eastAsia="ar-SA"/>
        </w:rPr>
        <w:t>. T</w:t>
      </w:r>
      <w:r w:rsidRPr="00872316">
        <w:rPr>
          <w:rFonts w:ascii="Times New Roman" w:hAnsi="Times New Roman" w:cs="Times New Roman"/>
          <w:color w:val="000000"/>
          <w:sz w:val="23"/>
          <w:szCs w:val="23"/>
          <w:lang w:eastAsia="ar-SA"/>
        </w:rPr>
        <w:t xml:space="preserve">his database </w:t>
      </w:r>
      <w:r>
        <w:rPr>
          <w:rFonts w:ascii="Times New Roman" w:hAnsi="Times New Roman" w:cs="Times New Roman"/>
          <w:color w:val="000000"/>
          <w:sz w:val="23"/>
          <w:szCs w:val="23"/>
          <w:lang w:eastAsia="ar-SA"/>
        </w:rPr>
        <w:t xml:space="preserve">will be </w:t>
      </w:r>
      <w:r w:rsidRPr="00872316">
        <w:rPr>
          <w:rFonts w:ascii="Times New Roman" w:hAnsi="Times New Roman" w:cs="Times New Roman"/>
          <w:color w:val="000000"/>
          <w:sz w:val="23"/>
          <w:szCs w:val="23"/>
          <w:lang w:eastAsia="ar-SA"/>
        </w:rPr>
        <w:t xml:space="preserve">upgraded </w:t>
      </w:r>
      <w:r>
        <w:rPr>
          <w:rFonts w:ascii="Times New Roman" w:hAnsi="Times New Roman" w:cs="Times New Roman"/>
          <w:color w:val="000000"/>
          <w:sz w:val="23"/>
          <w:szCs w:val="23"/>
          <w:lang w:eastAsia="ar-SA"/>
        </w:rPr>
        <w:t>and</w:t>
      </w:r>
      <w:r w:rsidRPr="00872316">
        <w:rPr>
          <w:rFonts w:ascii="Times New Roman" w:hAnsi="Times New Roman" w:cs="Times New Roman"/>
          <w:color w:val="000000"/>
          <w:sz w:val="23"/>
          <w:szCs w:val="23"/>
          <w:lang w:eastAsia="ar-SA"/>
        </w:rPr>
        <w:t xml:space="preserve"> launched as an interactive one to facilitate and clarify the data presentation for the purposes of planning and decision-making as well as for report writing, </w:t>
      </w:r>
      <w:r>
        <w:rPr>
          <w:rFonts w:ascii="Times New Roman" w:hAnsi="Times New Roman" w:cs="Times New Roman"/>
          <w:color w:val="000000"/>
          <w:sz w:val="23"/>
          <w:szCs w:val="23"/>
          <w:lang w:eastAsia="ar-SA"/>
        </w:rPr>
        <w:t xml:space="preserve">and </w:t>
      </w:r>
      <w:r w:rsidRPr="00872316">
        <w:rPr>
          <w:rFonts w:ascii="Times New Roman" w:hAnsi="Times New Roman" w:cs="Times New Roman"/>
          <w:color w:val="000000"/>
          <w:sz w:val="23"/>
          <w:szCs w:val="23"/>
          <w:lang w:eastAsia="ar-SA"/>
        </w:rPr>
        <w:t xml:space="preserve">foremost </w:t>
      </w:r>
      <w:r>
        <w:rPr>
          <w:rFonts w:ascii="Times New Roman" w:hAnsi="Times New Roman" w:cs="Times New Roman"/>
          <w:color w:val="000000"/>
          <w:sz w:val="23"/>
          <w:szCs w:val="23"/>
          <w:lang w:eastAsia="ar-SA"/>
        </w:rPr>
        <w:t xml:space="preserve">for </w:t>
      </w:r>
      <w:r w:rsidRPr="00872316">
        <w:rPr>
          <w:rFonts w:ascii="Times New Roman" w:hAnsi="Times New Roman" w:cs="Times New Roman"/>
          <w:color w:val="000000"/>
          <w:sz w:val="23"/>
          <w:szCs w:val="23"/>
          <w:lang w:eastAsia="ar-SA"/>
        </w:rPr>
        <w:t>the experience of preparing the first voluntary national review report that was submitted by the national team in 2018.</w:t>
      </w:r>
    </w:p>
    <w:p w14:paraId="08EA33C3" w14:textId="77777777" w:rsidR="00FB1314" w:rsidRPr="00872316" w:rsidRDefault="00FB1314" w:rsidP="00FB1314">
      <w:pPr>
        <w:bidi w:val="0"/>
        <w:spacing w:after="0" w:line="240" w:lineRule="auto"/>
        <w:jc w:val="both"/>
        <w:rPr>
          <w:rFonts w:ascii="Times New Roman" w:hAnsi="Times New Roman" w:cs="Times New Roman"/>
          <w:color w:val="000000"/>
          <w:sz w:val="20"/>
          <w:szCs w:val="20"/>
          <w:lang w:eastAsia="ar-SA"/>
        </w:rPr>
      </w:pPr>
    </w:p>
    <w:p w14:paraId="1BD085E6" w14:textId="77777777" w:rsidR="00FB1314" w:rsidRPr="00872316" w:rsidRDefault="00FB1314" w:rsidP="00FB1314">
      <w:pPr>
        <w:bidi w:val="0"/>
        <w:spacing w:after="0" w:line="240" w:lineRule="auto"/>
        <w:jc w:val="both"/>
        <w:rPr>
          <w:rFonts w:ascii="Times New Roman" w:hAnsi="Times New Roman" w:cs="Times New Roman"/>
          <w:color w:val="000000"/>
          <w:sz w:val="23"/>
          <w:szCs w:val="23"/>
          <w:lang w:eastAsia="ar-SA"/>
        </w:rPr>
      </w:pPr>
      <w:r w:rsidRPr="00872316">
        <w:rPr>
          <w:rFonts w:ascii="Times New Roman" w:hAnsi="Times New Roman" w:cs="Times New Roman"/>
          <w:color w:val="000000"/>
          <w:sz w:val="23"/>
          <w:szCs w:val="23"/>
          <w:lang w:eastAsia="ar-SA"/>
        </w:rPr>
        <w:t>Within the framework of producing data covering sustainable development indicators, PCBS joined an international pilot project with only</w:t>
      </w:r>
      <w:r>
        <w:rPr>
          <w:rFonts w:ascii="Times New Roman" w:hAnsi="Times New Roman" w:cs="Times New Roman"/>
          <w:color w:val="000000"/>
          <w:sz w:val="23"/>
          <w:szCs w:val="23"/>
          <w:lang w:eastAsia="ar-SA"/>
        </w:rPr>
        <w:t xml:space="preserve"> 20</w:t>
      </w:r>
      <w:r w:rsidRPr="00872316">
        <w:rPr>
          <w:rFonts w:ascii="Times New Roman" w:hAnsi="Times New Roman" w:cs="Times New Roman"/>
          <w:color w:val="000000"/>
          <w:sz w:val="23"/>
          <w:szCs w:val="23"/>
          <w:lang w:eastAsia="ar-SA"/>
        </w:rPr>
        <w:t xml:space="preserve"> countries on Statistical Data and Meta Data Exchange (SDMX) led by the United Nations Statistics Division, as well as updating and using the framework </w:t>
      </w:r>
      <w:r>
        <w:rPr>
          <w:rFonts w:ascii="Times New Roman" w:hAnsi="Times New Roman" w:cs="Times New Roman"/>
          <w:color w:val="000000"/>
          <w:sz w:val="23"/>
          <w:szCs w:val="23"/>
          <w:lang w:eastAsia="ar-SA"/>
        </w:rPr>
        <w:t>of t</w:t>
      </w:r>
      <w:r w:rsidRPr="00872316">
        <w:rPr>
          <w:rFonts w:ascii="Times New Roman" w:hAnsi="Times New Roman" w:cs="Times New Roman"/>
          <w:color w:val="000000"/>
          <w:sz w:val="23"/>
          <w:szCs w:val="23"/>
          <w:lang w:eastAsia="ar-SA"/>
        </w:rPr>
        <w:t>he Standardized Generic Statistical Business Process Model (GSBPM).</w:t>
      </w:r>
    </w:p>
    <w:p w14:paraId="29AD9C07" w14:textId="77777777" w:rsidR="00FB1314" w:rsidRPr="00872316" w:rsidRDefault="00FB1314" w:rsidP="00FB1314">
      <w:pPr>
        <w:bidi w:val="0"/>
        <w:spacing w:after="0" w:line="240" w:lineRule="auto"/>
        <w:jc w:val="both"/>
        <w:rPr>
          <w:rFonts w:ascii="Times New Roman" w:hAnsi="Times New Roman" w:cs="Times New Roman"/>
          <w:color w:val="000000"/>
          <w:sz w:val="20"/>
          <w:szCs w:val="20"/>
          <w:lang w:eastAsia="ar-SA"/>
        </w:rPr>
      </w:pPr>
    </w:p>
    <w:p w14:paraId="0447795C" w14:textId="77777777" w:rsidR="00FB1314" w:rsidRDefault="00AE5551" w:rsidP="00686D46">
      <w:pPr>
        <w:bidi w:val="0"/>
        <w:spacing w:after="0" w:line="240" w:lineRule="auto"/>
        <w:jc w:val="both"/>
        <w:rPr>
          <w:rFonts w:ascii="Times New Roman" w:hAnsi="Times New Roman" w:cs="Times New Roman"/>
          <w:color w:val="000000"/>
          <w:sz w:val="23"/>
          <w:szCs w:val="23"/>
          <w:lang w:eastAsia="ar-SA"/>
        </w:rPr>
      </w:pPr>
      <w:r>
        <w:rPr>
          <w:rFonts w:ascii="Times New Roman" w:hAnsi="Times New Roman" w:cs="Times New Roman"/>
          <w:color w:val="000000"/>
          <w:sz w:val="23"/>
          <w:szCs w:val="23"/>
          <w:lang w:eastAsia="ar-SA"/>
        </w:rPr>
        <w:t xml:space="preserve">The </w:t>
      </w:r>
      <w:r w:rsidR="00FB1314">
        <w:rPr>
          <w:rFonts w:ascii="Times New Roman" w:hAnsi="Times New Roman" w:cs="Times New Roman"/>
          <w:color w:val="000000"/>
          <w:sz w:val="23"/>
          <w:szCs w:val="23"/>
          <w:lang w:eastAsia="ar-SA"/>
        </w:rPr>
        <w:t>M</w:t>
      </w:r>
      <w:r w:rsidR="00FB1314" w:rsidRPr="00F77825">
        <w:rPr>
          <w:rFonts w:ascii="Times New Roman" w:hAnsi="Times New Roman" w:cs="Times New Roman"/>
          <w:color w:val="000000"/>
          <w:sz w:val="23"/>
          <w:szCs w:val="23"/>
          <w:lang w:eastAsia="ar-SA"/>
        </w:rPr>
        <w:t>oderniz</w:t>
      </w:r>
      <w:r>
        <w:rPr>
          <w:rFonts w:ascii="Times New Roman" w:hAnsi="Times New Roman" w:cs="Times New Roman"/>
          <w:color w:val="000000"/>
          <w:sz w:val="23"/>
          <w:szCs w:val="23"/>
          <w:lang w:eastAsia="ar-SA"/>
        </w:rPr>
        <w:t xml:space="preserve">e </w:t>
      </w:r>
      <w:r w:rsidR="00FB1314" w:rsidRPr="00F77825">
        <w:rPr>
          <w:rFonts w:ascii="Times New Roman" w:hAnsi="Times New Roman" w:cs="Times New Roman"/>
          <w:color w:val="000000"/>
          <w:sz w:val="23"/>
          <w:szCs w:val="23"/>
          <w:lang w:eastAsia="ar-SA"/>
        </w:rPr>
        <w:t>and strength</w:t>
      </w:r>
      <w:r>
        <w:rPr>
          <w:rFonts w:ascii="Times New Roman" w:hAnsi="Times New Roman" w:cs="Times New Roman"/>
          <w:color w:val="000000"/>
          <w:sz w:val="23"/>
          <w:szCs w:val="23"/>
          <w:lang w:eastAsia="ar-SA"/>
        </w:rPr>
        <w:t xml:space="preserve"> of</w:t>
      </w:r>
      <w:r w:rsidR="00FB1314">
        <w:rPr>
          <w:rFonts w:ascii="Times New Roman" w:hAnsi="Times New Roman" w:cs="Times New Roman"/>
          <w:color w:val="000000"/>
          <w:sz w:val="23"/>
          <w:szCs w:val="23"/>
          <w:lang w:eastAsia="ar-SA"/>
        </w:rPr>
        <w:t xml:space="preserve">the </w:t>
      </w:r>
      <w:r w:rsidR="00FB1314" w:rsidRPr="00F77825">
        <w:rPr>
          <w:rFonts w:ascii="Times New Roman" w:hAnsi="Times New Roman" w:cs="Times New Roman"/>
          <w:color w:val="000000"/>
          <w:sz w:val="23"/>
          <w:szCs w:val="23"/>
          <w:lang w:eastAsia="ar-SA"/>
        </w:rPr>
        <w:t>statistical systems is the bas</w:t>
      </w:r>
      <w:r>
        <w:rPr>
          <w:rFonts w:ascii="Times New Roman" w:hAnsi="Times New Roman" w:cs="Times New Roman"/>
          <w:color w:val="000000"/>
          <w:sz w:val="23"/>
          <w:szCs w:val="23"/>
          <w:lang w:eastAsia="ar-SA"/>
        </w:rPr>
        <w:t>e</w:t>
      </w:r>
      <w:r w:rsidR="00FB1314" w:rsidRPr="00F77825">
        <w:rPr>
          <w:rFonts w:ascii="Times New Roman" w:hAnsi="Times New Roman" w:cs="Times New Roman"/>
          <w:color w:val="000000"/>
          <w:sz w:val="23"/>
          <w:szCs w:val="23"/>
          <w:lang w:eastAsia="ar-SA"/>
        </w:rPr>
        <w:t xml:space="preserve"> for achieving the ambitious requirements of the SDGs</w:t>
      </w:r>
      <w:r w:rsidR="00FB1314">
        <w:rPr>
          <w:rFonts w:ascii="Times New Roman" w:hAnsi="Times New Roman" w:cs="Times New Roman"/>
          <w:color w:val="000000"/>
          <w:sz w:val="23"/>
          <w:szCs w:val="23"/>
          <w:lang w:eastAsia="ar-SA"/>
        </w:rPr>
        <w:t xml:space="preserve">. </w:t>
      </w:r>
      <w:r w:rsidR="00FB1314" w:rsidRPr="00F77825">
        <w:rPr>
          <w:rFonts w:ascii="Times New Roman" w:hAnsi="Times New Roman" w:cs="Times New Roman"/>
          <w:color w:val="000000"/>
          <w:sz w:val="23"/>
          <w:szCs w:val="23"/>
          <w:lang w:eastAsia="ar-SA"/>
        </w:rPr>
        <w:t>PCBS is joining as a co-chair member in the High Level Group for Partnership, Coordination and Capacity Building for Statistics for the 2030 Agenda for Sustainable Development (HLG-PCCB).</w:t>
      </w:r>
      <w:r w:rsidR="00686D46">
        <w:rPr>
          <w:rFonts w:ascii="Times New Roman" w:hAnsi="Times New Roman" w:cs="Times New Roman"/>
          <w:color w:val="000000"/>
          <w:sz w:val="23"/>
          <w:szCs w:val="23"/>
          <w:lang w:eastAsia="ar-SA"/>
        </w:rPr>
        <w:t xml:space="preserve">  Moreover,</w:t>
      </w:r>
      <w:r w:rsidR="00686D46" w:rsidRPr="00872316">
        <w:rPr>
          <w:rFonts w:ascii="Times New Roman" w:hAnsi="Times New Roman" w:cs="Times New Roman"/>
          <w:color w:val="000000"/>
          <w:sz w:val="23"/>
          <w:szCs w:val="23"/>
          <w:lang w:eastAsia="ar-SA"/>
        </w:rPr>
        <w:t>PCBS participat</w:t>
      </w:r>
      <w:r w:rsidR="00686D46">
        <w:rPr>
          <w:rFonts w:ascii="Times New Roman" w:hAnsi="Times New Roman" w:cs="Times New Roman"/>
          <w:color w:val="000000"/>
          <w:sz w:val="23"/>
          <w:szCs w:val="23"/>
          <w:lang w:eastAsia="ar-SA"/>
        </w:rPr>
        <w:t xml:space="preserve">ion </w:t>
      </w:r>
      <w:r w:rsidR="00686D46" w:rsidRPr="00872316">
        <w:rPr>
          <w:rFonts w:ascii="Times New Roman" w:hAnsi="Times New Roman" w:cs="Times New Roman"/>
          <w:color w:val="000000"/>
          <w:sz w:val="23"/>
          <w:szCs w:val="23"/>
          <w:lang w:eastAsia="ar-SA"/>
        </w:rPr>
        <w:t xml:space="preserve">in many </w:t>
      </w:r>
      <w:r w:rsidR="00686D46">
        <w:rPr>
          <w:rFonts w:ascii="Times New Roman" w:hAnsi="Times New Roman" w:cs="Times New Roman"/>
          <w:color w:val="000000"/>
          <w:sz w:val="23"/>
          <w:szCs w:val="23"/>
          <w:lang w:eastAsia="ar-SA"/>
        </w:rPr>
        <w:t>i</w:t>
      </w:r>
      <w:r w:rsidR="00686D46" w:rsidRPr="00872316">
        <w:rPr>
          <w:rFonts w:ascii="Times New Roman" w:hAnsi="Times New Roman" w:cs="Times New Roman"/>
          <w:color w:val="000000"/>
          <w:sz w:val="23"/>
          <w:szCs w:val="23"/>
          <w:lang w:eastAsia="ar-SA"/>
        </w:rPr>
        <w:t xml:space="preserve">nternational and regional initiatives to enhance this role, </w:t>
      </w:r>
      <w:r w:rsidR="00686D46">
        <w:rPr>
          <w:rFonts w:ascii="Times New Roman" w:hAnsi="Times New Roman" w:cs="Times New Roman"/>
          <w:color w:val="000000"/>
          <w:sz w:val="23"/>
          <w:szCs w:val="23"/>
          <w:lang w:eastAsia="ar-SA"/>
        </w:rPr>
        <w:t xml:space="preserve">besides </w:t>
      </w:r>
      <w:r w:rsidR="00686D46" w:rsidRPr="00872316">
        <w:rPr>
          <w:rFonts w:ascii="Times New Roman" w:hAnsi="Times New Roman" w:cs="Times New Roman"/>
          <w:color w:val="000000"/>
          <w:sz w:val="23"/>
          <w:szCs w:val="23"/>
          <w:lang w:eastAsia="ar-SA"/>
        </w:rPr>
        <w:t>the active role on the national level</w:t>
      </w:r>
      <w:r w:rsidR="00686D46">
        <w:rPr>
          <w:rFonts w:ascii="Times New Roman" w:hAnsi="Times New Roman" w:cs="Times New Roman"/>
          <w:color w:val="000000"/>
          <w:sz w:val="23"/>
          <w:szCs w:val="23"/>
          <w:lang w:eastAsia="ar-SA"/>
        </w:rPr>
        <w:t>.</w:t>
      </w:r>
    </w:p>
    <w:p w14:paraId="45077678" w14:textId="77777777" w:rsidR="00686D46" w:rsidRPr="0045166A" w:rsidRDefault="00686D46" w:rsidP="00686D46">
      <w:pPr>
        <w:bidi w:val="0"/>
        <w:spacing w:after="0" w:line="240" w:lineRule="auto"/>
        <w:jc w:val="both"/>
        <w:rPr>
          <w:rFonts w:ascii="Times New Roman" w:hAnsi="Times New Roman" w:cs="Times New Roman"/>
          <w:color w:val="000000"/>
          <w:sz w:val="23"/>
          <w:szCs w:val="23"/>
          <w:lang w:eastAsia="ar-SA"/>
        </w:rPr>
      </w:pPr>
    </w:p>
    <w:p w14:paraId="4A58AE56" w14:textId="77777777" w:rsidR="00FB1314" w:rsidRDefault="00FB1314" w:rsidP="00260A4B">
      <w:pPr>
        <w:bidi w:val="0"/>
        <w:spacing w:after="0" w:line="240" w:lineRule="auto"/>
        <w:jc w:val="both"/>
        <w:rPr>
          <w:rFonts w:ascii="Times New Roman" w:hAnsi="Times New Roman" w:cs="Times New Roman"/>
          <w:color w:val="000000"/>
          <w:sz w:val="23"/>
          <w:szCs w:val="23"/>
          <w:lang w:eastAsia="ar-SA"/>
        </w:rPr>
      </w:pPr>
      <w:r w:rsidRPr="00B25DD3">
        <w:rPr>
          <w:rFonts w:ascii="Times New Roman" w:hAnsi="Times New Roman" w:cs="Times New Roman"/>
          <w:color w:val="000000"/>
          <w:sz w:val="23"/>
          <w:szCs w:val="23"/>
          <w:lang w:eastAsia="ar-SA"/>
        </w:rPr>
        <w:t xml:space="preserve">This report is the </w:t>
      </w:r>
      <w:r w:rsidR="00260A4B" w:rsidRPr="00B25DD3">
        <w:rPr>
          <w:rFonts w:ascii="Times New Roman" w:hAnsi="Times New Roman" w:cs="Times New Roman"/>
          <w:color w:val="000000"/>
          <w:sz w:val="23"/>
          <w:szCs w:val="23"/>
          <w:lang w:eastAsia="ar-SA"/>
        </w:rPr>
        <w:t>Third</w:t>
      </w:r>
      <w:r w:rsidRPr="00B25DD3">
        <w:rPr>
          <w:rFonts w:ascii="Times New Roman" w:hAnsi="Times New Roman" w:cs="Times New Roman"/>
          <w:color w:val="000000"/>
          <w:sz w:val="23"/>
          <w:szCs w:val="23"/>
          <w:lang w:eastAsia="ar-SA"/>
        </w:rPr>
        <w:t xml:space="preserve"> edition that PCBS produces on the SDGs after producing the first report in 2019-2020</w:t>
      </w:r>
      <w:r w:rsidR="00260A4B" w:rsidRPr="00B25DD3">
        <w:rPr>
          <w:rFonts w:ascii="Times New Roman" w:hAnsi="Times New Roman" w:cs="Times New Roman"/>
          <w:color w:val="000000"/>
          <w:sz w:val="23"/>
          <w:szCs w:val="23"/>
          <w:lang w:eastAsia="ar-SA"/>
        </w:rPr>
        <w:t>, and the second report in 2021-2022</w:t>
      </w:r>
      <w:r w:rsidRPr="00B25DD3">
        <w:rPr>
          <w:rFonts w:ascii="Times New Roman" w:hAnsi="Times New Roman" w:cs="Times New Roman"/>
          <w:color w:val="000000"/>
          <w:sz w:val="23"/>
          <w:szCs w:val="23"/>
          <w:lang w:eastAsia="ar-SA"/>
        </w:rPr>
        <w:t>.</w:t>
      </w:r>
    </w:p>
    <w:p w14:paraId="472503CA" w14:textId="77777777" w:rsidR="00FB1314" w:rsidRDefault="00FB1314" w:rsidP="00FB1314">
      <w:pPr>
        <w:bidi w:val="0"/>
        <w:spacing w:after="0" w:line="240" w:lineRule="auto"/>
        <w:jc w:val="both"/>
        <w:rPr>
          <w:rFonts w:ascii="Times New Roman" w:hAnsi="Times New Roman" w:cs="Times New Roman"/>
          <w:color w:val="000000"/>
          <w:sz w:val="23"/>
          <w:szCs w:val="23"/>
          <w:lang w:eastAsia="ar-SA"/>
        </w:rPr>
      </w:pPr>
    </w:p>
    <w:p w14:paraId="720F4175" w14:textId="77777777" w:rsidR="00FB1314" w:rsidRDefault="00FB1314" w:rsidP="00FB1314">
      <w:pPr>
        <w:bidi w:val="0"/>
        <w:spacing w:after="0" w:line="240" w:lineRule="auto"/>
        <w:jc w:val="both"/>
        <w:rPr>
          <w:rFonts w:ascii="Times New Roman" w:hAnsi="Times New Roman" w:cs="Times New Roman"/>
          <w:color w:val="000000"/>
          <w:sz w:val="23"/>
          <w:szCs w:val="23"/>
          <w:lang w:eastAsia="ar-SA"/>
        </w:rPr>
      </w:pPr>
      <w:r>
        <w:rPr>
          <w:rFonts w:ascii="Times New Roman" w:hAnsi="Times New Roman" w:cs="Times New Roman"/>
          <w:color w:val="000000"/>
          <w:sz w:val="23"/>
          <w:szCs w:val="23"/>
          <w:lang w:eastAsia="ar-SA"/>
        </w:rPr>
        <w:t xml:space="preserve">Finally, we </w:t>
      </w:r>
      <w:r w:rsidRPr="00872316">
        <w:rPr>
          <w:rFonts w:ascii="Times New Roman" w:hAnsi="Times New Roman" w:cs="Times New Roman"/>
          <w:color w:val="000000"/>
          <w:sz w:val="23"/>
          <w:szCs w:val="23"/>
          <w:lang w:eastAsia="ar-SA"/>
        </w:rPr>
        <w:t xml:space="preserve">hope </w:t>
      </w:r>
      <w:r>
        <w:rPr>
          <w:rFonts w:ascii="Times New Roman" w:hAnsi="Times New Roman" w:cs="Times New Roman"/>
          <w:color w:val="000000"/>
          <w:sz w:val="23"/>
          <w:szCs w:val="23"/>
          <w:lang w:eastAsia="ar-SA"/>
        </w:rPr>
        <w:t xml:space="preserve">that </w:t>
      </w:r>
      <w:r w:rsidRPr="00872316">
        <w:rPr>
          <w:rFonts w:ascii="Times New Roman" w:hAnsi="Times New Roman" w:cs="Times New Roman"/>
          <w:color w:val="000000"/>
          <w:sz w:val="23"/>
          <w:szCs w:val="23"/>
          <w:lang w:eastAsia="ar-SA"/>
        </w:rPr>
        <w:t xml:space="preserve">this report will provide an additional tool to </w:t>
      </w:r>
      <w:r>
        <w:rPr>
          <w:rFonts w:ascii="Times New Roman" w:hAnsi="Times New Roman" w:cs="Times New Roman"/>
          <w:color w:val="000000"/>
          <w:sz w:val="23"/>
          <w:szCs w:val="23"/>
          <w:lang w:eastAsia="ar-SA"/>
        </w:rPr>
        <w:t>put the data in action for</w:t>
      </w:r>
      <w:r w:rsidRPr="00872316">
        <w:rPr>
          <w:rFonts w:ascii="Times New Roman" w:hAnsi="Times New Roman" w:cs="Times New Roman"/>
          <w:color w:val="000000"/>
          <w:sz w:val="23"/>
          <w:szCs w:val="23"/>
          <w:lang w:eastAsia="ar-SA"/>
        </w:rPr>
        <w:t xml:space="preserve"> the work of the Palestinian planner, policy maker</w:t>
      </w:r>
      <w:r>
        <w:rPr>
          <w:rFonts w:ascii="Times New Roman" w:hAnsi="Times New Roman" w:cs="Times New Roman"/>
          <w:color w:val="000000"/>
          <w:sz w:val="23"/>
          <w:szCs w:val="23"/>
          <w:lang w:eastAsia="ar-SA"/>
        </w:rPr>
        <w:t>,</w:t>
      </w:r>
      <w:r w:rsidRPr="00872316">
        <w:rPr>
          <w:rFonts w:ascii="Times New Roman" w:hAnsi="Times New Roman" w:cs="Times New Roman"/>
          <w:color w:val="000000"/>
          <w:sz w:val="23"/>
          <w:szCs w:val="23"/>
          <w:lang w:eastAsia="ar-SA"/>
        </w:rPr>
        <w:t xml:space="preserve"> and decision-maker.</w:t>
      </w:r>
    </w:p>
    <w:p w14:paraId="4E4F26FB" w14:textId="77777777" w:rsidR="00FB1314" w:rsidRPr="0045166A" w:rsidRDefault="00FB1314" w:rsidP="00FB1314">
      <w:pPr>
        <w:bidi w:val="0"/>
        <w:spacing w:after="0" w:line="240" w:lineRule="auto"/>
        <w:jc w:val="both"/>
        <w:rPr>
          <w:rFonts w:ascii="Times New Roman" w:hAnsi="Times New Roman" w:cs="Times New Roman"/>
          <w:color w:val="000000"/>
          <w:sz w:val="23"/>
          <w:szCs w:val="23"/>
          <w:lang w:eastAsia="ar-SA"/>
        </w:rPr>
      </w:pPr>
    </w:p>
    <w:tbl>
      <w:tblPr>
        <w:tblW w:w="0" w:type="auto"/>
        <w:tblLook w:val="04A0" w:firstRow="1" w:lastRow="0" w:firstColumn="1" w:lastColumn="0" w:noHBand="0" w:noVBand="1"/>
      </w:tblPr>
      <w:tblGrid>
        <w:gridCol w:w="4946"/>
        <w:gridCol w:w="4124"/>
      </w:tblGrid>
      <w:tr w:rsidR="00FB1314" w:rsidRPr="000D2E4D" w14:paraId="7B6EB394" w14:textId="77777777" w:rsidTr="006F7CF2">
        <w:trPr>
          <w:trHeight w:hRule="exact" w:val="454"/>
        </w:trPr>
        <w:tc>
          <w:tcPr>
            <w:tcW w:w="5070" w:type="dxa"/>
            <w:shd w:val="clear" w:color="auto" w:fill="auto"/>
            <w:vAlign w:val="center"/>
          </w:tcPr>
          <w:p w14:paraId="4D97403A" w14:textId="332F449C" w:rsidR="00FB1314" w:rsidRPr="00FF1839" w:rsidRDefault="0094223D" w:rsidP="00D84BBE">
            <w:pPr>
              <w:bidi w:val="0"/>
              <w:spacing w:after="0" w:line="240" w:lineRule="auto"/>
              <w:rPr>
                <w:rFonts w:ascii="Times New Roman" w:hAnsi="Times New Roman" w:cs="Times New Roman"/>
                <w:b/>
                <w:bCs/>
                <w:sz w:val="24"/>
                <w:szCs w:val="24"/>
                <w:rtl/>
                <w:lang w:val="it-IT"/>
              </w:rPr>
            </w:pPr>
            <w:r>
              <w:rPr>
                <w:rFonts w:ascii="Times New Roman" w:hAnsi="Times New Roman" w:cs="Times New Roman"/>
                <w:b/>
                <w:bCs/>
                <w:color w:val="000000"/>
                <w:sz w:val="24"/>
                <w:szCs w:val="24"/>
              </w:rPr>
              <w:t>Augest</w:t>
            </w:r>
            <w:r w:rsidR="00FB1314" w:rsidRPr="00FF1839">
              <w:rPr>
                <w:rFonts w:ascii="Times New Roman" w:hAnsi="Times New Roman" w:cs="Times New Roman"/>
                <w:b/>
                <w:bCs/>
                <w:sz w:val="24"/>
                <w:szCs w:val="24"/>
                <w:lang w:val="it-IT"/>
              </w:rPr>
              <w:t xml:space="preserve">, </w:t>
            </w:r>
            <w:r w:rsidR="0069193D">
              <w:rPr>
                <w:rFonts w:ascii="Times New Roman" w:hAnsi="Times New Roman" w:cs="Times New Roman"/>
                <w:b/>
                <w:bCs/>
                <w:sz w:val="24"/>
                <w:szCs w:val="24"/>
                <w:lang w:val="it-IT"/>
              </w:rPr>
              <w:t>2023</w:t>
            </w:r>
          </w:p>
        </w:tc>
        <w:tc>
          <w:tcPr>
            <w:tcW w:w="4216" w:type="dxa"/>
            <w:shd w:val="clear" w:color="auto" w:fill="auto"/>
            <w:vAlign w:val="center"/>
          </w:tcPr>
          <w:p w14:paraId="3E87D121" w14:textId="77777777" w:rsidR="00FB1314" w:rsidRPr="000D2E4D" w:rsidRDefault="00FB1314" w:rsidP="006F7CF2">
            <w:pPr>
              <w:bidi w:val="0"/>
              <w:spacing w:after="0" w:line="240" w:lineRule="auto"/>
              <w:jc w:val="right"/>
              <w:rPr>
                <w:rFonts w:ascii="Times New Roman" w:hAnsi="Times New Roman" w:cs="Times New Roman"/>
                <w:b/>
                <w:bCs/>
                <w:sz w:val="24"/>
                <w:szCs w:val="24"/>
                <w:lang w:val="it-IT"/>
              </w:rPr>
            </w:pPr>
            <w:r w:rsidRPr="000D2E4D">
              <w:rPr>
                <w:rFonts w:ascii="Times New Roman" w:hAnsi="Times New Roman" w:cs="Times New Roman"/>
                <w:b/>
                <w:bCs/>
                <w:sz w:val="24"/>
                <w:szCs w:val="24"/>
                <w:lang w:val="it-IT"/>
              </w:rPr>
              <w:t>Dr. Ola Awad</w:t>
            </w:r>
          </w:p>
        </w:tc>
      </w:tr>
      <w:tr w:rsidR="00FB1314" w:rsidRPr="000D2E4D" w14:paraId="1F9A898D" w14:textId="77777777" w:rsidTr="006F7CF2">
        <w:trPr>
          <w:trHeight w:hRule="exact" w:val="481"/>
        </w:trPr>
        <w:tc>
          <w:tcPr>
            <w:tcW w:w="5070" w:type="dxa"/>
            <w:shd w:val="clear" w:color="auto" w:fill="auto"/>
            <w:vAlign w:val="center"/>
          </w:tcPr>
          <w:p w14:paraId="60EC37BD" w14:textId="77777777" w:rsidR="00FB1314" w:rsidRPr="000D2E4D" w:rsidRDefault="00FB1314" w:rsidP="006F7CF2">
            <w:pPr>
              <w:bidi w:val="0"/>
              <w:spacing w:after="0" w:line="240" w:lineRule="auto"/>
              <w:rPr>
                <w:rFonts w:ascii="Times New Roman" w:hAnsi="Times New Roman" w:cs="Times New Roman"/>
                <w:b/>
                <w:bCs/>
                <w:color w:val="222222"/>
                <w:sz w:val="24"/>
                <w:szCs w:val="24"/>
                <w:shd w:val="clear" w:color="auto" w:fill="FBFBFB"/>
                <w:lang w:val="it-IT"/>
              </w:rPr>
            </w:pPr>
          </w:p>
        </w:tc>
        <w:tc>
          <w:tcPr>
            <w:tcW w:w="4216" w:type="dxa"/>
            <w:shd w:val="clear" w:color="auto" w:fill="auto"/>
            <w:vAlign w:val="center"/>
          </w:tcPr>
          <w:p w14:paraId="61233AFB" w14:textId="77777777" w:rsidR="00FB1314" w:rsidRPr="000D2E4D" w:rsidRDefault="00FB1314" w:rsidP="006F7CF2">
            <w:pPr>
              <w:bidi w:val="0"/>
              <w:spacing w:after="0" w:line="240" w:lineRule="auto"/>
              <w:jc w:val="right"/>
              <w:rPr>
                <w:rFonts w:ascii="Times New Roman" w:hAnsi="Times New Roman" w:cs="Times New Roman"/>
                <w:b/>
                <w:bCs/>
                <w:color w:val="222222"/>
                <w:sz w:val="24"/>
                <w:szCs w:val="24"/>
                <w:shd w:val="clear" w:color="auto" w:fill="FBFBFB"/>
                <w:lang w:val="it-IT"/>
              </w:rPr>
            </w:pPr>
            <w:r w:rsidRPr="000D2E4D">
              <w:rPr>
                <w:rFonts w:ascii="Times New Roman" w:hAnsi="Times New Roman" w:cs="Times New Roman"/>
                <w:b/>
                <w:bCs/>
                <w:sz w:val="24"/>
                <w:szCs w:val="24"/>
                <w:lang w:val="it-IT"/>
              </w:rPr>
              <w:t xml:space="preserve">President of PCBS        </w:t>
            </w:r>
          </w:p>
        </w:tc>
      </w:tr>
    </w:tbl>
    <w:p w14:paraId="069B9BF3"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1ABA75D2"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7E46CA22"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7CC57A2D"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3EED0C0E"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sectPr w:rsidR="00FB1314" w:rsidSect="00F05C6C">
          <w:pgSz w:w="11906" w:h="16838"/>
          <w:pgMar w:top="1418" w:right="1418" w:bottom="1418" w:left="1418" w:header="709" w:footer="709" w:gutter="0"/>
          <w:pgNumType w:start="11"/>
          <w:cols w:space="708"/>
          <w:bidi/>
          <w:rtlGutter/>
          <w:docGrid w:linePitch="360"/>
        </w:sectPr>
      </w:pPr>
    </w:p>
    <w:p w14:paraId="26F44ABB" w14:textId="77777777" w:rsidR="00FB1314" w:rsidRPr="00FF1839" w:rsidRDefault="00FB1314" w:rsidP="00FB1314">
      <w:pPr>
        <w:bidi w:val="0"/>
        <w:spacing w:after="0" w:line="240" w:lineRule="auto"/>
        <w:jc w:val="center"/>
        <w:rPr>
          <w:rFonts w:ascii="Times New Roman" w:hAnsi="Times New Roman" w:cs="Times New Roman"/>
          <w:b/>
          <w:bCs/>
          <w:sz w:val="28"/>
          <w:szCs w:val="28"/>
        </w:rPr>
      </w:pPr>
      <w:r w:rsidRPr="00FF1839">
        <w:rPr>
          <w:rFonts w:ascii="Times New Roman" w:hAnsi="Times New Roman" w:cs="Times New Roman"/>
          <w:b/>
          <w:bCs/>
          <w:sz w:val="28"/>
          <w:szCs w:val="28"/>
        </w:rPr>
        <w:lastRenderedPageBreak/>
        <w:t>Concepts and definitions</w:t>
      </w:r>
    </w:p>
    <w:p w14:paraId="04E3B304"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2E575415" w14:textId="77777777" w:rsidR="00FB1314" w:rsidRDefault="00FB1314" w:rsidP="00FB1314">
      <w:pPr>
        <w:pStyle w:val="Footer"/>
        <w:tabs>
          <w:tab w:val="clear" w:pos="4153"/>
          <w:tab w:val="clear" w:pos="8306"/>
        </w:tabs>
        <w:bidi w:val="0"/>
        <w:rPr>
          <w:rFonts w:ascii="Times New Roman" w:hAnsi="Times New Roman" w:cs="Times New Roman"/>
          <w:b/>
          <w:bCs/>
          <w:sz w:val="24"/>
          <w:szCs w:val="24"/>
        </w:rPr>
      </w:pPr>
    </w:p>
    <w:p w14:paraId="674162DF" w14:textId="77777777" w:rsidR="00FB1314" w:rsidRDefault="00FB1314" w:rsidP="00FB1314">
      <w:pPr>
        <w:pStyle w:val="Footer"/>
        <w:tabs>
          <w:tab w:val="clear" w:pos="4153"/>
          <w:tab w:val="clear" w:pos="8306"/>
        </w:tabs>
        <w:bidi w:val="0"/>
        <w:rPr>
          <w:rFonts w:ascii="Times New Roman" w:hAnsi="Times New Roman" w:cs="Times New Roman"/>
          <w:b/>
          <w:bCs/>
          <w:sz w:val="24"/>
          <w:szCs w:val="24"/>
        </w:rPr>
      </w:pPr>
    </w:p>
    <w:p w14:paraId="527AFC86" w14:textId="77777777" w:rsidR="00FB1314" w:rsidRPr="0033272F" w:rsidRDefault="00FB1314" w:rsidP="00686D46">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Multidimensional poverty: </w:t>
      </w:r>
      <w:r w:rsidRPr="0033272F">
        <w:rPr>
          <w:rFonts w:ascii="Times New Roman" w:hAnsi="Times New Roman" w:cs="Times New Roman"/>
          <w:sz w:val="24"/>
          <w:szCs w:val="24"/>
          <w:lang w:eastAsia="zh-CN"/>
        </w:rPr>
        <w:t>The Palestinian framework consists of two spaces: economic well-being and social well</w:t>
      </w:r>
      <w:r>
        <w:rPr>
          <w:rFonts w:ascii="Times New Roman" w:hAnsi="Times New Roman" w:cs="Times New Roman"/>
          <w:sz w:val="24"/>
          <w:szCs w:val="24"/>
          <w:lang w:eastAsia="zh-CN"/>
        </w:rPr>
        <w:t>-</w:t>
      </w:r>
      <w:r w:rsidRPr="0033272F">
        <w:rPr>
          <w:rFonts w:ascii="Times New Roman" w:hAnsi="Times New Roman" w:cs="Times New Roman"/>
          <w:sz w:val="24"/>
          <w:szCs w:val="24"/>
          <w:lang w:eastAsia="zh-CN"/>
        </w:rPr>
        <w:t xml:space="preserve">being. The economic well-being was captured by one dimension and one indicator: the usual </w:t>
      </w:r>
      <w:r>
        <w:rPr>
          <w:rFonts w:ascii="Times New Roman" w:hAnsi="Times New Roman" w:cs="Times New Roman"/>
          <w:sz w:val="24"/>
          <w:szCs w:val="24"/>
          <w:lang w:eastAsia="zh-CN"/>
        </w:rPr>
        <w:t>n</w:t>
      </w:r>
      <w:r w:rsidRPr="0033272F">
        <w:rPr>
          <w:rFonts w:ascii="Times New Roman" w:hAnsi="Times New Roman" w:cs="Times New Roman"/>
          <w:sz w:val="24"/>
          <w:szCs w:val="24"/>
          <w:lang w:eastAsia="zh-CN"/>
        </w:rPr>
        <w:t xml:space="preserve">ational monetary poverty line. The social well-being component </w:t>
      </w:r>
      <w:r>
        <w:rPr>
          <w:rFonts w:ascii="Times New Roman" w:hAnsi="Times New Roman" w:cs="Times New Roman"/>
          <w:sz w:val="24"/>
          <w:szCs w:val="24"/>
          <w:lang w:eastAsia="zh-CN"/>
        </w:rPr>
        <w:t xml:space="preserve">is </w:t>
      </w:r>
      <w:r w:rsidRPr="0033272F">
        <w:rPr>
          <w:rFonts w:ascii="Times New Roman" w:hAnsi="Times New Roman" w:cs="Times New Roman"/>
          <w:sz w:val="24"/>
          <w:szCs w:val="24"/>
          <w:lang w:eastAsia="zh-CN"/>
        </w:rPr>
        <w:t xml:space="preserve">comprised of 21 indicators grouped into </w:t>
      </w:r>
      <w:r>
        <w:rPr>
          <w:rFonts w:ascii="Times New Roman" w:hAnsi="Times New Roman" w:cs="Times New Roman"/>
          <w:sz w:val="24"/>
          <w:szCs w:val="24"/>
          <w:lang w:eastAsia="zh-CN"/>
        </w:rPr>
        <w:t>six</w:t>
      </w:r>
      <w:r w:rsidRPr="0033272F">
        <w:rPr>
          <w:rFonts w:ascii="Times New Roman" w:hAnsi="Times New Roman" w:cs="Times New Roman"/>
          <w:sz w:val="24"/>
          <w:szCs w:val="24"/>
          <w:lang w:eastAsia="zh-CN"/>
        </w:rPr>
        <w:t xml:space="preserve"> dimensions: Education (</w:t>
      </w:r>
      <w:r>
        <w:rPr>
          <w:rFonts w:ascii="Times New Roman" w:hAnsi="Times New Roman" w:cs="Times New Roman"/>
          <w:sz w:val="24"/>
          <w:szCs w:val="24"/>
          <w:lang w:eastAsia="zh-CN"/>
        </w:rPr>
        <w:t>four</w:t>
      </w:r>
      <w:r w:rsidRPr="0033272F">
        <w:rPr>
          <w:rFonts w:ascii="Times New Roman" w:hAnsi="Times New Roman" w:cs="Times New Roman"/>
          <w:sz w:val="24"/>
          <w:szCs w:val="24"/>
          <w:lang w:eastAsia="zh-CN"/>
        </w:rPr>
        <w:t xml:space="preserve"> indicators); health </w:t>
      </w:r>
      <w:r>
        <w:rPr>
          <w:rFonts w:ascii="Times New Roman" w:hAnsi="Times New Roman" w:cs="Times New Roman"/>
          <w:sz w:val="24"/>
          <w:szCs w:val="24"/>
          <w:lang w:eastAsia="zh-CN"/>
        </w:rPr>
        <w:t xml:space="preserve">(four </w:t>
      </w:r>
      <w:r w:rsidRPr="0033272F">
        <w:rPr>
          <w:rFonts w:ascii="Times New Roman" w:hAnsi="Times New Roman" w:cs="Times New Roman"/>
          <w:sz w:val="24"/>
          <w:szCs w:val="24"/>
          <w:lang w:eastAsia="zh-CN"/>
        </w:rPr>
        <w:t>indicators);employment (</w:t>
      </w:r>
      <w:r>
        <w:rPr>
          <w:rFonts w:ascii="Times New Roman" w:hAnsi="Times New Roman" w:cs="Times New Roman"/>
          <w:sz w:val="24"/>
          <w:szCs w:val="24"/>
          <w:lang w:eastAsia="zh-CN"/>
        </w:rPr>
        <w:t xml:space="preserve">four </w:t>
      </w:r>
      <w:r w:rsidRPr="0033272F">
        <w:rPr>
          <w:rFonts w:ascii="Times New Roman" w:hAnsi="Times New Roman" w:cs="Times New Roman"/>
          <w:sz w:val="24"/>
          <w:szCs w:val="24"/>
          <w:lang w:eastAsia="zh-CN"/>
        </w:rPr>
        <w:t xml:space="preserve">indicators); housing conditions &amp; access to services </w:t>
      </w:r>
      <w:r>
        <w:rPr>
          <w:rFonts w:ascii="Times New Roman" w:hAnsi="Times New Roman" w:cs="Times New Roman"/>
          <w:sz w:val="24"/>
          <w:szCs w:val="24"/>
          <w:lang w:eastAsia="zh-CN"/>
        </w:rPr>
        <w:t>(four</w:t>
      </w:r>
      <w:r w:rsidRPr="0033272F">
        <w:rPr>
          <w:rFonts w:ascii="Times New Roman" w:hAnsi="Times New Roman" w:cs="Times New Roman"/>
          <w:sz w:val="24"/>
          <w:szCs w:val="24"/>
          <w:lang w:eastAsia="zh-CN"/>
        </w:rPr>
        <w:t xml:space="preserve"> indicators); safety and use of assets (</w:t>
      </w:r>
      <w:r>
        <w:rPr>
          <w:rFonts w:ascii="Times New Roman" w:hAnsi="Times New Roman" w:cs="Times New Roman"/>
          <w:sz w:val="24"/>
          <w:szCs w:val="24"/>
          <w:lang w:eastAsia="zh-CN"/>
        </w:rPr>
        <w:t>three</w:t>
      </w:r>
      <w:r w:rsidRPr="0033272F">
        <w:rPr>
          <w:rFonts w:ascii="Times New Roman" w:hAnsi="Times New Roman" w:cs="Times New Roman"/>
          <w:sz w:val="24"/>
          <w:szCs w:val="24"/>
          <w:lang w:eastAsia="zh-CN"/>
        </w:rPr>
        <w:t xml:space="preserve"> indicators); and personal freedom (</w:t>
      </w:r>
      <w:r>
        <w:rPr>
          <w:rFonts w:ascii="Times New Roman" w:hAnsi="Times New Roman" w:cs="Times New Roman"/>
          <w:sz w:val="24"/>
          <w:szCs w:val="24"/>
          <w:lang w:eastAsia="zh-CN"/>
        </w:rPr>
        <w:t>two</w:t>
      </w:r>
      <w:r w:rsidRPr="0033272F">
        <w:rPr>
          <w:rFonts w:ascii="Times New Roman" w:hAnsi="Times New Roman" w:cs="Times New Roman"/>
          <w:sz w:val="24"/>
          <w:szCs w:val="24"/>
          <w:lang w:eastAsia="zh-CN"/>
        </w:rPr>
        <w:t xml:space="preserve"> indicators). </w:t>
      </w:r>
    </w:p>
    <w:p w14:paraId="53366FA7" w14:textId="77777777" w:rsidR="00FB1314" w:rsidRDefault="00FB1314" w:rsidP="00FB1314">
      <w:pPr>
        <w:autoSpaceDE w:val="0"/>
        <w:autoSpaceDN w:val="0"/>
        <w:bidi w:val="0"/>
        <w:adjustRightInd w:val="0"/>
        <w:spacing w:after="0"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Domestic Violence: </w:t>
      </w:r>
      <w:r w:rsidRPr="0033272F">
        <w:rPr>
          <w:rFonts w:ascii="Times New Roman" w:hAnsi="Times New Roman" w:cs="Times New Roman"/>
          <w:sz w:val="24"/>
          <w:szCs w:val="24"/>
          <w:lang w:eastAsia="zh-CN"/>
        </w:rPr>
        <w:t>Violence is any act or failure to act of a household member against another member in the household for the purpose of causing physical, sexual or psychological abuse, or the threat of physical, sexual or psychological abuse, or generat</w:t>
      </w:r>
      <w:r>
        <w:rPr>
          <w:rFonts w:ascii="Times New Roman" w:hAnsi="Times New Roman" w:cs="Times New Roman"/>
          <w:sz w:val="24"/>
          <w:szCs w:val="24"/>
          <w:lang w:eastAsia="zh-CN"/>
        </w:rPr>
        <w:t>ing</w:t>
      </w:r>
      <w:r w:rsidRPr="0033272F">
        <w:rPr>
          <w:rFonts w:ascii="Times New Roman" w:hAnsi="Times New Roman" w:cs="Times New Roman"/>
          <w:sz w:val="24"/>
          <w:szCs w:val="24"/>
          <w:lang w:eastAsia="zh-CN"/>
        </w:rPr>
        <w:t xml:space="preserve"> fear. It also includes the deprivation of basic rights such as shelter, food, drink, clothing, education, freedom of movement</w:t>
      </w:r>
      <w:r>
        <w:rPr>
          <w:rFonts w:ascii="Times New Roman" w:hAnsi="Times New Roman" w:cs="Times New Roman"/>
          <w:sz w:val="24"/>
          <w:szCs w:val="24"/>
          <w:lang w:eastAsia="zh-CN"/>
        </w:rPr>
        <w:t>,</w:t>
      </w:r>
      <w:r w:rsidRPr="0033272F">
        <w:rPr>
          <w:rFonts w:ascii="Times New Roman" w:hAnsi="Times New Roman" w:cs="Times New Roman"/>
          <w:sz w:val="24"/>
          <w:szCs w:val="24"/>
          <w:lang w:eastAsia="zh-CN"/>
        </w:rPr>
        <w:t xml:space="preserve"> and loss of self-determination and self</w:t>
      </w:r>
      <w:r>
        <w:rPr>
          <w:rFonts w:ascii="Times New Roman" w:hAnsi="Times New Roman" w:cs="Times New Roman"/>
          <w:sz w:val="24"/>
          <w:szCs w:val="24"/>
          <w:lang w:eastAsia="zh-CN"/>
        </w:rPr>
        <w:t>-security.</w:t>
      </w:r>
    </w:p>
    <w:p w14:paraId="6A6644BD" w14:textId="77777777" w:rsidR="00FB1314" w:rsidRPr="0033272F" w:rsidRDefault="00FB1314" w:rsidP="00FB1314">
      <w:pPr>
        <w:tabs>
          <w:tab w:val="left" w:pos="9072"/>
        </w:tabs>
        <w:bidi w:val="0"/>
        <w:spacing w:after="0"/>
        <w:jc w:val="both"/>
        <w:rPr>
          <w:rFonts w:ascii="Times New Roman" w:hAnsi="Times New Roman" w:cs="Times New Roman"/>
          <w:sz w:val="24"/>
          <w:szCs w:val="24"/>
          <w:lang w:eastAsia="zh-CN"/>
        </w:rPr>
      </w:pPr>
    </w:p>
    <w:p w14:paraId="7067F627"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Physical Violence:</w:t>
      </w:r>
      <w:r w:rsidRPr="0033272F">
        <w:rPr>
          <w:rFonts w:ascii="Times New Roman" w:hAnsi="Times New Roman" w:cs="Times New Roman"/>
          <w:sz w:val="24"/>
          <w:szCs w:val="24"/>
          <w:lang w:eastAsia="zh-CN"/>
        </w:rPr>
        <w:t>A behavior directed against the body. Physical violence is practiced through punching, hair-pulling, arm-twisting, pinching, slapping, kicking, strangling, scorching, pulling, dragging, killing, and beating. It is used to express physical power. The victim of physical violenc</w:t>
      </w:r>
      <w:r>
        <w:rPr>
          <w:rFonts w:ascii="Times New Roman" w:hAnsi="Times New Roman" w:cs="Times New Roman"/>
          <w:sz w:val="24"/>
          <w:szCs w:val="24"/>
          <w:lang w:eastAsia="zh-CN"/>
        </w:rPr>
        <w:t>e is usually the weaker person.</w:t>
      </w:r>
    </w:p>
    <w:p w14:paraId="5F5B1ACC" w14:textId="77777777" w:rsidR="00FB1314" w:rsidRPr="0033272F" w:rsidRDefault="00FB1314" w:rsidP="00FB1314">
      <w:pPr>
        <w:autoSpaceDE w:val="0"/>
        <w:autoSpaceDN w:val="0"/>
        <w:bidi w:val="0"/>
        <w:adjustRightInd w:val="0"/>
        <w:spacing w:after="0"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Sexual Violence: </w:t>
      </w:r>
      <w:r w:rsidRPr="0033272F">
        <w:rPr>
          <w:rFonts w:ascii="Times New Roman" w:hAnsi="Times New Roman" w:cs="Times New Roman"/>
          <w:sz w:val="24"/>
          <w:szCs w:val="24"/>
          <w:lang w:eastAsia="zh-CN"/>
        </w:rPr>
        <w:t xml:space="preserve">An act using various aggressive </w:t>
      </w:r>
      <w:r>
        <w:rPr>
          <w:rFonts w:ascii="Times New Roman" w:hAnsi="Times New Roman" w:cs="Times New Roman"/>
          <w:sz w:val="24"/>
          <w:szCs w:val="24"/>
          <w:lang w:eastAsia="zh-CN"/>
        </w:rPr>
        <w:t>a</w:t>
      </w:r>
      <w:r w:rsidRPr="0033272F">
        <w:rPr>
          <w:rFonts w:ascii="Times New Roman" w:hAnsi="Times New Roman" w:cs="Times New Roman"/>
          <w:sz w:val="24"/>
          <w:szCs w:val="24"/>
          <w:lang w:eastAsia="zh-CN"/>
        </w:rPr>
        <w:t xml:space="preserve">ctions for the purpose of sexual abuse and causing harm. Sexual violence is </w:t>
      </w:r>
      <w:r>
        <w:rPr>
          <w:rFonts w:ascii="Times New Roman" w:hAnsi="Times New Roman" w:cs="Times New Roman"/>
          <w:sz w:val="24"/>
          <w:szCs w:val="24"/>
          <w:lang w:eastAsia="zh-CN"/>
        </w:rPr>
        <w:t>conducted</w:t>
      </w:r>
      <w:r w:rsidRPr="0033272F">
        <w:rPr>
          <w:rFonts w:ascii="Times New Roman" w:hAnsi="Times New Roman" w:cs="Times New Roman"/>
          <w:sz w:val="24"/>
          <w:szCs w:val="24"/>
          <w:lang w:eastAsia="zh-CN"/>
        </w:rPr>
        <w:t xml:space="preserve"> through sexual harassment, rape, husband's refusal to use contraceptives during sexual intercourse with his wife, us</w:t>
      </w:r>
      <w:r>
        <w:rPr>
          <w:rFonts w:ascii="Times New Roman" w:hAnsi="Times New Roman" w:cs="Times New Roman"/>
          <w:sz w:val="24"/>
          <w:szCs w:val="24"/>
          <w:lang w:eastAsia="zh-CN"/>
        </w:rPr>
        <w:t>e of</w:t>
      </w:r>
      <w:r w:rsidRPr="0033272F">
        <w:rPr>
          <w:rFonts w:ascii="Times New Roman" w:hAnsi="Times New Roman" w:cs="Times New Roman"/>
          <w:sz w:val="24"/>
          <w:szCs w:val="24"/>
          <w:lang w:eastAsia="zh-CN"/>
        </w:rPr>
        <w:t xml:space="preserve"> physical force to compel the wife to have sexual intercourse, threatening to use sharp tools and beating to force her to have sexual intercourse, and using violent and harmful means. The purpose of this type of violence is to abuse the victim and use force to control the victim who is usually the woman; it occurs because there aren't any strict rules taken against the perpetrators</w:t>
      </w:r>
      <w:r>
        <w:rPr>
          <w:rFonts w:ascii="Times New Roman" w:hAnsi="Times New Roman" w:cs="Times New Roman"/>
          <w:sz w:val="24"/>
          <w:szCs w:val="24"/>
          <w:lang w:eastAsia="zh-CN"/>
        </w:rPr>
        <w:t>.</w:t>
      </w:r>
    </w:p>
    <w:p w14:paraId="451FDBDA" w14:textId="77777777" w:rsidR="00FB1314" w:rsidRPr="0033272F" w:rsidRDefault="00FB1314" w:rsidP="00FB1314">
      <w:pPr>
        <w:tabs>
          <w:tab w:val="left" w:pos="9072"/>
        </w:tabs>
        <w:bidi w:val="0"/>
        <w:spacing w:after="0"/>
        <w:jc w:val="both"/>
        <w:rPr>
          <w:rFonts w:ascii="Times New Roman" w:hAnsi="Times New Roman" w:cs="Times New Roman"/>
          <w:b/>
          <w:bCs/>
          <w:sz w:val="24"/>
          <w:szCs w:val="24"/>
          <w:lang w:eastAsia="zh-CN"/>
        </w:rPr>
      </w:pPr>
    </w:p>
    <w:p w14:paraId="72420891" w14:textId="77777777" w:rsidR="00FB1314" w:rsidRDefault="00FB1314" w:rsidP="00FB1314">
      <w:pPr>
        <w:autoSpaceDE w:val="0"/>
        <w:autoSpaceDN w:val="0"/>
        <w:bidi w:val="0"/>
        <w:adjustRightInd w:val="0"/>
        <w:spacing w:after="0"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Psychological Violence: </w:t>
      </w:r>
      <w:r w:rsidRPr="0033272F">
        <w:rPr>
          <w:rFonts w:ascii="Times New Roman" w:hAnsi="Times New Roman" w:cs="Times New Roman"/>
          <w:sz w:val="24"/>
          <w:szCs w:val="24"/>
          <w:lang w:eastAsia="zh-CN"/>
        </w:rPr>
        <w:t>It a type of violence reflected in a psychological behavior or bad treatment, disdain, and despise of people. It is done through the use of curs</w:t>
      </w:r>
      <w:r>
        <w:rPr>
          <w:rFonts w:ascii="Times New Roman" w:hAnsi="Times New Roman" w:cs="Times New Roman"/>
          <w:sz w:val="24"/>
          <w:szCs w:val="24"/>
          <w:lang w:eastAsia="zh-CN"/>
        </w:rPr>
        <w:t>es</w:t>
      </w:r>
      <w:r w:rsidRPr="0033272F">
        <w:rPr>
          <w:rFonts w:ascii="Times New Roman" w:hAnsi="Times New Roman" w:cs="Times New Roman"/>
          <w:sz w:val="24"/>
          <w:szCs w:val="24"/>
          <w:lang w:eastAsia="zh-CN"/>
        </w:rPr>
        <w:t xml:space="preserve"> and insults by the person practic</w:t>
      </w:r>
      <w:r>
        <w:rPr>
          <w:rFonts w:ascii="Times New Roman" w:hAnsi="Times New Roman" w:cs="Times New Roman"/>
          <w:sz w:val="24"/>
          <w:szCs w:val="24"/>
          <w:lang w:eastAsia="zh-CN"/>
        </w:rPr>
        <w:t>ing</w:t>
      </w:r>
      <w:r w:rsidRPr="0033272F">
        <w:rPr>
          <w:rFonts w:ascii="Times New Roman" w:hAnsi="Times New Roman" w:cs="Times New Roman"/>
          <w:sz w:val="24"/>
          <w:szCs w:val="24"/>
          <w:lang w:eastAsia="zh-CN"/>
        </w:rPr>
        <w:t xml:space="preserve"> violence, breaking things that belong to the person, shouting and yelling at</w:t>
      </w:r>
      <w:r>
        <w:rPr>
          <w:rFonts w:ascii="Times New Roman" w:hAnsi="Times New Roman" w:cs="Times New Roman"/>
          <w:sz w:val="24"/>
          <w:szCs w:val="24"/>
          <w:lang w:eastAsia="zh-CN"/>
        </w:rPr>
        <w:t xml:space="preserve"> them</w:t>
      </w:r>
      <w:r w:rsidRPr="0033272F">
        <w:rPr>
          <w:rFonts w:ascii="Times New Roman" w:hAnsi="Times New Roman" w:cs="Times New Roman"/>
          <w:sz w:val="24"/>
          <w:szCs w:val="24"/>
          <w:lang w:eastAsia="zh-CN"/>
        </w:rPr>
        <w:t xml:space="preserve">, name-calling, mocking using demeaning names, forcing to do specific acts, throwing </w:t>
      </w:r>
      <w:r>
        <w:rPr>
          <w:rFonts w:ascii="Times New Roman" w:hAnsi="Times New Roman" w:cs="Times New Roman"/>
          <w:sz w:val="24"/>
          <w:szCs w:val="24"/>
          <w:lang w:eastAsia="zh-CN"/>
        </w:rPr>
        <w:t xml:space="preserve">them </w:t>
      </w:r>
      <w:r w:rsidRPr="0033272F">
        <w:rPr>
          <w:rFonts w:ascii="Times New Roman" w:hAnsi="Times New Roman" w:cs="Times New Roman"/>
          <w:sz w:val="24"/>
          <w:szCs w:val="24"/>
          <w:lang w:eastAsia="zh-CN"/>
        </w:rPr>
        <w:t xml:space="preserve">out of the house, locking </w:t>
      </w:r>
      <w:r>
        <w:rPr>
          <w:rFonts w:ascii="Times New Roman" w:hAnsi="Times New Roman" w:cs="Times New Roman"/>
          <w:sz w:val="24"/>
          <w:szCs w:val="24"/>
          <w:lang w:eastAsia="zh-CN"/>
        </w:rPr>
        <w:t xml:space="preserve">them </w:t>
      </w:r>
      <w:r w:rsidRPr="0033272F">
        <w:rPr>
          <w:rFonts w:ascii="Times New Roman" w:hAnsi="Times New Roman" w:cs="Times New Roman"/>
          <w:sz w:val="24"/>
          <w:szCs w:val="24"/>
          <w:lang w:eastAsia="zh-CN"/>
        </w:rPr>
        <w:t xml:space="preserve">up in the house, terrorization, continuous threatening, and </w:t>
      </w:r>
      <w:r>
        <w:rPr>
          <w:rFonts w:ascii="Times New Roman" w:hAnsi="Times New Roman" w:cs="Times New Roman"/>
          <w:sz w:val="24"/>
          <w:szCs w:val="24"/>
          <w:lang w:eastAsia="zh-CN"/>
        </w:rPr>
        <w:t xml:space="preserve">use of </w:t>
      </w:r>
      <w:r w:rsidRPr="0033272F">
        <w:rPr>
          <w:rFonts w:ascii="Times New Roman" w:hAnsi="Times New Roman" w:cs="Times New Roman"/>
          <w:sz w:val="24"/>
          <w:szCs w:val="24"/>
          <w:lang w:eastAsia="zh-CN"/>
        </w:rPr>
        <w:t>forc</w:t>
      </w:r>
      <w:r>
        <w:rPr>
          <w:rFonts w:ascii="Times New Roman" w:hAnsi="Times New Roman" w:cs="Times New Roman"/>
          <w:sz w:val="24"/>
          <w:szCs w:val="24"/>
          <w:lang w:eastAsia="zh-CN"/>
        </w:rPr>
        <w:t>e</w:t>
      </w:r>
      <w:r w:rsidRPr="0033272F">
        <w:rPr>
          <w:rFonts w:ascii="Times New Roman" w:hAnsi="Times New Roman" w:cs="Times New Roman"/>
          <w:sz w:val="24"/>
          <w:szCs w:val="24"/>
          <w:lang w:eastAsia="zh-CN"/>
        </w:rPr>
        <w:t>. Psychological violence is used to cause anxiety</w:t>
      </w:r>
      <w:r>
        <w:rPr>
          <w:rFonts w:ascii="Times New Roman" w:hAnsi="Times New Roman" w:cs="Times New Roman"/>
          <w:sz w:val="24"/>
          <w:szCs w:val="24"/>
          <w:lang w:eastAsia="zh-CN"/>
        </w:rPr>
        <w:t>,</w:t>
      </w:r>
      <w:r w:rsidRPr="0033272F">
        <w:rPr>
          <w:rFonts w:ascii="Times New Roman" w:hAnsi="Times New Roman" w:cs="Times New Roman"/>
          <w:sz w:val="24"/>
          <w:szCs w:val="24"/>
          <w:lang w:eastAsia="zh-CN"/>
        </w:rPr>
        <w:t xml:space="preserve"> fear, psychological damage, degrading, making one feel negative, weaken physical and mental capacities, harming other people and destroy</w:t>
      </w:r>
      <w:r>
        <w:rPr>
          <w:rFonts w:ascii="Times New Roman" w:hAnsi="Times New Roman" w:cs="Times New Roman"/>
          <w:sz w:val="24"/>
          <w:szCs w:val="24"/>
          <w:lang w:eastAsia="zh-CN"/>
        </w:rPr>
        <w:t>ing</w:t>
      </w:r>
      <w:r w:rsidRPr="0033272F">
        <w:rPr>
          <w:rFonts w:ascii="Times New Roman" w:hAnsi="Times New Roman" w:cs="Times New Roman"/>
          <w:sz w:val="24"/>
          <w:szCs w:val="24"/>
          <w:lang w:eastAsia="zh-CN"/>
        </w:rPr>
        <w:t xml:space="preserve"> capabilities, shaking </w:t>
      </w:r>
      <w:r>
        <w:rPr>
          <w:rFonts w:ascii="Times New Roman" w:hAnsi="Times New Roman" w:cs="Times New Roman"/>
          <w:sz w:val="24"/>
          <w:szCs w:val="24"/>
          <w:lang w:eastAsia="zh-CN"/>
        </w:rPr>
        <w:t xml:space="preserve">their </w:t>
      </w:r>
      <w:r w:rsidRPr="0033272F">
        <w:rPr>
          <w:rFonts w:ascii="Times New Roman" w:hAnsi="Times New Roman" w:cs="Times New Roman"/>
          <w:sz w:val="24"/>
          <w:szCs w:val="24"/>
          <w:lang w:eastAsia="zh-CN"/>
        </w:rPr>
        <w:t xml:space="preserve">self-confidence, </w:t>
      </w:r>
      <w:r>
        <w:rPr>
          <w:rFonts w:ascii="Times New Roman" w:hAnsi="Times New Roman" w:cs="Times New Roman"/>
          <w:sz w:val="24"/>
          <w:szCs w:val="24"/>
          <w:lang w:eastAsia="zh-CN"/>
        </w:rPr>
        <w:t xml:space="preserve">and </w:t>
      </w:r>
      <w:r w:rsidRPr="0033272F">
        <w:rPr>
          <w:rFonts w:ascii="Times New Roman" w:hAnsi="Times New Roman" w:cs="Times New Roman"/>
          <w:sz w:val="24"/>
          <w:szCs w:val="24"/>
          <w:lang w:eastAsia="zh-CN"/>
        </w:rPr>
        <w:t xml:space="preserve">undermining self-respect. Psychological violence destroys self-confidence, causes body harm, </w:t>
      </w:r>
      <w:r>
        <w:rPr>
          <w:rFonts w:ascii="Times New Roman" w:hAnsi="Times New Roman" w:cs="Times New Roman"/>
          <w:sz w:val="24"/>
          <w:szCs w:val="24"/>
          <w:lang w:eastAsia="zh-CN"/>
        </w:rPr>
        <w:t xml:space="preserve">and </w:t>
      </w:r>
      <w:r w:rsidRPr="0033272F">
        <w:rPr>
          <w:rFonts w:ascii="Times New Roman" w:hAnsi="Times New Roman" w:cs="Times New Roman"/>
          <w:sz w:val="24"/>
          <w:szCs w:val="24"/>
          <w:lang w:eastAsia="zh-CN"/>
        </w:rPr>
        <w:t>loss of self-confidence</w:t>
      </w:r>
      <w:r>
        <w:rPr>
          <w:rFonts w:ascii="Times New Roman" w:hAnsi="Times New Roman" w:cs="Times New Roman"/>
          <w:sz w:val="24"/>
          <w:szCs w:val="24"/>
          <w:lang w:eastAsia="zh-CN"/>
        </w:rPr>
        <w:t>.</w:t>
      </w:r>
    </w:p>
    <w:p w14:paraId="6A4FA2BA" w14:textId="77777777" w:rsidR="00FB1314" w:rsidRPr="0033272F" w:rsidRDefault="00FB1314" w:rsidP="00FB1314">
      <w:pPr>
        <w:tabs>
          <w:tab w:val="left" w:pos="9072"/>
        </w:tabs>
        <w:bidi w:val="0"/>
        <w:spacing w:after="0"/>
        <w:jc w:val="both"/>
        <w:rPr>
          <w:rFonts w:ascii="Times New Roman" w:hAnsi="Times New Roman" w:cs="Times New Roman"/>
          <w:sz w:val="24"/>
          <w:szCs w:val="24"/>
          <w:lang w:eastAsia="zh-CN"/>
        </w:rPr>
      </w:pPr>
    </w:p>
    <w:p w14:paraId="0C22A3BF"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Violence </w:t>
      </w:r>
      <w:r>
        <w:rPr>
          <w:rFonts w:ascii="Times New Roman" w:hAnsi="Times New Roman" w:cs="Times New Roman"/>
          <w:b/>
          <w:bCs/>
          <w:sz w:val="24"/>
          <w:szCs w:val="24"/>
          <w:lang w:eastAsia="zh-CN"/>
        </w:rPr>
        <w:t>a</w:t>
      </w:r>
      <w:r w:rsidRPr="0033272F">
        <w:rPr>
          <w:rFonts w:ascii="Times New Roman" w:hAnsi="Times New Roman" w:cs="Times New Roman"/>
          <w:b/>
          <w:bCs/>
          <w:sz w:val="24"/>
          <w:szCs w:val="24"/>
          <w:lang w:eastAsia="zh-CN"/>
        </w:rPr>
        <w:t>gainst women:</w:t>
      </w:r>
      <w:r w:rsidRPr="0033272F">
        <w:rPr>
          <w:rFonts w:ascii="Times New Roman" w:hAnsi="Times New Roman" w:cs="Times New Roman"/>
          <w:sz w:val="24"/>
          <w:szCs w:val="24"/>
          <w:lang w:eastAsia="zh-CN"/>
        </w:rPr>
        <w:t>Violence that results in, or is likely to result in, physical, sexual or psychological harm or suffering to women including threats of such acts, coercion or arbitrary deprivation of liberty, whether occurri</w:t>
      </w:r>
      <w:r>
        <w:rPr>
          <w:rFonts w:ascii="Times New Roman" w:hAnsi="Times New Roman" w:cs="Times New Roman"/>
          <w:sz w:val="24"/>
          <w:szCs w:val="24"/>
          <w:lang w:eastAsia="zh-CN"/>
        </w:rPr>
        <w:t>ng in public or in private life</w:t>
      </w:r>
      <w:r w:rsidRPr="0033272F">
        <w:rPr>
          <w:rFonts w:ascii="Times New Roman" w:hAnsi="Times New Roman" w:cs="Times New Roman"/>
          <w:sz w:val="24"/>
          <w:szCs w:val="24"/>
          <w:lang w:eastAsia="zh-CN"/>
        </w:rPr>
        <w:t>.</w:t>
      </w:r>
    </w:p>
    <w:p w14:paraId="27F098A0"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Bribery:</w:t>
      </w:r>
      <w:r w:rsidRPr="0033272F">
        <w:rPr>
          <w:rFonts w:ascii="Times New Roman" w:hAnsi="Times New Roman" w:cs="Times New Roman"/>
          <w:sz w:val="24"/>
          <w:szCs w:val="24"/>
          <w:lang w:eastAsia="zh-CN"/>
        </w:rPr>
        <w:t>To obtain money or any other benefits to perform an act or refrain from doing it in v</w:t>
      </w:r>
      <w:r>
        <w:rPr>
          <w:rFonts w:ascii="Times New Roman" w:hAnsi="Times New Roman" w:cs="Times New Roman"/>
          <w:sz w:val="24"/>
          <w:szCs w:val="24"/>
          <w:lang w:eastAsia="zh-CN"/>
        </w:rPr>
        <w:t>iolation of accepted practices.</w:t>
      </w:r>
    </w:p>
    <w:p w14:paraId="541BFB7B"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Discrimination or Harassment:</w:t>
      </w:r>
      <w:r w:rsidRPr="0033272F">
        <w:rPr>
          <w:rFonts w:ascii="Times New Roman" w:hAnsi="Times New Roman" w:cs="Times New Roman"/>
          <w:sz w:val="24"/>
          <w:szCs w:val="24"/>
          <w:lang w:eastAsia="zh-CN"/>
        </w:rPr>
        <w:t>Treating the individual less positively than others because of the way they appear or where you are from or according to your beliefs or other reasons.</w:t>
      </w:r>
    </w:p>
    <w:p w14:paraId="508B70DA"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rPr>
      </w:pPr>
      <w:r w:rsidRPr="0033272F">
        <w:rPr>
          <w:rFonts w:ascii="Times New Roman" w:hAnsi="Times New Roman" w:cs="Times New Roman"/>
          <w:b/>
          <w:bCs/>
          <w:sz w:val="24"/>
          <w:szCs w:val="24"/>
          <w:lang w:eastAsia="zh-CN"/>
        </w:rPr>
        <w:lastRenderedPageBreak/>
        <w:t>Carbon</w:t>
      </w:r>
      <w:r w:rsidRPr="0033272F">
        <w:rPr>
          <w:rFonts w:ascii="Times New Roman" w:hAnsi="Times New Roman" w:cs="Times New Roman"/>
          <w:b/>
          <w:bCs/>
          <w:sz w:val="24"/>
          <w:szCs w:val="24"/>
        </w:rPr>
        <w:t xml:space="preserve"> Dioxide (CO2)</w:t>
      </w:r>
      <w:r w:rsidRPr="0033272F">
        <w:rPr>
          <w:rFonts w:ascii="Times New Roman" w:hAnsi="Times New Roman" w:cs="Times New Roman"/>
          <w:b/>
          <w:bCs/>
          <w:sz w:val="24"/>
          <w:szCs w:val="24"/>
          <w:rtl/>
        </w:rPr>
        <w:t>:</w:t>
      </w:r>
      <w:r w:rsidRPr="0033272F">
        <w:rPr>
          <w:rFonts w:ascii="Times New Roman" w:hAnsi="Times New Roman" w:cs="Times New Roman"/>
          <w:sz w:val="24"/>
          <w:szCs w:val="24"/>
        </w:rPr>
        <w:t xml:space="preserve">Colourless, odourless and non-poisonous gas that results from fossil fuel combustion and is normally apart of ambient air. It is also produced in the respiration living organisms (plants and animals) and </w:t>
      </w:r>
      <w:r>
        <w:rPr>
          <w:rFonts w:ascii="Times New Roman" w:hAnsi="Times New Roman" w:cs="Times New Roman"/>
          <w:sz w:val="24"/>
          <w:szCs w:val="24"/>
        </w:rPr>
        <w:t xml:space="preserve">is </w:t>
      </w:r>
      <w:r w:rsidRPr="0033272F">
        <w:rPr>
          <w:rFonts w:ascii="Times New Roman" w:hAnsi="Times New Roman" w:cs="Times New Roman"/>
          <w:sz w:val="24"/>
          <w:szCs w:val="24"/>
        </w:rPr>
        <w:t xml:space="preserve">considered to be the main </w:t>
      </w:r>
      <w:r>
        <w:rPr>
          <w:rFonts w:ascii="Times New Roman" w:hAnsi="Times New Roman" w:cs="Times New Roman"/>
          <w:sz w:val="24"/>
          <w:szCs w:val="24"/>
        </w:rPr>
        <w:t xml:space="preserve">cause of </w:t>
      </w:r>
      <w:r w:rsidRPr="0033272F">
        <w:rPr>
          <w:rFonts w:ascii="Times New Roman" w:hAnsi="Times New Roman" w:cs="Times New Roman"/>
          <w:sz w:val="24"/>
          <w:szCs w:val="24"/>
        </w:rPr>
        <w:t>greenhouse gas</w:t>
      </w:r>
      <w:r>
        <w:rPr>
          <w:rFonts w:ascii="Times New Roman" w:hAnsi="Times New Roman" w:cs="Times New Roman"/>
          <w:sz w:val="24"/>
          <w:szCs w:val="24"/>
        </w:rPr>
        <w:t>es</w:t>
      </w:r>
      <w:r w:rsidRPr="0033272F">
        <w:rPr>
          <w:rFonts w:ascii="Times New Roman" w:hAnsi="Times New Roman" w:cs="Times New Roman"/>
          <w:sz w:val="24"/>
          <w:szCs w:val="24"/>
        </w:rPr>
        <w:t>, c</w:t>
      </w:r>
      <w:r>
        <w:rPr>
          <w:rFonts w:ascii="Times New Roman" w:hAnsi="Times New Roman" w:cs="Times New Roman"/>
          <w:sz w:val="24"/>
          <w:szCs w:val="24"/>
        </w:rPr>
        <w:t>ontributing to climate changes.</w:t>
      </w:r>
    </w:p>
    <w:p w14:paraId="10754CDD" w14:textId="77777777" w:rsidR="00FB1314" w:rsidRPr="00026A57" w:rsidRDefault="00FB1314" w:rsidP="00FB1314">
      <w:pPr>
        <w:autoSpaceDE w:val="0"/>
        <w:autoSpaceDN w:val="0"/>
        <w:bidi w:val="0"/>
        <w:adjustRightInd w:val="0"/>
        <w:spacing w:line="240" w:lineRule="auto"/>
        <w:jc w:val="both"/>
        <w:rPr>
          <w:rFonts w:ascii="Times New Roman" w:hAnsi="Times New Roman" w:cs="Times New Roman"/>
          <w:color w:val="555555"/>
          <w:sz w:val="24"/>
          <w:szCs w:val="24"/>
          <w:shd w:val="clear" w:color="auto" w:fill="FFFFFF"/>
        </w:rPr>
      </w:pPr>
      <w:r w:rsidRPr="0033272F">
        <w:rPr>
          <w:rFonts w:ascii="Times New Roman" w:hAnsi="Times New Roman" w:cs="Times New Roman"/>
          <w:b/>
          <w:bCs/>
          <w:sz w:val="24"/>
          <w:szCs w:val="24"/>
        </w:rPr>
        <w:t xml:space="preserve">Waste Collection: </w:t>
      </w:r>
      <w:r w:rsidRPr="0033272F">
        <w:rPr>
          <w:rFonts w:ascii="Times New Roman" w:hAnsi="Times New Roman" w:cs="Times New Roman"/>
          <w:sz w:val="24"/>
          <w:szCs w:val="24"/>
        </w:rPr>
        <w:t xml:space="preserve">Collection or transport of waste to the treatment </w:t>
      </w:r>
      <w:r>
        <w:rPr>
          <w:rFonts w:ascii="Times New Roman" w:hAnsi="Times New Roman" w:cs="Times New Roman"/>
          <w:sz w:val="24"/>
          <w:szCs w:val="24"/>
        </w:rPr>
        <w:t xml:space="preserve">location </w:t>
      </w:r>
      <w:r w:rsidRPr="0033272F">
        <w:rPr>
          <w:rFonts w:ascii="Times New Roman" w:hAnsi="Times New Roman" w:cs="Times New Roman"/>
          <w:sz w:val="24"/>
          <w:szCs w:val="24"/>
        </w:rPr>
        <w:t>or discharge by municipal services or similar institutions, or by public or private corporations, specialized enterprises or general government. Collection of municipal waste may be selective, that</w:t>
      </w:r>
      <w:r>
        <w:rPr>
          <w:rFonts w:ascii="Times New Roman" w:hAnsi="Times New Roman" w:cs="Times New Roman"/>
          <w:sz w:val="24"/>
          <w:szCs w:val="24"/>
        </w:rPr>
        <w:t xml:space="preserve"> i</w:t>
      </w:r>
      <w:r w:rsidRPr="0033272F">
        <w:rPr>
          <w:rFonts w:ascii="Times New Roman" w:hAnsi="Times New Roman" w:cs="Times New Roman"/>
          <w:sz w:val="24"/>
          <w:szCs w:val="24"/>
        </w:rPr>
        <w:t>s to say carried out for a specific type of product, or undifferentiated, in other words, covering all kinds of waste at the same time.</w:t>
      </w:r>
    </w:p>
    <w:p w14:paraId="7F1282D0" w14:textId="77777777" w:rsidR="00FB1314" w:rsidRPr="00026A57" w:rsidRDefault="00FB1314" w:rsidP="00FB1314">
      <w:pPr>
        <w:autoSpaceDE w:val="0"/>
        <w:autoSpaceDN w:val="0"/>
        <w:bidi w:val="0"/>
        <w:adjustRightInd w:val="0"/>
        <w:spacing w:line="240" w:lineRule="auto"/>
        <w:jc w:val="both"/>
        <w:rPr>
          <w:rFonts w:ascii="Times New Roman" w:hAnsi="Times New Roman" w:cs="Times New Roman"/>
          <w:sz w:val="24"/>
          <w:szCs w:val="24"/>
        </w:rPr>
      </w:pPr>
      <w:r w:rsidRPr="0033272F">
        <w:rPr>
          <w:rFonts w:ascii="Times New Roman" w:hAnsi="Times New Roman" w:cs="Times New Roman"/>
          <w:b/>
          <w:bCs/>
          <w:sz w:val="24"/>
          <w:szCs w:val="24"/>
          <w:lang w:eastAsia="zh-CN"/>
        </w:rPr>
        <w:t>Area</w:t>
      </w:r>
      <w:r w:rsidRPr="0033272F">
        <w:rPr>
          <w:rFonts w:ascii="Times New Roman" w:hAnsi="Times New Roman" w:cs="Times New Roman"/>
          <w:b/>
          <w:bCs/>
          <w:sz w:val="24"/>
          <w:szCs w:val="24"/>
        </w:rPr>
        <w:t xml:space="preserve"> used for aquaculture: </w:t>
      </w:r>
      <w:r w:rsidRPr="0033272F">
        <w:rPr>
          <w:rFonts w:ascii="Times New Roman" w:hAnsi="Times New Roman" w:cs="Times New Roman"/>
          <w:sz w:val="24"/>
          <w:szCs w:val="24"/>
        </w:rPr>
        <w:t xml:space="preserve">Includes area (land, inland waters or coastal waters) for aquaculture facilities including supporting facilities. Aquaculture refers to farming of aquatic organisms such as fish, </w:t>
      </w:r>
      <w:r>
        <w:rPr>
          <w:rFonts w:ascii="Times New Roman" w:hAnsi="Times New Roman" w:cs="Times New Roman"/>
          <w:sz w:val="24"/>
          <w:szCs w:val="24"/>
        </w:rPr>
        <w:t xml:space="preserve">mollusks </w:t>
      </w:r>
      <w:r w:rsidRPr="0033272F">
        <w:rPr>
          <w:rFonts w:ascii="Times New Roman" w:hAnsi="Times New Roman" w:cs="Times New Roman"/>
          <w:sz w:val="24"/>
          <w:szCs w:val="24"/>
        </w:rPr>
        <w:t>, crustaceans, plants, crocodiles, alligators</w:t>
      </w:r>
      <w:r>
        <w:rPr>
          <w:rFonts w:ascii="Times New Roman" w:hAnsi="Times New Roman" w:cs="Times New Roman"/>
          <w:sz w:val="24"/>
          <w:szCs w:val="24"/>
        </w:rPr>
        <w:t>,</w:t>
      </w:r>
      <w:r w:rsidRPr="0033272F">
        <w:rPr>
          <w:rFonts w:ascii="Times New Roman" w:hAnsi="Times New Roman" w:cs="Times New Roman"/>
          <w:sz w:val="24"/>
          <w:szCs w:val="24"/>
        </w:rPr>
        <w:t xml:space="preserve"> and amphibians. Farming implies some form of intervention in the rearing process to enhance production such as regular stocking, feeding, </w:t>
      </w:r>
      <w:r>
        <w:rPr>
          <w:rFonts w:ascii="Times New Roman" w:hAnsi="Times New Roman" w:cs="Times New Roman"/>
          <w:sz w:val="24"/>
          <w:szCs w:val="24"/>
        </w:rPr>
        <w:t>protection from predators, etc.</w:t>
      </w:r>
    </w:p>
    <w:p w14:paraId="04315F2D" w14:textId="77777777" w:rsidR="00FB1314" w:rsidRPr="0033272F" w:rsidRDefault="00FB1314" w:rsidP="00FB1314">
      <w:pPr>
        <w:tabs>
          <w:tab w:val="left" w:pos="9072"/>
        </w:tabs>
        <w:bidi w:val="0"/>
        <w:spacing w:after="0"/>
        <w:jc w:val="both"/>
        <w:rPr>
          <w:rFonts w:ascii="Times New Roman" w:hAnsi="Times New Roman" w:cs="Times New Roman"/>
          <w:sz w:val="24"/>
          <w:szCs w:val="24"/>
        </w:rPr>
      </w:pPr>
    </w:p>
    <w:p w14:paraId="751CED54" w14:textId="77777777" w:rsidR="00FB1314" w:rsidRDefault="00FB1314" w:rsidP="00FB1314">
      <w:pPr>
        <w:tabs>
          <w:tab w:val="left" w:pos="9072"/>
        </w:tabs>
        <w:bidi w:val="0"/>
      </w:pPr>
    </w:p>
    <w:p w14:paraId="71C9A141" w14:textId="77777777" w:rsidR="00FB1314" w:rsidRPr="00E672CB" w:rsidRDefault="00FB1314" w:rsidP="00FB1314">
      <w:pPr>
        <w:tabs>
          <w:tab w:val="left" w:pos="9072"/>
        </w:tabs>
        <w:bidi w:val="0"/>
      </w:pPr>
    </w:p>
    <w:p w14:paraId="5F3C30A0" w14:textId="77777777" w:rsidR="00FB1314" w:rsidRDefault="00FB1314" w:rsidP="00FB1314">
      <w:pPr>
        <w:pStyle w:val="Footer"/>
        <w:tabs>
          <w:tab w:val="clear" w:pos="4153"/>
          <w:tab w:val="clear" w:pos="8306"/>
          <w:tab w:val="left" w:pos="9072"/>
        </w:tabs>
        <w:bidi w:val="0"/>
        <w:rPr>
          <w:rFonts w:ascii="Times New Roman" w:hAnsi="Times New Roman" w:cs="Times New Roman"/>
          <w:b/>
          <w:bCs/>
          <w:sz w:val="24"/>
          <w:szCs w:val="24"/>
        </w:rPr>
      </w:pPr>
    </w:p>
    <w:p w14:paraId="23224743" w14:textId="77777777" w:rsidR="00FB1314" w:rsidRDefault="00FB1314" w:rsidP="00FB1314">
      <w:pPr>
        <w:pStyle w:val="Footer"/>
        <w:tabs>
          <w:tab w:val="clear" w:pos="4153"/>
          <w:tab w:val="clear" w:pos="8306"/>
          <w:tab w:val="left" w:pos="9072"/>
        </w:tabs>
        <w:bidi w:val="0"/>
        <w:rPr>
          <w:rFonts w:ascii="Times New Roman" w:hAnsi="Times New Roman" w:cs="Times New Roman"/>
          <w:b/>
          <w:bCs/>
          <w:sz w:val="24"/>
          <w:szCs w:val="24"/>
        </w:rPr>
      </w:pPr>
    </w:p>
    <w:p w14:paraId="7514A6B6"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344C77FF"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74A4506B"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5EAE1075"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56BA2E72"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3F94B25E"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468B89A7" w14:textId="77777777" w:rsidR="00FB1314" w:rsidRPr="00992D30" w:rsidRDefault="00FB1314" w:rsidP="00FB1314">
      <w:pPr>
        <w:bidi w:val="0"/>
        <w:spacing w:after="0" w:line="240" w:lineRule="auto"/>
        <w:jc w:val="center"/>
        <w:rPr>
          <w:rFonts w:ascii="Times New Roman" w:hAnsi="Times New Roman" w:cs="Times New Roman"/>
          <w:b/>
          <w:bCs/>
          <w:sz w:val="24"/>
          <w:szCs w:val="24"/>
          <w:u w:val="single"/>
        </w:rPr>
      </w:pPr>
      <w:r>
        <w:rPr>
          <w:rFonts w:ascii="Times New Roman" w:hAnsi="Times New Roman" w:cs="Times New Roman"/>
          <w:b/>
          <w:bCs/>
          <w:sz w:val="24"/>
          <w:szCs w:val="24"/>
          <w:u w:val="single"/>
        </w:rPr>
        <w:br w:type="page"/>
      </w:r>
      <w:r w:rsidRPr="00FF1839">
        <w:rPr>
          <w:rFonts w:ascii="Times New Roman" w:hAnsi="Times New Roman" w:cs="Times New Roman"/>
          <w:b/>
          <w:bCs/>
          <w:sz w:val="28"/>
          <w:szCs w:val="28"/>
        </w:rPr>
        <w:lastRenderedPageBreak/>
        <w:t>Chapter One</w:t>
      </w:r>
    </w:p>
    <w:p w14:paraId="722CACC6" w14:textId="77777777" w:rsidR="00FB1314" w:rsidRPr="00026A57" w:rsidRDefault="00FB1314" w:rsidP="00FB1314">
      <w:pPr>
        <w:bidi w:val="0"/>
        <w:jc w:val="center"/>
        <w:rPr>
          <w:rFonts w:asciiTheme="majorBidi" w:hAnsiTheme="majorBidi" w:cstheme="majorBidi"/>
          <w:b/>
          <w:bCs/>
          <w:sz w:val="28"/>
          <w:szCs w:val="28"/>
        </w:rPr>
      </w:pPr>
      <w:r w:rsidRPr="00FF1839">
        <w:rPr>
          <w:rFonts w:asciiTheme="majorBidi" w:hAnsiTheme="majorBidi" w:cstheme="majorBidi"/>
          <w:b/>
          <w:bCs/>
          <w:sz w:val="28"/>
          <w:szCs w:val="28"/>
        </w:rPr>
        <w:t xml:space="preserve">Sustainable </w:t>
      </w:r>
      <w:r>
        <w:rPr>
          <w:rFonts w:asciiTheme="majorBidi" w:hAnsiTheme="majorBidi" w:cstheme="majorBidi"/>
          <w:b/>
          <w:bCs/>
          <w:sz w:val="28"/>
          <w:szCs w:val="28"/>
        </w:rPr>
        <w:t>D</w:t>
      </w:r>
      <w:r w:rsidRPr="00FF1839">
        <w:rPr>
          <w:rFonts w:asciiTheme="majorBidi" w:hAnsiTheme="majorBidi" w:cstheme="majorBidi"/>
          <w:b/>
          <w:bCs/>
          <w:sz w:val="28"/>
          <w:szCs w:val="28"/>
        </w:rPr>
        <w:t xml:space="preserve">evelopment </w:t>
      </w:r>
      <w:r>
        <w:rPr>
          <w:rFonts w:asciiTheme="majorBidi" w:hAnsiTheme="majorBidi" w:cstheme="majorBidi"/>
          <w:b/>
          <w:bCs/>
          <w:sz w:val="28"/>
          <w:szCs w:val="28"/>
        </w:rPr>
        <w:t>I</w:t>
      </w:r>
      <w:r w:rsidRPr="00FF1839">
        <w:rPr>
          <w:rFonts w:asciiTheme="majorBidi" w:hAnsiTheme="majorBidi" w:cstheme="majorBidi"/>
          <w:b/>
          <w:bCs/>
          <w:sz w:val="28"/>
          <w:szCs w:val="28"/>
        </w:rPr>
        <w:t xml:space="preserve">ndicators: </w:t>
      </w:r>
      <w:r>
        <w:rPr>
          <w:rFonts w:asciiTheme="majorBidi" w:hAnsiTheme="majorBidi" w:cstheme="majorBidi"/>
          <w:b/>
          <w:bCs/>
          <w:sz w:val="28"/>
          <w:szCs w:val="28"/>
        </w:rPr>
        <w:t>A</w:t>
      </w:r>
      <w:r w:rsidRPr="00FF1839">
        <w:rPr>
          <w:rFonts w:asciiTheme="majorBidi" w:hAnsiTheme="majorBidi" w:cstheme="majorBidi"/>
          <w:b/>
          <w:bCs/>
          <w:sz w:val="28"/>
          <w:szCs w:val="28"/>
        </w:rPr>
        <w:t xml:space="preserve">n </w:t>
      </w:r>
      <w:r>
        <w:rPr>
          <w:rFonts w:asciiTheme="majorBidi" w:hAnsiTheme="majorBidi" w:cstheme="majorBidi"/>
          <w:b/>
          <w:bCs/>
          <w:sz w:val="28"/>
          <w:szCs w:val="28"/>
        </w:rPr>
        <w:t>O</w:t>
      </w:r>
      <w:r w:rsidRPr="00FF1839">
        <w:rPr>
          <w:rFonts w:asciiTheme="majorBidi" w:hAnsiTheme="majorBidi" w:cstheme="majorBidi"/>
          <w:b/>
          <w:bCs/>
          <w:sz w:val="28"/>
          <w:szCs w:val="28"/>
        </w:rPr>
        <w:t>verview</w:t>
      </w:r>
    </w:p>
    <w:p w14:paraId="36ED115B" w14:textId="77777777" w:rsidR="00FB1314" w:rsidRPr="00FF1839" w:rsidRDefault="00FB1314" w:rsidP="00FB1314">
      <w:pPr>
        <w:bidi w:val="0"/>
        <w:rPr>
          <w:rFonts w:asciiTheme="majorBidi" w:hAnsiTheme="majorBidi" w:cstheme="majorBidi"/>
          <w:b/>
          <w:bCs/>
          <w:sz w:val="24"/>
          <w:szCs w:val="24"/>
        </w:rPr>
      </w:pPr>
      <w:r w:rsidRPr="00FF1839">
        <w:rPr>
          <w:rFonts w:asciiTheme="majorBidi" w:hAnsiTheme="majorBidi" w:cstheme="majorBidi"/>
          <w:b/>
          <w:bCs/>
          <w:sz w:val="24"/>
          <w:szCs w:val="24"/>
        </w:rPr>
        <w:t>1.1 Introduction:</w:t>
      </w:r>
    </w:p>
    <w:p w14:paraId="3FBF996A" w14:textId="77777777" w:rsidR="00FB1314" w:rsidRDefault="00FB1314" w:rsidP="00FB1314">
      <w:pPr>
        <w:pStyle w:val="ListParagraph"/>
        <w:jc w:val="both"/>
        <w:rPr>
          <w:rFonts w:asciiTheme="majorBidi" w:hAnsiTheme="majorBidi" w:cstheme="majorBidi"/>
          <w:sz w:val="24"/>
          <w:szCs w:val="24"/>
        </w:rPr>
      </w:pPr>
      <w:r w:rsidRPr="00D6051D">
        <w:rPr>
          <w:rFonts w:asciiTheme="majorBidi" w:hAnsiTheme="majorBidi" w:cstheme="majorBidi"/>
          <w:sz w:val="24"/>
          <w:szCs w:val="24"/>
        </w:rPr>
        <w:t xml:space="preserve">In 2015, all United Nations Member States adopted the Sustainable Development Goals (SDGs), as a global call to action to end poverty, protect the planet and ensure that all people enjoy peace and prosperity by 2030. The 17 SDGs and their </w:t>
      </w:r>
      <w:r w:rsidRPr="00E1258C">
        <w:rPr>
          <w:rFonts w:asciiTheme="majorBidi" w:hAnsiTheme="majorBidi" w:cstheme="majorBidi"/>
          <w:sz w:val="24"/>
          <w:szCs w:val="24"/>
        </w:rPr>
        <w:t>169</w:t>
      </w:r>
      <w:r w:rsidRPr="00D6051D">
        <w:rPr>
          <w:rFonts w:asciiTheme="majorBidi" w:hAnsiTheme="majorBidi" w:cstheme="majorBidi"/>
          <w:sz w:val="24"/>
          <w:szCs w:val="24"/>
        </w:rPr>
        <w:t xml:space="preserve"> targets are complementary – that is, they </w:t>
      </w:r>
      <w:r>
        <w:rPr>
          <w:rFonts w:asciiTheme="majorBidi" w:hAnsiTheme="majorBidi" w:cstheme="majorBidi"/>
          <w:sz w:val="24"/>
          <w:szCs w:val="24"/>
        </w:rPr>
        <w:t>r</w:t>
      </w:r>
      <w:r w:rsidRPr="00D6051D">
        <w:rPr>
          <w:rFonts w:asciiTheme="majorBidi" w:hAnsiTheme="majorBidi" w:cstheme="majorBidi"/>
          <w:sz w:val="24"/>
          <w:szCs w:val="24"/>
        </w:rPr>
        <w:t>ecognize that work in one area will affect results in others and that development must balance social, economic</w:t>
      </w:r>
      <w:r>
        <w:rPr>
          <w:rFonts w:asciiTheme="majorBidi" w:hAnsiTheme="majorBidi" w:cstheme="majorBidi"/>
          <w:sz w:val="24"/>
          <w:szCs w:val="24"/>
        </w:rPr>
        <w:t>,</w:t>
      </w:r>
      <w:r w:rsidRPr="00D6051D">
        <w:rPr>
          <w:rFonts w:asciiTheme="majorBidi" w:hAnsiTheme="majorBidi" w:cstheme="majorBidi"/>
          <w:sz w:val="24"/>
          <w:szCs w:val="24"/>
        </w:rPr>
        <w:t xml:space="preserve"> and environmental sustainability.</w:t>
      </w:r>
    </w:p>
    <w:p w14:paraId="346D4AAE" w14:textId="77777777" w:rsidR="00FB1314" w:rsidRPr="009F31CE" w:rsidRDefault="00FB1314" w:rsidP="00FB1314">
      <w:pPr>
        <w:pStyle w:val="ListParagraph"/>
        <w:jc w:val="both"/>
        <w:rPr>
          <w:rFonts w:asciiTheme="majorBidi" w:hAnsiTheme="majorBidi" w:cstheme="majorBidi"/>
          <w:sz w:val="24"/>
          <w:szCs w:val="24"/>
        </w:rPr>
      </w:pPr>
    </w:p>
    <w:p w14:paraId="5FD6C083" w14:textId="77777777" w:rsidR="00FB1314" w:rsidRDefault="00FB1314" w:rsidP="00FB1314">
      <w:pPr>
        <w:pStyle w:val="ListParagraph"/>
        <w:jc w:val="both"/>
        <w:rPr>
          <w:rFonts w:asciiTheme="majorBidi" w:hAnsiTheme="majorBidi" w:cstheme="majorBidi"/>
          <w:sz w:val="24"/>
          <w:szCs w:val="24"/>
        </w:rPr>
      </w:pPr>
      <w:r w:rsidRPr="00D6051D">
        <w:rPr>
          <w:rFonts w:asciiTheme="majorBidi" w:hAnsiTheme="majorBidi" w:cstheme="majorBidi"/>
          <w:sz w:val="24"/>
          <w:szCs w:val="24"/>
        </w:rPr>
        <w:t xml:space="preserve">The 2030 Agenda is deliberately ambitious and transformational, with a set of 17 integrated and indivisible Sustainable Development Goals and targets to guide us. </w:t>
      </w:r>
      <w:r>
        <w:rPr>
          <w:rFonts w:asciiTheme="majorBidi" w:hAnsiTheme="majorBidi" w:cstheme="majorBidi"/>
          <w:sz w:val="24"/>
          <w:szCs w:val="24"/>
        </w:rPr>
        <w:t>I</w:t>
      </w:r>
      <w:r w:rsidRPr="00D6051D">
        <w:rPr>
          <w:rFonts w:asciiTheme="majorBidi" w:hAnsiTheme="majorBidi" w:cstheme="majorBidi"/>
          <w:sz w:val="24"/>
          <w:szCs w:val="24"/>
        </w:rPr>
        <w:t>t is a universal agenda, applying to all countries, as even the richest societies have yet to fully ensure women’s rights, conquer inequality</w:t>
      </w:r>
      <w:r>
        <w:rPr>
          <w:rFonts w:asciiTheme="majorBidi" w:hAnsiTheme="majorBidi" w:cstheme="majorBidi"/>
          <w:sz w:val="24"/>
          <w:szCs w:val="24"/>
        </w:rPr>
        <w:t>,</w:t>
      </w:r>
      <w:r w:rsidRPr="00D6051D">
        <w:rPr>
          <w:rFonts w:asciiTheme="majorBidi" w:hAnsiTheme="majorBidi" w:cstheme="majorBidi"/>
          <w:sz w:val="24"/>
          <w:szCs w:val="24"/>
        </w:rPr>
        <w:t xml:space="preserve"> and safeguard the environment.</w:t>
      </w:r>
    </w:p>
    <w:p w14:paraId="4CA4507C" w14:textId="77777777" w:rsidR="00FB1314" w:rsidRPr="009F31CE" w:rsidRDefault="00FB1314" w:rsidP="00FB1314">
      <w:pPr>
        <w:pStyle w:val="ListParagraph"/>
        <w:jc w:val="both"/>
        <w:rPr>
          <w:rFonts w:asciiTheme="majorBidi" w:hAnsiTheme="majorBidi" w:cstheme="majorBidi"/>
          <w:sz w:val="24"/>
          <w:szCs w:val="24"/>
        </w:rPr>
      </w:pPr>
    </w:p>
    <w:p w14:paraId="56B0784B" w14:textId="77777777" w:rsidR="00FB1314" w:rsidRDefault="00FB1314" w:rsidP="00FB1314">
      <w:pPr>
        <w:pStyle w:val="ListParagraph"/>
        <w:jc w:val="both"/>
        <w:rPr>
          <w:rFonts w:asciiTheme="majorBidi" w:hAnsiTheme="majorBidi" w:cstheme="majorBidi"/>
          <w:sz w:val="24"/>
          <w:szCs w:val="24"/>
        </w:rPr>
      </w:pPr>
      <w:r w:rsidRPr="009F31CE">
        <w:rPr>
          <w:rFonts w:asciiTheme="majorBidi" w:hAnsiTheme="majorBidi" w:cstheme="majorBidi"/>
          <w:sz w:val="24"/>
          <w:szCs w:val="24"/>
        </w:rPr>
        <w:t>Undeterred by the exceptionally challenging environment of pursuing the attainment of the SDGs under occupation, Palestine is committed to achieving a better and dignified life for its citizens and to contributing</w:t>
      </w:r>
      <w:r>
        <w:rPr>
          <w:rFonts w:asciiTheme="majorBidi" w:hAnsiTheme="majorBidi" w:cstheme="majorBidi"/>
          <w:sz w:val="24"/>
          <w:szCs w:val="24"/>
        </w:rPr>
        <w:t xml:space="preserve"> to the well-being of humanity by </w:t>
      </w:r>
      <w:r w:rsidRPr="009F31CE">
        <w:rPr>
          <w:rFonts w:asciiTheme="majorBidi" w:hAnsiTheme="majorBidi" w:cstheme="majorBidi"/>
          <w:sz w:val="24"/>
          <w:szCs w:val="24"/>
        </w:rPr>
        <w:t>working with all partners and stakeholders at the national and international levels in order to implement the sustainable development goals in line with the national development priorities of the State of Palestine.</w:t>
      </w:r>
    </w:p>
    <w:p w14:paraId="4B03A784" w14:textId="77777777" w:rsidR="00FB1314" w:rsidRPr="009F31CE" w:rsidRDefault="00FB1314" w:rsidP="00FB1314">
      <w:pPr>
        <w:pStyle w:val="ListParagraph"/>
        <w:jc w:val="both"/>
        <w:rPr>
          <w:rFonts w:asciiTheme="majorBidi" w:hAnsiTheme="majorBidi" w:cstheme="majorBidi"/>
          <w:sz w:val="4"/>
          <w:szCs w:val="4"/>
        </w:rPr>
      </w:pPr>
    </w:p>
    <w:p w14:paraId="663E5DB9" w14:textId="77777777" w:rsidR="00FB1314" w:rsidRPr="003446FD" w:rsidRDefault="00FB1314" w:rsidP="00FB1314">
      <w:pPr>
        <w:bidi w:val="0"/>
        <w:spacing w:after="0" w:line="240" w:lineRule="auto"/>
        <w:jc w:val="both"/>
        <w:rPr>
          <w:rFonts w:ascii="Times New Roman" w:hAnsi="Times New Roman" w:cs="Times New Roman"/>
          <w:sz w:val="24"/>
          <w:szCs w:val="24"/>
          <w:lang w:eastAsia="ar-SA"/>
        </w:rPr>
      </w:pPr>
      <w:r w:rsidRPr="003446FD">
        <w:rPr>
          <w:rFonts w:ascii="Times New Roman" w:hAnsi="Times New Roman" w:cs="Times New Roman"/>
          <w:sz w:val="24"/>
          <w:szCs w:val="24"/>
          <w:lang w:eastAsia="ar-SA"/>
        </w:rPr>
        <w:t>These 17 goals are as follows:</w:t>
      </w:r>
    </w:p>
    <w:p w14:paraId="019E7C32"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End poverty in all its forms everywhere</w:t>
      </w:r>
      <w:r>
        <w:rPr>
          <w:rFonts w:ascii="Times New Roman" w:hAnsi="Times New Roman" w:cs="Times New Roman"/>
          <w:sz w:val="24"/>
          <w:szCs w:val="24"/>
          <w:lang w:eastAsia="ar-SA"/>
        </w:rPr>
        <w:t>.</w:t>
      </w:r>
    </w:p>
    <w:p w14:paraId="380F328D"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End hunger, achieve food security and improved nutrition and promote sustainable agriculture</w:t>
      </w:r>
      <w:r>
        <w:rPr>
          <w:rFonts w:ascii="Times New Roman" w:hAnsi="Times New Roman" w:cs="Times New Roman"/>
          <w:sz w:val="24"/>
          <w:szCs w:val="24"/>
          <w:lang w:eastAsia="ar-SA"/>
        </w:rPr>
        <w:t>.</w:t>
      </w:r>
    </w:p>
    <w:p w14:paraId="3A132164"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healthy lives and promote well-being for all at all ages</w:t>
      </w:r>
      <w:r>
        <w:rPr>
          <w:rFonts w:ascii="Times New Roman" w:hAnsi="Times New Roman" w:cs="Times New Roman"/>
          <w:sz w:val="24"/>
          <w:szCs w:val="24"/>
          <w:lang w:eastAsia="ar-SA"/>
        </w:rPr>
        <w:t>.</w:t>
      </w:r>
    </w:p>
    <w:p w14:paraId="0AF4DA4A"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inclusive and equitable quality education and promote lifelong learning opportunities for all</w:t>
      </w:r>
      <w:r>
        <w:rPr>
          <w:rFonts w:ascii="Times New Roman" w:hAnsi="Times New Roman" w:cs="Times New Roman"/>
          <w:sz w:val="24"/>
          <w:szCs w:val="24"/>
          <w:lang w:eastAsia="ar-SA"/>
        </w:rPr>
        <w:t>.</w:t>
      </w:r>
    </w:p>
    <w:p w14:paraId="6E66FE01"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Achieve gender equality and empower all women and girls</w:t>
      </w:r>
      <w:r>
        <w:rPr>
          <w:rFonts w:ascii="Times New Roman" w:hAnsi="Times New Roman" w:cs="Times New Roman"/>
          <w:sz w:val="24"/>
          <w:szCs w:val="24"/>
          <w:lang w:eastAsia="ar-SA"/>
        </w:rPr>
        <w:t>.</w:t>
      </w:r>
    </w:p>
    <w:p w14:paraId="002B6441"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availability and sustainable management of water and sanitation for all</w:t>
      </w:r>
      <w:r>
        <w:rPr>
          <w:rFonts w:ascii="Times New Roman" w:hAnsi="Times New Roman" w:cs="Times New Roman"/>
          <w:sz w:val="24"/>
          <w:szCs w:val="24"/>
          <w:lang w:eastAsia="ar-SA"/>
        </w:rPr>
        <w:t>.</w:t>
      </w:r>
    </w:p>
    <w:p w14:paraId="1BB1B6B5"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access to affordable, reliable, sustainable and modern energy for all</w:t>
      </w:r>
      <w:r>
        <w:rPr>
          <w:rFonts w:ascii="Times New Roman" w:hAnsi="Times New Roman" w:cs="Times New Roman"/>
          <w:sz w:val="24"/>
          <w:szCs w:val="24"/>
          <w:lang w:eastAsia="ar-SA"/>
        </w:rPr>
        <w:t>.</w:t>
      </w:r>
    </w:p>
    <w:p w14:paraId="0BBAEDDD"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Promote sustained, inclusive and sustainable economic growth, full and productive employment and decent work for all</w:t>
      </w:r>
      <w:r>
        <w:rPr>
          <w:rFonts w:ascii="Times New Roman" w:hAnsi="Times New Roman" w:cs="Times New Roman"/>
          <w:sz w:val="24"/>
          <w:szCs w:val="24"/>
          <w:lang w:eastAsia="ar-SA"/>
        </w:rPr>
        <w:t>.</w:t>
      </w:r>
    </w:p>
    <w:p w14:paraId="1D43EA50"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Build resilient infrastructure, promote inclusive and sustainable industrialization and foster innovation</w:t>
      </w:r>
      <w:r>
        <w:rPr>
          <w:rFonts w:ascii="Times New Roman" w:hAnsi="Times New Roman" w:cs="Times New Roman"/>
          <w:sz w:val="24"/>
          <w:szCs w:val="24"/>
          <w:lang w:eastAsia="ar-SA"/>
        </w:rPr>
        <w:t>.</w:t>
      </w:r>
    </w:p>
    <w:p w14:paraId="5180CD49"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Reduce inequality within and among countries</w:t>
      </w:r>
      <w:r>
        <w:rPr>
          <w:rFonts w:ascii="Times New Roman" w:hAnsi="Times New Roman" w:cs="Times New Roman"/>
          <w:sz w:val="24"/>
          <w:szCs w:val="24"/>
          <w:lang w:eastAsia="ar-SA"/>
        </w:rPr>
        <w:t>.</w:t>
      </w:r>
    </w:p>
    <w:p w14:paraId="55505BA2"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Make cities and human settlements inclusive, safe, resilient and sustainable</w:t>
      </w:r>
      <w:r>
        <w:rPr>
          <w:rFonts w:ascii="Times New Roman" w:hAnsi="Times New Roman" w:cs="Times New Roman"/>
          <w:sz w:val="24"/>
          <w:szCs w:val="24"/>
          <w:lang w:eastAsia="ar-SA"/>
        </w:rPr>
        <w:t>.</w:t>
      </w:r>
    </w:p>
    <w:p w14:paraId="06D84832"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sustainable consumption and production patterns</w:t>
      </w:r>
      <w:r>
        <w:rPr>
          <w:rFonts w:ascii="Times New Roman" w:hAnsi="Times New Roman" w:cs="Times New Roman"/>
          <w:sz w:val="24"/>
          <w:szCs w:val="24"/>
          <w:lang w:eastAsia="ar-SA"/>
        </w:rPr>
        <w:t>.</w:t>
      </w:r>
    </w:p>
    <w:p w14:paraId="325660AF"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Take urgent action to combat climate change and its impact</w:t>
      </w:r>
      <w:r>
        <w:rPr>
          <w:rFonts w:ascii="Times New Roman" w:hAnsi="Times New Roman" w:cs="Times New Roman"/>
          <w:sz w:val="24"/>
          <w:szCs w:val="24"/>
          <w:lang w:eastAsia="ar-SA"/>
        </w:rPr>
        <w:t>.</w:t>
      </w:r>
    </w:p>
    <w:p w14:paraId="36C7EE18"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Conserve and sustainably use the oceans, seas and marine resources for sustainable development</w:t>
      </w:r>
      <w:r>
        <w:rPr>
          <w:rFonts w:ascii="Times New Roman" w:hAnsi="Times New Roman" w:cs="Times New Roman"/>
          <w:sz w:val="24"/>
          <w:szCs w:val="24"/>
          <w:lang w:eastAsia="ar-SA"/>
        </w:rPr>
        <w:t>.</w:t>
      </w:r>
    </w:p>
    <w:p w14:paraId="2F05E45D"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Protect, restore</w:t>
      </w:r>
      <w:r>
        <w:rPr>
          <w:rFonts w:ascii="Times New Roman" w:hAnsi="Times New Roman" w:cs="Times New Roman"/>
          <w:sz w:val="24"/>
          <w:szCs w:val="24"/>
          <w:lang w:eastAsia="ar-SA"/>
        </w:rPr>
        <w:t>,</w:t>
      </w:r>
      <w:r w:rsidRPr="00677E6A">
        <w:rPr>
          <w:rFonts w:ascii="Times New Roman" w:hAnsi="Times New Roman" w:cs="Times New Roman"/>
          <w:sz w:val="24"/>
          <w:szCs w:val="24"/>
          <w:lang w:eastAsia="ar-SA"/>
        </w:rPr>
        <w:t xml:space="preserve"> and promote sustainable use of terrestrial ecosystems</w:t>
      </w:r>
      <w:r>
        <w:rPr>
          <w:rFonts w:ascii="Times New Roman" w:hAnsi="Times New Roman" w:cs="Times New Roman"/>
          <w:sz w:val="24"/>
          <w:szCs w:val="24"/>
          <w:lang w:eastAsia="ar-SA"/>
        </w:rPr>
        <w:t>;</w:t>
      </w:r>
      <w:r w:rsidRPr="00677E6A">
        <w:rPr>
          <w:rFonts w:ascii="Times New Roman" w:hAnsi="Times New Roman" w:cs="Times New Roman"/>
          <w:sz w:val="24"/>
          <w:szCs w:val="24"/>
          <w:lang w:eastAsia="ar-SA"/>
        </w:rPr>
        <w:t xml:space="preserve"> sustainably manage forests, combat desertification, halt and reverse land degradation</w:t>
      </w:r>
      <w:r>
        <w:rPr>
          <w:rFonts w:ascii="Times New Roman" w:hAnsi="Times New Roman" w:cs="Times New Roman"/>
          <w:sz w:val="24"/>
          <w:szCs w:val="24"/>
          <w:lang w:eastAsia="ar-SA"/>
        </w:rPr>
        <w:t>,</w:t>
      </w:r>
      <w:r w:rsidRPr="00677E6A">
        <w:rPr>
          <w:rFonts w:ascii="Times New Roman" w:hAnsi="Times New Roman" w:cs="Times New Roman"/>
          <w:sz w:val="24"/>
          <w:szCs w:val="24"/>
          <w:lang w:eastAsia="ar-SA"/>
        </w:rPr>
        <w:t xml:space="preserve"> and halt biodiversity loss</w:t>
      </w:r>
      <w:r>
        <w:rPr>
          <w:rFonts w:ascii="Times New Roman" w:hAnsi="Times New Roman" w:cs="Times New Roman"/>
          <w:sz w:val="24"/>
          <w:szCs w:val="24"/>
          <w:lang w:eastAsia="ar-SA"/>
        </w:rPr>
        <w:t>.</w:t>
      </w:r>
    </w:p>
    <w:p w14:paraId="10168EDE"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Promote peaceful and inclusive societies for sustainable development, provide access to justice for all and build effective, accountable</w:t>
      </w:r>
      <w:r>
        <w:rPr>
          <w:rFonts w:ascii="Times New Roman" w:hAnsi="Times New Roman" w:cs="Times New Roman"/>
          <w:sz w:val="24"/>
          <w:szCs w:val="24"/>
          <w:lang w:eastAsia="ar-SA"/>
        </w:rPr>
        <w:t>,</w:t>
      </w:r>
      <w:r w:rsidRPr="00677E6A">
        <w:rPr>
          <w:rFonts w:ascii="Times New Roman" w:hAnsi="Times New Roman" w:cs="Times New Roman"/>
          <w:sz w:val="24"/>
          <w:szCs w:val="24"/>
          <w:lang w:eastAsia="ar-SA"/>
        </w:rPr>
        <w:t xml:space="preserve"> and inclusive institutions at all levels</w:t>
      </w:r>
      <w:r>
        <w:rPr>
          <w:rFonts w:ascii="Times New Roman" w:hAnsi="Times New Roman" w:cs="Times New Roman"/>
          <w:sz w:val="24"/>
          <w:szCs w:val="24"/>
          <w:lang w:eastAsia="ar-SA"/>
        </w:rPr>
        <w:t>.</w:t>
      </w:r>
    </w:p>
    <w:p w14:paraId="4C738E46" w14:textId="77777777" w:rsidR="00FB1314" w:rsidRPr="00026A57"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Revitalize the global partnership for sustainable development</w:t>
      </w:r>
      <w:r>
        <w:rPr>
          <w:rFonts w:ascii="Times New Roman" w:hAnsi="Times New Roman" w:cs="Times New Roman"/>
          <w:sz w:val="24"/>
          <w:szCs w:val="24"/>
          <w:lang w:eastAsia="ar-SA"/>
        </w:rPr>
        <w:t>.</w:t>
      </w:r>
    </w:p>
    <w:p w14:paraId="0825F30B" w14:textId="77777777" w:rsidR="00FB1314" w:rsidRPr="00FF1839" w:rsidRDefault="00FB1314" w:rsidP="00FB1314">
      <w:pPr>
        <w:bidi w:val="0"/>
        <w:rPr>
          <w:rFonts w:asciiTheme="majorBidi" w:hAnsiTheme="majorBidi" w:cstheme="majorBidi"/>
          <w:b/>
          <w:bCs/>
          <w:sz w:val="24"/>
          <w:szCs w:val="24"/>
        </w:rPr>
      </w:pPr>
      <w:r w:rsidRPr="00FF1839">
        <w:rPr>
          <w:rFonts w:asciiTheme="majorBidi" w:hAnsiTheme="majorBidi" w:cstheme="majorBidi"/>
          <w:b/>
          <w:bCs/>
          <w:sz w:val="24"/>
          <w:szCs w:val="24"/>
        </w:rPr>
        <w:lastRenderedPageBreak/>
        <w:t xml:space="preserve">1.2 Progress </w:t>
      </w:r>
      <w:r>
        <w:rPr>
          <w:rFonts w:asciiTheme="majorBidi" w:hAnsiTheme="majorBidi" w:cstheme="majorBidi"/>
          <w:b/>
          <w:bCs/>
          <w:sz w:val="24"/>
          <w:szCs w:val="24"/>
        </w:rPr>
        <w:t>T</w:t>
      </w:r>
      <w:r w:rsidRPr="00FF1839">
        <w:rPr>
          <w:rFonts w:asciiTheme="majorBidi" w:hAnsiTheme="majorBidi" w:cstheme="majorBidi"/>
          <w:b/>
          <w:bCs/>
          <w:sz w:val="24"/>
          <w:szCs w:val="24"/>
        </w:rPr>
        <w:t>owards Sustainable Development</w:t>
      </w:r>
    </w:p>
    <w:p w14:paraId="32E997C8" w14:textId="77777777" w:rsidR="00FB1314" w:rsidRDefault="00FB1314" w:rsidP="00FB1314">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 xml:space="preserve">National Efforts </w:t>
      </w:r>
      <w:r>
        <w:rPr>
          <w:rFonts w:ascii="Times New Roman" w:hAnsi="Times New Roman" w:cs="Times New Roman"/>
          <w:b/>
          <w:bCs/>
          <w:sz w:val="24"/>
          <w:szCs w:val="24"/>
        </w:rPr>
        <w:t xml:space="preserve">towards achieving </w:t>
      </w:r>
      <w:r w:rsidRPr="003446FD">
        <w:rPr>
          <w:rFonts w:ascii="Times New Roman" w:hAnsi="Times New Roman" w:cs="Times New Roman"/>
          <w:b/>
          <w:bCs/>
          <w:sz w:val="24"/>
          <w:szCs w:val="24"/>
        </w:rPr>
        <w:t>S</w:t>
      </w:r>
      <w:r>
        <w:rPr>
          <w:rFonts w:ascii="Times New Roman" w:hAnsi="Times New Roman" w:cs="Times New Roman"/>
          <w:b/>
          <w:bCs/>
          <w:sz w:val="24"/>
          <w:szCs w:val="24"/>
        </w:rPr>
        <w:t xml:space="preserve">ustainable </w:t>
      </w:r>
      <w:r w:rsidRPr="003446FD">
        <w:rPr>
          <w:rFonts w:ascii="Times New Roman" w:hAnsi="Times New Roman" w:cs="Times New Roman"/>
          <w:b/>
          <w:bCs/>
          <w:sz w:val="24"/>
          <w:szCs w:val="24"/>
        </w:rPr>
        <w:t>D</w:t>
      </w:r>
      <w:r>
        <w:rPr>
          <w:rFonts w:ascii="Times New Roman" w:hAnsi="Times New Roman" w:cs="Times New Roman"/>
          <w:b/>
          <w:bCs/>
          <w:sz w:val="24"/>
          <w:szCs w:val="24"/>
        </w:rPr>
        <w:t xml:space="preserve">evelopment </w:t>
      </w:r>
      <w:r w:rsidRPr="003446FD">
        <w:rPr>
          <w:rFonts w:ascii="Times New Roman" w:hAnsi="Times New Roman" w:cs="Times New Roman"/>
          <w:b/>
          <w:bCs/>
          <w:sz w:val="24"/>
          <w:szCs w:val="24"/>
        </w:rPr>
        <w:t>G</w:t>
      </w:r>
      <w:r>
        <w:rPr>
          <w:rFonts w:ascii="Times New Roman" w:hAnsi="Times New Roman" w:cs="Times New Roman"/>
          <w:b/>
          <w:bCs/>
          <w:sz w:val="24"/>
          <w:szCs w:val="24"/>
        </w:rPr>
        <w:t>oals</w:t>
      </w:r>
    </w:p>
    <w:p w14:paraId="4670A2A1" w14:textId="77777777" w:rsidR="00FB1314" w:rsidRPr="00206211" w:rsidRDefault="00FB1314" w:rsidP="00FB1314">
      <w:pPr>
        <w:bidi w:val="0"/>
        <w:spacing w:after="0" w:line="240" w:lineRule="auto"/>
        <w:rPr>
          <w:rFonts w:ascii="Times New Roman" w:hAnsi="Times New Roman" w:cs="Times New Roman"/>
          <w:b/>
          <w:bCs/>
          <w:sz w:val="16"/>
          <w:szCs w:val="16"/>
        </w:rPr>
      </w:pPr>
    </w:p>
    <w:p w14:paraId="6A1BE58F" w14:textId="77777777" w:rsidR="00FB1314" w:rsidRPr="003446FD" w:rsidRDefault="00FB1314" w:rsidP="00FB1314">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The Palestinian Government's Adoption of the 2030 Agenda:</w:t>
      </w:r>
    </w:p>
    <w:p w14:paraId="4B428E71"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After the global adoption of the 2030 Agenda which took place during the 70th  Regular Session of the UN General Assembly on September </w:t>
      </w:r>
      <w:r>
        <w:rPr>
          <w:rFonts w:ascii="Times New Roman" w:hAnsi="Times New Roman" w:cs="Times New Roman"/>
          <w:sz w:val="24"/>
          <w:szCs w:val="24"/>
          <w:lang w:eastAsia="ar-SA"/>
        </w:rPr>
        <w:t xml:space="preserve">15, </w:t>
      </w:r>
      <w:r w:rsidRPr="00D247CA">
        <w:rPr>
          <w:rFonts w:ascii="Times New Roman" w:hAnsi="Times New Roman" w:cs="Times New Roman"/>
          <w:sz w:val="24"/>
          <w:szCs w:val="24"/>
          <w:lang w:eastAsia="ar-SA"/>
        </w:rPr>
        <w:t xml:space="preserve">2015, H.E Palestinian President Mr. Mahmoud Abbas signed a decree in which the 2030 Agenda was officially </w:t>
      </w:r>
      <w:r>
        <w:rPr>
          <w:rFonts w:ascii="Times New Roman" w:hAnsi="Times New Roman" w:cs="Times New Roman"/>
          <w:sz w:val="24"/>
          <w:szCs w:val="24"/>
          <w:lang w:eastAsia="ar-SA"/>
        </w:rPr>
        <w:t xml:space="preserve">adopted </w:t>
      </w:r>
      <w:r w:rsidRPr="00D247CA">
        <w:rPr>
          <w:rFonts w:ascii="Times New Roman" w:hAnsi="Times New Roman" w:cs="Times New Roman"/>
          <w:sz w:val="24"/>
          <w:szCs w:val="24"/>
          <w:lang w:eastAsia="ar-SA"/>
        </w:rPr>
        <w:t xml:space="preserve">by the State of Palestine. </w:t>
      </w:r>
      <w:r>
        <w:rPr>
          <w:rFonts w:ascii="Times New Roman" w:hAnsi="Times New Roman" w:cs="Times New Roman"/>
          <w:sz w:val="24"/>
          <w:szCs w:val="24"/>
          <w:lang w:eastAsia="ar-SA"/>
        </w:rPr>
        <w:t>D</w:t>
      </w:r>
      <w:r w:rsidRPr="00D247CA">
        <w:rPr>
          <w:rFonts w:ascii="Times New Roman" w:hAnsi="Times New Roman" w:cs="Times New Roman"/>
          <w:sz w:val="24"/>
          <w:szCs w:val="24"/>
          <w:lang w:eastAsia="ar-SA"/>
        </w:rPr>
        <w:t xml:space="preserve">irectives </w:t>
      </w:r>
      <w:r>
        <w:rPr>
          <w:rFonts w:ascii="Times New Roman" w:hAnsi="Times New Roman" w:cs="Times New Roman"/>
          <w:sz w:val="24"/>
          <w:szCs w:val="24"/>
          <w:lang w:eastAsia="ar-SA"/>
        </w:rPr>
        <w:t>were issued</w:t>
      </w:r>
      <w:r w:rsidRPr="00D247CA">
        <w:rPr>
          <w:rFonts w:ascii="Times New Roman" w:hAnsi="Times New Roman" w:cs="Times New Roman"/>
          <w:sz w:val="24"/>
          <w:szCs w:val="24"/>
          <w:lang w:eastAsia="ar-SA"/>
        </w:rPr>
        <w:t xml:space="preserve">to take all necessary measures to start implementing this plan in a manner that is compatible with the Palestinian context. </w:t>
      </w:r>
    </w:p>
    <w:p w14:paraId="535F69AE" w14:textId="77777777" w:rsidR="00FB1314" w:rsidRPr="00206211" w:rsidRDefault="00FB1314" w:rsidP="00FB1314">
      <w:pPr>
        <w:autoSpaceDE w:val="0"/>
        <w:autoSpaceDN w:val="0"/>
        <w:bidi w:val="0"/>
        <w:adjustRightInd w:val="0"/>
        <w:spacing w:after="0" w:line="240" w:lineRule="auto"/>
        <w:jc w:val="both"/>
        <w:rPr>
          <w:rFonts w:ascii="Times New Roman" w:hAnsi="Times New Roman" w:cs="Times New Roman"/>
          <w:b/>
          <w:bCs/>
          <w:sz w:val="16"/>
          <w:szCs w:val="16"/>
        </w:rPr>
      </w:pPr>
    </w:p>
    <w:p w14:paraId="0E660FE1" w14:textId="77777777" w:rsidR="00FB1314" w:rsidRPr="00A44E81" w:rsidRDefault="00FB1314" w:rsidP="00FB1314">
      <w:pPr>
        <w:autoSpaceDE w:val="0"/>
        <w:autoSpaceDN w:val="0"/>
        <w:bidi w:val="0"/>
        <w:adjustRightInd w:val="0"/>
        <w:spacing w:after="0" w:line="240" w:lineRule="auto"/>
        <w:jc w:val="both"/>
        <w:rPr>
          <w:rFonts w:ascii="Times New Roman" w:hAnsi="Times New Roman" w:cs="Times New Roman"/>
          <w:b/>
          <w:bCs/>
          <w:sz w:val="24"/>
          <w:szCs w:val="24"/>
        </w:rPr>
      </w:pPr>
      <w:r w:rsidRPr="003446FD">
        <w:rPr>
          <w:rFonts w:ascii="Times New Roman" w:hAnsi="Times New Roman" w:cs="Times New Roman"/>
          <w:b/>
          <w:bCs/>
          <w:sz w:val="24"/>
          <w:szCs w:val="24"/>
        </w:rPr>
        <w:t>Forming the National Team:</w:t>
      </w:r>
    </w:p>
    <w:p w14:paraId="7C7BF224"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Based on the commitment of </w:t>
      </w:r>
      <w:r>
        <w:rPr>
          <w:rFonts w:ascii="Times New Roman" w:hAnsi="Times New Roman" w:cs="Times New Roman"/>
          <w:sz w:val="24"/>
          <w:szCs w:val="24"/>
          <w:lang w:eastAsia="ar-SA"/>
        </w:rPr>
        <w:t xml:space="preserve">implementing </w:t>
      </w:r>
      <w:r w:rsidRPr="00D247CA">
        <w:rPr>
          <w:rFonts w:ascii="Times New Roman" w:hAnsi="Times New Roman" w:cs="Times New Roman"/>
          <w:sz w:val="24"/>
          <w:szCs w:val="24"/>
          <w:lang w:eastAsia="ar-SA"/>
        </w:rPr>
        <w:t xml:space="preserve">the agenda, the </w:t>
      </w:r>
      <w:r>
        <w:rPr>
          <w:rFonts w:ascii="Times New Roman" w:hAnsi="Times New Roman" w:cs="Times New Roman"/>
          <w:sz w:val="24"/>
          <w:szCs w:val="24"/>
          <w:lang w:eastAsia="ar-SA"/>
        </w:rPr>
        <w:t>C</w:t>
      </w:r>
      <w:r w:rsidRPr="00D247CA">
        <w:rPr>
          <w:rFonts w:ascii="Times New Roman" w:hAnsi="Times New Roman" w:cs="Times New Roman"/>
          <w:sz w:val="24"/>
          <w:szCs w:val="24"/>
          <w:lang w:eastAsia="ar-SA"/>
        </w:rPr>
        <w:t xml:space="preserve">ouncil of </w:t>
      </w:r>
      <w:r>
        <w:rPr>
          <w:rFonts w:ascii="Times New Roman" w:hAnsi="Times New Roman" w:cs="Times New Roman"/>
          <w:sz w:val="24"/>
          <w:szCs w:val="24"/>
          <w:lang w:eastAsia="ar-SA"/>
        </w:rPr>
        <w:t>M</w:t>
      </w:r>
      <w:r w:rsidRPr="00D247CA">
        <w:rPr>
          <w:rFonts w:ascii="Times New Roman" w:hAnsi="Times New Roman" w:cs="Times New Roman"/>
          <w:sz w:val="24"/>
          <w:szCs w:val="24"/>
          <w:lang w:eastAsia="ar-SA"/>
        </w:rPr>
        <w:t>inist</w:t>
      </w:r>
      <w:r>
        <w:rPr>
          <w:rFonts w:ascii="Times New Roman" w:hAnsi="Times New Roman" w:cs="Times New Roman"/>
          <w:sz w:val="24"/>
          <w:szCs w:val="24"/>
          <w:lang w:eastAsia="ar-SA"/>
        </w:rPr>
        <w:t>ers</w:t>
      </w:r>
      <w:r w:rsidRPr="00D247CA">
        <w:rPr>
          <w:rFonts w:ascii="Times New Roman" w:hAnsi="Times New Roman" w:cs="Times New Roman"/>
          <w:sz w:val="24"/>
          <w:szCs w:val="24"/>
          <w:lang w:eastAsia="ar-SA"/>
        </w:rPr>
        <w:t xml:space="preserve"> formed </w:t>
      </w:r>
      <w:r>
        <w:rPr>
          <w:rFonts w:ascii="Times New Roman" w:hAnsi="Times New Roman" w:cs="Times New Roman"/>
          <w:sz w:val="24"/>
          <w:szCs w:val="24"/>
          <w:lang w:eastAsia="ar-SA"/>
        </w:rPr>
        <w:t>a</w:t>
      </w:r>
      <w:r w:rsidRPr="00D247CA">
        <w:rPr>
          <w:rFonts w:ascii="Times New Roman" w:hAnsi="Times New Roman" w:cs="Times New Roman"/>
          <w:sz w:val="24"/>
          <w:szCs w:val="24"/>
          <w:lang w:eastAsia="ar-SA"/>
        </w:rPr>
        <w:t xml:space="preserve"> National Team mandated to follow</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up the implementation of the SDGs in cooperation withall related stakeholders, including representatives from NGOs and the private sector. The establishment of the SDG</w:t>
      </w:r>
      <w:r>
        <w:rPr>
          <w:rFonts w:ascii="Times New Roman" w:hAnsi="Times New Roman" w:cs="Times New Roman"/>
          <w:sz w:val="24"/>
          <w:szCs w:val="24"/>
          <w:lang w:eastAsia="ar-SA"/>
        </w:rPr>
        <w:t>’s</w:t>
      </w:r>
      <w:r w:rsidRPr="00D247CA">
        <w:rPr>
          <w:rFonts w:ascii="Times New Roman" w:hAnsi="Times New Roman" w:cs="Times New Roman"/>
          <w:sz w:val="24"/>
          <w:szCs w:val="24"/>
          <w:lang w:eastAsia="ar-SA"/>
        </w:rPr>
        <w:t xml:space="preserve"> National Team, its steering committee and 12 SDG working groups </w:t>
      </w:r>
      <w:r>
        <w:rPr>
          <w:rFonts w:ascii="Times New Roman" w:hAnsi="Times New Roman" w:cs="Times New Roman"/>
          <w:sz w:val="24"/>
          <w:szCs w:val="24"/>
          <w:lang w:eastAsia="ar-SA"/>
        </w:rPr>
        <w:t>are</w:t>
      </w:r>
      <w:r w:rsidRPr="00D247CA">
        <w:rPr>
          <w:rFonts w:ascii="Times New Roman" w:hAnsi="Times New Roman" w:cs="Times New Roman"/>
          <w:sz w:val="24"/>
          <w:szCs w:val="24"/>
          <w:lang w:eastAsia="ar-SA"/>
        </w:rPr>
        <w:t xml:space="preserve"> based on lessons learned from the </w:t>
      </w:r>
      <w:r>
        <w:rPr>
          <w:rFonts w:ascii="Times New Roman" w:hAnsi="Times New Roman" w:cs="Times New Roman"/>
          <w:sz w:val="24"/>
          <w:szCs w:val="24"/>
          <w:lang w:eastAsia="ar-SA"/>
        </w:rPr>
        <w:t>Millennium Developments Goals “</w:t>
      </w:r>
      <w:r w:rsidRPr="00D247CA">
        <w:rPr>
          <w:rFonts w:ascii="Times New Roman" w:hAnsi="Times New Roman" w:cs="Times New Roman"/>
          <w:sz w:val="24"/>
          <w:szCs w:val="24"/>
          <w:lang w:eastAsia="ar-SA"/>
        </w:rPr>
        <w:t>MDGs</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 xml:space="preserve"> to allow different partners to participate in the monitoring and implementation of the SDGs during all stages of the process including prioritization, implementation</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 xml:space="preserve"> and evaluation. The responsibility of the team is to determine sustainable development priorities in Palestine and to integrate them within the national framework for planning and budgeting processes, as well as to lead and coordinate the preparation of </w:t>
      </w:r>
      <w:r>
        <w:rPr>
          <w:rFonts w:ascii="Times New Roman" w:hAnsi="Times New Roman" w:cs="Times New Roman"/>
          <w:sz w:val="24"/>
          <w:szCs w:val="24"/>
          <w:lang w:eastAsia="ar-SA"/>
        </w:rPr>
        <w:t xml:space="preserve">voluntary </w:t>
      </w:r>
      <w:r w:rsidRPr="00D247CA">
        <w:rPr>
          <w:rFonts w:ascii="Times New Roman" w:hAnsi="Times New Roman" w:cs="Times New Roman"/>
          <w:sz w:val="24"/>
          <w:szCs w:val="24"/>
          <w:lang w:eastAsia="ar-SA"/>
        </w:rPr>
        <w:t xml:space="preserve">national reviews of progress towards the SDGs.  </w:t>
      </w:r>
    </w:p>
    <w:p w14:paraId="3A055341"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7957A7F8"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The Council of Minist</w:t>
      </w:r>
      <w:r>
        <w:rPr>
          <w:rFonts w:ascii="Times New Roman" w:hAnsi="Times New Roman" w:cs="Times New Roman"/>
          <w:sz w:val="24"/>
          <w:szCs w:val="24"/>
          <w:lang w:eastAsia="ar-SA"/>
        </w:rPr>
        <w:t xml:space="preserve">ers decree </w:t>
      </w:r>
      <w:r w:rsidRPr="00D247CA">
        <w:rPr>
          <w:rFonts w:ascii="Times New Roman" w:hAnsi="Times New Roman" w:cs="Times New Roman"/>
          <w:sz w:val="24"/>
          <w:szCs w:val="24"/>
          <w:lang w:eastAsia="ar-SA"/>
        </w:rPr>
        <w:t>also mandat</w:t>
      </w:r>
      <w:r>
        <w:rPr>
          <w:rFonts w:ascii="Times New Roman" w:hAnsi="Times New Roman" w:cs="Times New Roman"/>
          <w:sz w:val="24"/>
          <w:szCs w:val="24"/>
          <w:lang w:eastAsia="ar-SA"/>
        </w:rPr>
        <w:t>ed</w:t>
      </w:r>
      <w:r w:rsidRPr="00D247CA">
        <w:rPr>
          <w:rFonts w:ascii="Times New Roman" w:hAnsi="Times New Roman" w:cs="Times New Roman"/>
          <w:sz w:val="24"/>
          <w:szCs w:val="24"/>
          <w:lang w:eastAsia="ar-SA"/>
        </w:rPr>
        <w:t xml:space="preserve"> PCBS to lead the efforts on modernizing and monitoring the SDGs indicators in cooperation with all partners to provide the statistical data </w:t>
      </w:r>
      <w:r>
        <w:rPr>
          <w:rFonts w:ascii="Times New Roman" w:hAnsi="Times New Roman" w:cs="Times New Roman"/>
          <w:sz w:val="24"/>
          <w:szCs w:val="24"/>
          <w:lang w:eastAsia="ar-SA"/>
        </w:rPr>
        <w:t>for</w:t>
      </w:r>
      <w:r w:rsidRPr="00D247CA">
        <w:rPr>
          <w:rFonts w:ascii="Times New Roman" w:hAnsi="Times New Roman" w:cs="Times New Roman"/>
          <w:sz w:val="24"/>
          <w:szCs w:val="24"/>
          <w:lang w:eastAsia="ar-SA"/>
        </w:rPr>
        <w:t xml:space="preserve"> indicators and building the national system to monitor progress in this regard. </w:t>
      </w:r>
    </w:p>
    <w:p w14:paraId="32D3E09D" w14:textId="77777777" w:rsidR="00FB1314" w:rsidRPr="009C20DD" w:rsidRDefault="00FB1314" w:rsidP="00FB1314">
      <w:pPr>
        <w:tabs>
          <w:tab w:val="left" w:pos="9072"/>
        </w:tabs>
        <w:bidi w:val="0"/>
        <w:spacing w:after="0"/>
        <w:jc w:val="both"/>
        <w:rPr>
          <w:rFonts w:ascii="Times New Roman" w:hAnsi="Times New Roman" w:cs="Times New Roman"/>
          <w:sz w:val="18"/>
          <w:szCs w:val="18"/>
        </w:rPr>
      </w:pPr>
    </w:p>
    <w:p w14:paraId="055CA2E8" w14:textId="77777777" w:rsidR="00FB1314" w:rsidRPr="003446FD" w:rsidRDefault="00FB1314" w:rsidP="00FB1314">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 xml:space="preserve">The First Report </w:t>
      </w:r>
      <w:r>
        <w:rPr>
          <w:rFonts w:ascii="Times New Roman" w:hAnsi="Times New Roman" w:cs="Times New Roman"/>
          <w:b/>
          <w:bCs/>
          <w:sz w:val="24"/>
          <w:szCs w:val="24"/>
        </w:rPr>
        <w:t xml:space="preserve">for National </w:t>
      </w:r>
      <w:r w:rsidRPr="003446FD">
        <w:rPr>
          <w:rFonts w:ascii="Times New Roman" w:hAnsi="Times New Roman" w:cs="Times New Roman"/>
          <w:b/>
          <w:bCs/>
          <w:sz w:val="24"/>
          <w:szCs w:val="24"/>
        </w:rPr>
        <w:t>Voluntary</w:t>
      </w:r>
      <w:r>
        <w:rPr>
          <w:rFonts w:ascii="Times New Roman" w:hAnsi="Times New Roman" w:cs="Times New Roman"/>
          <w:b/>
          <w:bCs/>
          <w:sz w:val="24"/>
          <w:szCs w:val="24"/>
        </w:rPr>
        <w:t xml:space="preserve"> Review</w:t>
      </w:r>
      <w:r w:rsidRPr="003446FD">
        <w:rPr>
          <w:rFonts w:ascii="Times New Roman" w:hAnsi="Times New Roman" w:cs="Times New Roman"/>
          <w:b/>
          <w:bCs/>
          <w:sz w:val="24"/>
          <w:szCs w:val="24"/>
        </w:rPr>
        <w:t xml:space="preserve">: </w:t>
      </w:r>
    </w:p>
    <w:p w14:paraId="4DE256C7" w14:textId="77777777" w:rsidR="00FB1314" w:rsidRPr="00E97A28" w:rsidRDefault="00FB1314" w:rsidP="00FB1314">
      <w:pPr>
        <w:bidi w:val="0"/>
        <w:spacing w:after="0" w:line="240" w:lineRule="auto"/>
        <w:ind w:right="-334"/>
        <w:jc w:val="both"/>
        <w:rPr>
          <w:rFonts w:ascii="Times New Roman" w:hAnsi="Times New Roman" w:cs="Times New Roman"/>
          <w:sz w:val="24"/>
          <w:szCs w:val="24"/>
          <w:lang w:eastAsia="ar-SA"/>
        </w:rPr>
      </w:pPr>
      <w:r w:rsidRPr="00E97A28">
        <w:rPr>
          <w:rFonts w:ascii="Times New Roman" w:hAnsi="Times New Roman" w:cs="Times New Roman"/>
          <w:sz w:val="24"/>
          <w:szCs w:val="24"/>
          <w:lang w:eastAsia="ar-SA"/>
        </w:rPr>
        <w:t xml:space="preserve">As part of its commitment to sustainable development goals, the State of Palestine </w:t>
      </w:r>
      <w:r>
        <w:rPr>
          <w:rFonts w:ascii="Times New Roman" w:hAnsi="Times New Roman" w:cs="Times New Roman"/>
          <w:sz w:val="24"/>
          <w:szCs w:val="24"/>
          <w:lang w:eastAsia="ar-SA"/>
        </w:rPr>
        <w:t>presented</w:t>
      </w:r>
      <w:r w:rsidRPr="00E97A28">
        <w:rPr>
          <w:rFonts w:ascii="Times New Roman" w:hAnsi="Times New Roman" w:cs="Times New Roman"/>
          <w:sz w:val="24"/>
          <w:szCs w:val="24"/>
          <w:lang w:eastAsia="ar-SA"/>
        </w:rPr>
        <w:t xml:space="preserve"> the first voluntary national review </w:t>
      </w:r>
      <w:r>
        <w:rPr>
          <w:rFonts w:ascii="Times New Roman" w:hAnsi="Times New Roman" w:cs="Times New Roman"/>
          <w:sz w:val="24"/>
          <w:szCs w:val="24"/>
          <w:lang w:eastAsia="ar-SA"/>
        </w:rPr>
        <w:t xml:space="preserve">“VNR” </w:t>
      </w:r>
      <w:r w:rsidRPr="00E97A28">
        <w:rPr>
          <w:rFonts w:ascii="Times New Roman" w:hAnsi="Times New Roman" w:cs="Times New Roman"/>
          <w:sz w:val="24"/>
          <w:szCs w:val="24"/>
          <w:lang w:eastAsia="ar-SA"/>
        </w:rPr>
        <w:t>on the sustainable development goals to the high-level political forum</w:t>
      </w:r>
      <w:r>
        <w:rPr>
          <w:rFonts w:ascii="Times New Roman" w:hAnsi="Times New Roman" w:cs="Times New Roman"/>
          <w:sz w:val="24"/>
          <w:szCs w:val="24"/>
          <w:lang w:eastAsia="ar-SA"/>
        </w:rPr>
        <w:t xml:space="preserve"> (HLPF) in 2018. This report is consideredas </w:t>
      </w:r>
      <w:r w:rsidRPr="0024588B">
        <w:rPr>
          <w:rFonts w:ascii="Times New Roman" w:hAnsi="Times New Roman" w:cs="Times New Roman"/>
          <w:sz w:val="24"/>
          <w:szCs w:val="24"/>
          <w:lang w:eastAsia="ar-SA"/>
        </w:rPr>
        <w:t>status quo</w:t>
      </w:r>
      <w:r>
        <w:rPr>
          <w:rFonts w:ascii="Times New Roman" w:hAnsi="Times New Roman" w:cs="Times New Roman"/>
          <w:sz w:val="24"/>
          <w:szCs w:val="24"/>
          <w:lang w:eastAsia="ar-SA"/>
        </w:rPr>
        <w:t xml:space="preserve"> that </w:t>
      </w:r>
      <w:r w:rsidRPr="00E97A28">
        <w:rPr>
          <w:rFonts w:ascii="Times New Roman" w:hAnsi="Times New Roman" w:cs="Times New Roman"/>
          <w:sz w:val="24"/>
          <w:szCs w:val="24"/>
          <w:lang w:eastAsia="ar-SA"/>
        </w:rPr>
        <w:t>focused on assessing the reality of the sustainable development goals in Palestine and highlighting the challenges that hinder Palestine’s ability to fulfill its commitments to achiev</w:t>
      </w:r>
      <w:r>
        <w:rPr>
          <w:rFonts w:ascii="Times New Roman" w:hAnsi="Times New Roman" w:cs="Times New Roman"/>
          <w:sz w:val="24"/>
          <w:szCs w:val="24"/>
          <w:lang w:eastAsia="ar-SA"/>
        </w:rPr>
        <w:t>ing</w:t>
      </w:r>
      <w:r w:rsidRPr="00E97A28">
        <w:rPr>
          <w:rFonts w:ascii="Times New Roman" w:hAnsi="Times New Roman" w:cs="Times New Roman"/>
          <w:sz w:val="24"/>
          <w:szCs w:val="24"/>
          <w:lang w:eastAsia="ar-SA"/>
        </w:rPr>
        <w:t xml:space="preserve"> sustainable development</w:t>
      </w:r>
      <w:r>
        <w:rPr>
          <w:rFonts w:ascii="Times New Roman" w:hAnsi="Times New Roman" w:cs="Times New Roman"/>
          <w:sz w:val="24"/>
          <w:szCs w:val="24"/>
          <w:lang w:eastAsia="ar-SA"/>
        </w:rPr>
        <w:t xml:space="preserve"> while </w:t>
      </w:r>
      <w:r w:rsidRPr="00E97A28">
        <w:rPr>
          <w:rFonts w:ascii="Times New Roman" w:hAnsi="Times New Roman" w:cs="Times New Roman"/>
          <w:sz w:val="24"/>
          <w:szCs w:val="24"/>
          <w:lang w:eastAsia="ar-SA"/>
        </w:rPr>
        <w:t>contribut</w:t>
      </w:r>
      <w:r>
        <w:rPr>
          <w:rFonts w:ascii="Times New Roman" w:hAnsi="Times New Roman" w:cs="Times New Roman"/>
          <w:sz w:val="24"/>
          <w:szCs w:val="24"/>
          <w:lang w:eastAsia="ar-SA"/>
        </w:rPr>
        <w:t>ing</w:t>
      </w:r>
      <w:r w:rsidRPr="00E97A28">
        <w:rPr>
          <w:rFonts w:ascii="Times New Roman" w:hAnsi="Times New Roman" w:cs="Times New Roman"/>
          <w:sz w:val="24"/>
          <w:szCs w:val="24"/>
          <w:lang w:eastAsia="ar-SA"/>
        </w:rPr>
        <w:t xml:space="preserve"> to international dialogue to develop a common vision to accelerate the achievement of sustainable development goals. </w:t>
      </w:r>
      <w:r>
        <w:rPr>
          <w:rFonts w:ascii="Times New Roman" w:hAnsi="Times New Roman" w:cs="Times New Roman"/>
          <w:sz w:val="24"/>
          <w:szCs w:val="24"/>
          <w:lang w:eastAsia="ar-SA"/>
        </w:rPr>
        <w:t>The second VNR is initially planned for 2024.</w:t>
      </w:r>
    </w:p>
    <w:p w14:paraId="7F27E87B" w14:textId="77777777" w:rsidR="00FB1314" w:rsidRPr="00A44E81" w:rsidRDefault="00FB1314" w:rsidP="00FB1314">
      <w:pPr>
        <w:bidi w:val="0"/>
        <w:spacing w:after="0" w:line="240" w:lineRule="auto"/>
        <w:jc w:val="both"/>
        <w:rPr>
          <w:rFonts w:ascii="Times New Roman" w:hAnsi="Times New Roman" w:cs="Times New Roman"/>
          <w:sz w:val="24"/>
          <w:szCs w:val="24"/>
        </w:rPr>
      </w:pPr>
    </w:p>
    <w:p w14:paraId="390EAEDF" w14:textId="77777777" w:rsidR="00FB1314" w:rsidRPr="003446FD" w:rsidRDefault="00FB1314" w:rsidP="00FB1314">
      <w:pPr>
        <w:bidi w:val="0"/>
        <w:spacing w:after="0" w:line="240" w:lineRule="auto"/>
        <w:rPr>
          <w:rFonts w:ascii="Times New Roman" w:hAnsi="Times New Roman" w:cs="Times New Roman"/>
          <w:b/>
          <w:bCs/>
          <w:sz w:val="24"/>
          <w:szCs w:val="24"/>
        </w:rPr>
      </w:pPr>
      <w:r w:rsidRPr="00FF1839">
        <w:rPr>
          <w:rFonts w:ascii="Times New Roman" w:hAnsi="Times New Roman" w:cs="Times New Roman"/>
          <w:b/>
          <w:bCs/>
          <w:sz w:val="24"/>
          <w:szCs w:val="24"/>
        </w:rPr>
        <w:t>Modernization</w:t>
      </w:r>
      <w:r w:rsidRPr="003446FD">
        <w:rPr>
          <w:rFonts w:ascii="Times New Roman" w:hAnsi="Times New Roman" w:cs="Times New Roman"/>
          <w:b/>
          <w:bCs/>
          <w:sz w:val="24"/>
          <w:szCs w:val="24"/>
        </w:rPr>
        <w:t xml:space="preserve"> of the National Statistical System:</w:t>
      </w:r>
    </w:p>
    <w:p w14:paraId="035761FB"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PCBS believes that </w:t>
      </w:r>
      <w:r>
        <w:rPr>
          <w:rFonts w:ascii="Times New Roman" w:hAnsi="Times New Roman" w:cs="Times New Roman"/>
          <w:sz w:val="24"/>
          <w:szCs w:val="24"/>
          <w:lang w:eastAsia="ar-SA"/>
        </w:rPr>
        <w:t xml:space="preserve">the statistical system </w:t>
      </w:r>
      <w:r w:rsidRPr="00D247CA">
        <w:rPr>
          <w:rFonts w:ascii="Times New Roman" w:hAnsi="Times New Roman" w:cs="Times New Roman"/>
          <w:sz w:val="24"/>
          <w:szCs w:val="24"/>
          <w:lang w:eastAsia="ar-SA"/>
        </w:rPr>
        <w:t xml:space="preserve">modernization is essential to keep up with the accelerating requirements of SDGs. Such a process shall be addressed at all fronts, most notably at the regional and national levels to provide opportunities to exchange experiences and technical </w:t>
      </w:r>
      <w:r>
        <w:rPr>
          <w:rFonts w:ascii="Times New Roman" w:hAnsi="Times New Roman" w:cs="Times New Roman"/>
          <w:sz w:val="24"/>
          <w:szCs w:val="24"/>
          <w:lang w:eastAsia="ar-SA"/>
        </w:rPr>
        <w:t>expertise</w:t>
      </w:r>
      <w:r w:rsidRPr="00D247CA">
        <w:rPr>
          <w:rFonts w:ascii="Times New Roman" w:hAnsi="Times New Roman" w:cs="Times New Roman"/>
          <w:sz w:val="24"/>
          <w:szCs w:val="24"/>
          <w:lang w:eastAsia="ar-SA"/>
        </w:rPr>
        <w:t xml:space="preserve">. </w:t>
      </w:r>
    </w:p>
    <w:p w14:paraId="4A5679CE"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728BA056" w14:textId="77777777" w:rsidR="00FB1314" w:rsidRPr="003446FD" w:rsidRDefault="00FB1314" w:rsidP="00FB1314">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Creating Registers and Monitoring Directorate:</w:t>
      </w:r>
    </w:p>
    <w:p w14:paraId="7192EE89"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r>
        <w:rPr>
          <w:rFonts w:ascii="Times New Roman" w:hAnsi="Times New Roman" w:cs="Times New Roman"/>
          <w:sz w:val="24"/>
          <w:szCs w:val="24"/>
          <w:lang w:eastAsia="ar-SA"/>
        </w:rPr>
        <w:t>In</w:t>
      </w:r>
      <w:r w:rsidRPr="00D247CA">
        <w:rPr>
          <w:rFonts w:ascii="Times New Roman" w:hAnsi="Times New Roman" w:cs="Times New Roman"/>
          <w:sz w:val="24"/>
          <w:szCs w:val="24"/>
          <w:lang w:eastAsia="ar-SA"/>
        </w:rPr>
        <w:t xml:space="preserve"> response to the modernization of the statistical system, PCBS created a special Directorate for Monitoring and </w:t>
      </w:r>
      <w:r>
        <w:rPr>
          <w:rFonts w:ascii="Times New Roman" w:hAnsi="Times New Roman" w:cs="Times New Roman"/>
          <w:sz w:val="24"/>
          <w:szCs w:val="24"/>
          <w:lang w:eastAsia="ar-SA"/>
        </w:rPr>
        <w:t>M</w:t>
      </w:r>
      <w:r w:rsidRPr="00D247CA">
        <w:rPr>
          <w:rFonts w:ascii="Times New Roman" w:hAnsi="Times New Roman" w:cs="Times New Roman"/>
          <w:sz w:val="24"/>
          <w:szCs w:val="24"/>
          <w:lang w:eastAsia="ar-SA"/>
        </w:rPr>
        <w:t xml:space="preserve">odernizing SDGs indicators that </w:t>
      </w:r>
      <w:r>
        <w:rPr>
          <w:rFonts w:ascii="Times New Roman" w:hAnsi="Times New Roman" w:cs="Times New Roman"/>
          <w:sz w:val="24"/>
          <w:szCs w:val="24"/>
          <w:lang w:eastAsia="ar-SA"/>
        </w:rPr>
        <w:t>began</w:t>
      </w:r>
      <w:r w:rsidRPr="00D247CA">
        <w:rPr>
          <w:rFonts w:ascii="Times New Roman" w:hAnsi="Times New Roman" w:cs="Times New Roman"/>
          <w:sz w:val="24"/>
          <w:szCs w:val="24"/>
          <w:lang w:eastAsia="ar-SA"/>
        </w:rPr>
        <w:t xml:space="preserve"> with developing aroadmap and mechanism of assessment of SDGs indicators in Palestine</w:t>
      </w:r>
      <w:r>
        <w:rPr>
          <w:rFonts w:ascii="Times New Roman" w:hAnsi="Times New Roman" w:cs="Times New Roman"/>
          <w:sz w:val="24"/>
          <w:szCs w:val="24"/>
          <w:lang w:eastAsia="ar-SA"/>
        </w:rPr>
        <w:t>. T</w:t>
      </w:r>
      <w:r w:rsidRPr="00D247CA">
        <w:rPr>
          <w:rFonts w:ascii="Times New Roman" w:hAnsi="Times New Roman" w:cs="Times New Roman"/>
          <w:sz w:val="24"/>
          <w:szCs w:val="24"/>
          <w:lang w:eastAsia="ar-SA"/>
        </w:rPr>
        <w:t>he mapping process include</w:t>
      </w:r>
      <w:r>
        <w:rPr>
          <w:rFonts w:ascii="Times New Roman" w:hAnsi="Times New Roman" w:cs="Times New Roman"/>
          <w:sz w:val="24"/>
          <w:szCs w:val="24"/>
          <w:lang w:eastAsia="ar-SA"/>
        </w:rPr>
        <w:t>s</w:t>
      </w:r>
      <w:r w:rsidRPr="00D247CA">
        <w:rPr>
          <w:rFonts w:ascii="Times New Roman" w:hAnsi="Times New Roman" w:cs="Times New Roman"/>
          <w:sz w:val="24"/>
          <w:szCs w:val="24"/>
          <w:lang w:eastAsia="ar-SA"/>
        </w:rPr>
        <w:t xml:space="preserve"> information on the availability</w:t>
      </w:r>
      <w:r>
        <w:rPr>
          <w:rFonts w:ascii="Times New Roman" w:hAnsi="Times New Roman" w:cs="Times New Roman"/>
          <w:sz w:val="24"/>
          <w:szCs w:val="24"/>
          <w:lang w:eastAsia="ar-SA"/>
        </w:rPr>
        <w:t xml:space="preserve"> of its data, the data source, </w:t>
      </w:r>
      <w:r w:rsidRPr="00D247CA">
        <w:rPr>
          <w:rFonts w:ascii="Times New Roman" w:hAnsi="Times New Roman" w:cs="Times New Roman"/>
          <w:sz w:val="24"/>
          <w:szCs w:val="24"/>
          <w:lang w:eastAsia="ar-SA"/>
        </w:rPr>
        <w:t>and plans data updating based on priorit</w:t>
      </w:r>
      <w:r>
        <w:rPr>
          <w:rFonts w:ascii="Times New Roman" w:hAnsi="Times New Roman" w:cs="Times New Roman"/>
          <w:sz w:val="24"/>
          <w:szCs w:val="24"/>
          <w:lang w:eastAsia="ar-SA"/>
        </w:rPr>
        <w:t>ies</w:t>
      </w:r>
      <w:r w:rsidRPr="00D247CA">
        <w:rPr>
          <w:rFonts w:ascii="Times New Roman" w:hAnsi="Times New Roman" w:cs="Times New Roman"/>
          <w:sz w:val="24"/>
          <w:szCs w:val="24"/>
          <w:lang w:eastAsia="ar-SA"/>
        </w:rPr>
        <w:t xml:space="preserve"> in the Palestinian context. The graph </w:t>
      </w:r>
      <w:r>
        <w:rPr>
          <w:rFonts w:ascii="Times New Roman" w:hAnsi="Times New Roman" w:cs="Times New Roman"/>
          <w:sz w:val="24"/>
          <w:szCs w:val="24"/>
          <w:lang w:eastAsia="ar-SA"/>
        </w:rPr>
        <w:t xml:space="preserve">below </w:t>
      </w:r>
      <w:r w:rsidRPr="00D247CA">
        <w:rPr>
          <w:rFonts w:ascii="Times New Roman" w:hAnsi="Times New Roman" w:cs="Times New Roman"/>
          <w:sz w:val="24"/>
          <w:szCs w:val="24"/>
          <w:lang w:eastAsia="ar-SA"/>
        </w:rPr>
        <w:t>summarizes</w:t>
      </w:r>
      <w:r>
        <w:rPr>
          <w:rFonts w:ascii="Times New Roman" w:hAnsi="Times New Roman" w:cs="Times New Roman"/>
          <w:sz w:val="24"/>
          <w:szCs w:val="24"/>
          <w:lang w:eastAsia="ar-SA"/>
        </w:rPr>
        <w:t xml:space="preserve"> the early work that presents</w:t>
      </w:r>
      <w:r w:rsidRPr="00D247CA">
        <w:rPr>
          <w:rFonts w:ascii="Times New Roman" w:hAnsi="Times New Roman" w:cs="Times New Roman"/>
          <w:sz w:val="24"/>
          <w:szCs w:val="24"/>
          <w:lang w:eastAsia="ar-SA"/>
        </w:rPr>
        <w:t xml:space="preserve"> the availability status</w:t>
      </w:r>
      <w:r>
        <w:rPr>
          <w:rFonts w:ascii="Times New Roman" w:hAnsi="Times New Roman" w:cs="Times New Roman"/>
          <w:sz w:val="24"/>
          <w:szCs w:val="24"/>
          <w:lang w:eastAsia="ar-SA"/>
        </w:rPr>
        <w:t xml:space="preserve"> of the SDGs indicators</w:t>
      </w:r>
      <w:r w:rsidRPr="00D247CA">
        <w:rPr>
          <w:rFonts w:ascii="Times New Roman" w:hAnsi="Times New Roman" w:cs="Times New Roman"/>
          <w:sz w:val="24"/>
          <w:szCs w:val="24"/>
          <w:lang w:eastAsia="ar-SA"/>
        </w:rPr>
        <w:t>.</w:t>
      </w:r>
    </w:p>
    <w:p w14:paraId="2CD6022B"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291E03F7"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7F8AD41F" w14:textId="77777777" w:rsidR="00FB1314" w:rsidRDefault="00FB1314" w:rsidP="00FB1314">
      <w:pPr>
        <w:pStyle w:val="PlainText"/>
        <w:bidi w:val="0"/>
        <w:rPr>
          <w:rFonts w:ascii="Arial" w:hAnsi="Arial" w:cs="Arial"/>
          <w:b/>
          <w:bCs/>
          <w:sz w:val="22"/>
          <w:szCs w:val="22"/>
        </w:rPr>
      </w:pPr>
    </w:p>
    <w:p w14:paraId="0BF8AEB6" w14:textId="77777777" w:rsidR="00FB1314" w:rsidRPr="00BC4EC1" w:rsidRDefault="004A40F1" w:rsidP="0069193D">
      <w:pPr>
        <w:pStyle w:val="PlainText"/>
        <w:bidi w:val="0"/>
        <w:jc w:val="center"/>
        <w:rPr>
          <w:rFonts w:ascii="Arial" w:hAnsi="Arial" w:cs="Arial"/>
          <w:b/>
          <w:bCs/>
          <w:sz w:val="22"/>
          <w:szCs w:val="22"/>
        </w:rPr>
      </w:pPr>
      <w:r w:rsidRPr="00B25DD3">
        <w:rPr>
          <w:rFonts w:ascii="Arial" w:hAnsi="Arial" w:cs="Arial"/>
          <w:b/>
          <w:bCs/>
          <w:sz w:val="22"/>
          <w:szCs w:val="22"/>
        </w:rPr>
        <w:lastRenderedPageBreak/>
        <w:t xml:space="preserve">SDGs Indicators Availability Status, </w:t>
      </w:r>
      <w:r w:rsidRPr="00B25DD3">
        <w:rPr>
          <w:rFonts w:ascii="Arial" w:hAnsi="Arial" w:cs="Arial"/>
          <w:b/>
          <w:bCs/>
          <w:sz w:val="22"/>
          <w:szCs w:val="22"/>
          <w:rtl/>
        </w:rPr>
        <w:t>2023</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6"/>
      </w:tblGrid>
      <w:tr w:rsidR="00FB1314" w:rsidRPr="00BC4EC1" w14:paraId="3B3B4A86" w14:textId="77777777" w:rsidTr="006F7CF2">
        <w:trPr>
          <w:trHeight w:val="6801"/>
          <w:jc w:val="center"/>
        </w:trPr>
        <w:tc>
          <w:tcPr>
            <w:tcW w:w="5000" w:type="pct"/>
            <w:shd w:val="clear" w:color="auto" w:fill="auto"/>
          </w:tcPr>
          <w:p w14:paraId="5E5342EC" w14:textId="77777777" w:rsidR="00FB1314" w:rsidRPr="00BC4EC1" w:rsidRDefault="00FB1314" w:rsidP="006F7CF2">
            <w:pPr>
              <w:pStyle w:val="PlainText"/>
              <w:keepNext/>
              <w:bidi w:val="0"/>
              <w:jc w:val="center"/>
              <w:rPr>
                <w:rFonts w:ascii="Times New Roman" w:hAnsi="Times New Roman"/>
                <w:sz w:val="24"/>
                <w:szCs w:val="24"/>
              </w:rPr>
            </w:pPr>
            <w:r w:rsidRPr="00BC4EC1">
              <w:rPr>
                <w:rFonts w:cs="Consolas"/>
                <w:noProof/>
                <w:sz w:val="20"/>
                <w:szCs w:val="20"/>
              </w:rPr>
              <w:drawing>
                <wp:inline distT="0" distB="0" distL="0" distR="0" wp14:anchorId="1C641F0D" wp14:editId="4807FCE8">
                  <wp:extent cx="5502275" cy="4314825"/>
                  <wp:effectExtent l="0" t="0" r="3175" b="0"/>
                  <wp:docPr id="51"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bl>
    <w:p w14:paraId="6CA6DB02" w14:textId="77777777" w:rsidR="00FB1314" w:rsidRPr="00AA7658" w:rsidRDefault="00FB1314" w:rsidP="0069193D">
      <w:pPr>
        <w:tabs>
          <w:tab w:val="left" w:pos="9072"/>
        </w:tabs>
        <w:bidi w:val="0"/>
        <w:spacing w:after="0"/>
        <w:jc w:val="both"/>
        <w:rPr>
          <w:rFonts w:asciiTheme="minorBidi" w:hAnsiTheme="minorBidi" w:cstheme="minorBidi"/>
          <w:sz w:val="18"/>
          <w:szCs w:val="18"/>
        </w:rPr>
      </w:pPr>
      <w:r w:rsidRPr="00AA7658">
        <w:rPr>
          <w:rFonts w:asciiTheme="minorBidi" w:hAnsiTheme="minorBidi" w:cstheme="minorBidi"/>
          <w:b/>
          <w:bCs/>
          <w:sz w:val="18"/>
          <w:szCs w:val="18"/>
        </w:rPr>
        <w:t xml:space="preserve">Source:  Palestinian Central Bureau of Statistics, </w:t>
      </w:r>
      <w:r w:rsidR="0069193D">
        <w:rPr>
          <w:rFonts w:asciiTheme="minorBidi" w:hAnsiTheme="minorBidi" w:cstheme="minorBidi" w:hint="cs"/>
          <w:b/>
          <w:bCs/>
          <w:sz w:val="18"/>
          <w:szCs w:val="18"/>
          <w:rtl/>
        </w:rPr>
        <w:t>2023</w:t>
      </w:r>
      <w:r w:rsidRPr="00AA7658">
        <w:rPr>
          <w:rFonts w:asciiTheme="minorBidi" w:hAnsiTheme="minorBidi" w:cstheme="minorBidi"/>
          <w:b/>
          <w:bCs/>
          <w:sz w:val="18"/>
          <w:szCs w:val="18"/>
        </w:rPr>
        <w:t>.</w:t>
      </w:r>
      <w:r w:rsidRPr="00AA7658">
        <w:rPr>
          <w:rFonts w:asciiTheme="minorBidi" w:hAnsiTheme="minorBidi" w:cstheme="minorBidi"/>
          <w:sz w:val="18"/>
          <w:szCs w:val="18"/>
        </w:rPr>
        <w:t xml:space="preserve">Sustainable Development Indicators Database, Ramallah-Palestine. </w:t>
      </w:r>
    </w:p>
    <w:p w14:paraId="582CBDE2" w14:textId="77777777" w:rsidR="00FB1314" w:rsidRDefault="00FB1314" w:rsidP="00FB1314">
      <w:pPr>
        <w:bidi w:val="0"/>
        <w:spacing w:after="0" w:line="240" w:lineRule="auto"/>
        <w:ind w:right="-334"/>
        <w:jc w:val="both"/>
        <w:rPr>
          <w:rFonts w:ascii="Times New Roman" w:hAnsi="Times New Roman" w:cs="Times New Roman"/>
          <w:b/>
          <w:bCs/>
          <w:sz w:val="24"/>
          <w:szCs w:val="24"/>
        </w:rPr>
      </w:pPr>
    </w:p>
    <w:p w14:paraId="477D5F24" w14:textId="77777777" w:rsidR="00FB1314" w:rsidRDefault="00FB1314" w:rsidP="00FB1314">
      <w:pPr>
        <w:bidi w:val="0"/>
        <w:spacing w:after="0" w:line="240" w:lineRule="auto"/>
        <w:ind w:right="-334"/>
        <w:jc w:val="both"/>
        <w:rPr>
          <w:rFonts w:ascii="Times New Roman" w:hAnsi="Times New Roman" w:cs="Times New Roman"/>
          <w:b/>
          <w:bCs/>
          <w:sz w:val="24"/>
          <w:szCs w:val="24"/>
        </w:rPr>
      </w:pPr>
      <w:r w:rsidRPr="00E97A28">
        <w:rPr>
          <w:rFonts w:ascii="Times New Roman" w:hAnsi="Times New Roman" w:cs="Times New Roman"/>
          <w:b/>
          <w:bCs/>
          <w:sz w:val="24"/>
          <w:szCs w:val="24"/>
        </w:rPr>
        <w:t xml:space="preserve">Building Sustainable Development Indicators </w:t>
      </w:r>
      <w:r>
        <w:rPr>
          <w:rFonts w:ascii="Times New Roman" w:hAnsi="Times New Roman" w:cs="Times New Roman"/>
          <w:b/>
          <w:bCs/>
          <w:sz w:val="24"/>
          <w:szCs w:val="24"/>
        </w:rPr>
        <w:t>Platform:</w:t>
      </w:r>
    </w:p>
    <w:p w14:paraId="2FB7D254" w14:textId="77777777" w:rsidR="00FB1314" w:rsidRPr="00E97A28" w:rsidRDefault="00FB1314" w:rsidP="00FB1314">
      <w:pPr>
        <w:bidi w:val="0"/>
        <w:spacing w:after="0" w:line="240" w:lineRule="auto"/>
        <w:ind w:right="-334"/>
        <w:jc w:val="both"/>
        <w:rPr>
          <w:rFonts w:ascii="Times New Roman" w:hAnsi="Times New Roman" w:cs="Times New Roman"/>
          <w:sz w:val="24"/>
          <w:szCs w:val="24"/>
          <w:lang w:eastAsia="ar-SA"/>
        </w:rPr>
      </w:pPr>
      <w:r w:rsidRPr="00E97A28">
        <w:rPr>
          <w:rFonts w:ascii="Times New Roman" w:hAnsi="Times New Roman" w:cs="Times New Roman"/>
          <w:sz w:val="24"/>
          <w:szCs w:val="24"/>
          <w:lang w:eastAsia="ar-SA"/>
        </w:rPr>
        <w:t xml:space="preserve">In the spirit of SDG 17—Partnerships for the Goals— which among other things aims to bring </w:t>
      </w:r>
      <w:r>
        <w:rPr>
          <w:rFonts w:ascii="Times New Roman" w:hAnsi="Times New Roman" w:cs="Times New Roman"/>
          <w:sz w:val="24"/>
          <w:szCs w:val="24"/>
          <w:lang w:eastAsia="ar-SA"/>
        </w:rPr>
        <w:t xml:space="preserve">about </w:t>
      </w:r>
      <w:r w:rsidRPr="00E97A28">
        <w:rPr>
          <w:rFonts w:ascii="Times New Roman" w:hAnsi="Times New Roman" w:cs="Times New Roman"/>
          <w:sz w:val="24"/>
          <w:szCs w:val="24"/>
          <w:lang w:eastAsia="ar-SA"/>
        </w:rPr>
        <w:t xml:space="preserve">change in the SDG monitoring system, PCBS, the Italian National Institute of Statistics (Istat) and the United Nations Statistics Division (UNSD), joined forces in the fall of 2018 to create a new national </w:t>
      </w:r>
      <w:r>
        <w:rPr>
          <w:rFonts w:ascii="Times New Roman" w:hAnsi="Times New Roman" w:cs="Times New Roman"/>
          <w:sz w:val="24"/>
          <w:szCs w:val="24"/>
          <w:lang w:eastAsia="ar-SA"/>
        </w:rPr>
        <w:t>platform</w:t>
      </w:r>
      <w:r w:rsidRPr="00E97A28">
        <w:rPr>
          <w:rFonts w:ascii="Times New Roman" w:hAnsi="Times New Roman" w:cs="Times New Roman"/>
          <w:sz w:val="24"/>
          <w:szCs w:val="24"/>
          <w:lang w:eastAsia="ar-SA"/>
        </w:rPr>
        <w:t xml:space="preserve"> for the management and dissemination of the SDGs indicators.</w:t>
      </w:r>
    </w:p>
    <w:p w14:paraId="3A0CA9B9"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r w:rsidRPr="00E97A28">
        <w:rPr>
          <w:rFonts w:ascii="Times New Roman" w:hAnsi="Times New Roman" w:cs="Times New Roman"/>
          <w:sz w:val="24"/>
          <w:szCs w:val="24"/>
          <w:lang w:eastAsia="ar-SA"/>
        </w:rPr>
        <w:t xml:space="preserve">The new </w:t>
      </w:r>
      <w:r>
        <w:rPr>
          <w:rFonts w:ascii="Times New Roman" w:hAnsi="Times New Roman" w:cs="Times New Roman"/>
          <w:sz w:val="24"/>
          <w:szCs w:val="24"/>
          <w:lang w:eastAsia="ar-SA"/>
        </w:rPr>
        <w:t>SDG platform</w:t>
      </w:r>
      <w:r w:rsidRPr="00E97A28">
        <w:rPr>
          <w:rFonts w:ascii="Times New Roman" w:hAnsi="Times New Roman" w:cs="Times New Roman"/>
          <w:sz w:val="24"/>
          <w:szCs w:val="24"/>
          <w:lang w:eastAsia="ar-SA"/>
        </w:rPr>
        <w:t xml:space="preserve">, launched in February 2020, was designed using best practices for the management and dissemination of disaggregated statistical data and metadata including the implementation of a multi-dimensional database aligned with the SDMX standard: the “common language” adopted by the global statistical community to ensure the interoperability of statistical data and metadata across systems and organizations. </w:t>
      </w:r>
    </w:p>
    <w:p w14:paraId="12D7E372"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7F3D3998" w14:textId="77777777" w:rsidR="00FB1314" w:rsidRPr="008447A3" w:rsidRDefault="00FB1314" w:rsidP="00FB1314">
      <w:pPr>
        <w:bidi w:val="0"/>
        <w:spacing w:after="0" w:line="240" w:lineRule="auto"/>
        <w:ind w:right="-334"/>
        <w:jc w:val="both"/>
        <w:rPr>
          <w:rFonts w:ascii="Times New Roman" w:hAnsi="Times New Roman" w:cs="Times New Roman"/>
          <w:b/>
          <w:bCs/>
          <w:sz w:val="24"/>
          <w:szCs w:val="24"/>
          <w:lang w:eastAsia="ar-SA"/>
        </w:rPr>
      </w:pPr>
      <w:r w:rsidRPr="008447A3">
        <w:rPr>
          <w:rFonts w:ascii="Times New Roman" w:hAnsi="Times New Roman" w:cs="Times New Roman"/>
          <w:b/>
          <w:bCs/>
          <w:sz w:val="24"/>
          <w:szCs w:val="24"/>
          <w:lang w:eastAsia="ar-SA"/>
        </w:rPr>
        <w:t>Creating a Sustainable Development Indicators Matrix:</w:t>
      </w:r>
    </w:p>
    <w:p w14:paraId="6AD76A5C"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Prior to </w:t>
      </w:r>
      <w:r w:rsidRPr="008447A3">
        <w:rPr>
          <w:rFonts w:ascii="Times New Roman" w:hAnsi="Times New Roman" w:cs="Times New Roman"/>
          <w:sz w:val="24"/>
          <w:szCs w:val="24"/>
          <w:lang w:eastAsia="ar-SA"/>
        </w:rPr>
        <w:t xml:space="preserve">and in parallel with the work on the national database, PCBS </w:t>
      </w:r>
      <w:r>
        <w:rPr>
          <w:rFonts w:ascii="Times New Roman" w:hAnsi="Times New Roman" w:cs="Times New Roman"/>
          <w:sz w:val="24"/>
          <w:szCs w:val="24"/>
          <w:lang w:eastAsia="ar-SA"/>
        </w:rPr>
        <w:t>began</w:t>
      </w:r>
      <w:r w:rsidRPr="008447A3">
        <w:rPr>
          <w:rFonts w:ascii="Times New Roman" w:hAnsi="Times New Roman" w:cs="Times New Roman"/>
          <w:sz w:val="24"/>
          <w:szCs w:val="24"/>
          <w:lang w:eastAsia="ar-SA"/>
        </w:rPr>
        <w:t xml:space="preserve"> mapping the national situation for </w:t>
      </w:r>
      <w:r>
        <w:rPr>
          <w:rFonts w:ascii="Times New Roman" w:hAnsi="Times New Roman" w:cs="Times New Roman"/>
          <w:sz w:val="24"/>
          <w:szCs w:val="24"/>
          <w:lang w:eastAsia="ar-SA"/>
        </w:rPr>
        <w:t>the</w:t>
      </w:r>
      <w:r w:rsidRPr="008447A3">
        <w:rPr>
          <w:rFonts w:ascii="Times New Roman" w:hAnsi="Times New Roman" w:cs="Times New Roman"/>
          <w:sz w:val="24"/>
          <w:szCs w:val="24"/>
          <w:lang w:eastAsia="ar-SA"/>
        </w:rPr>
        <w:t>globally-agreed SDG indicators, which constitute the statistical reference framework worldwide.</w:t>
      </w:r>
    </w:p>
    <w:p w14:paraId="65184C39"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703109D6" w14:textId="77777777" w:rsidR="00FB1314" w:rsidRPr="00BC4EC1" w:rsidRDefault="00FB1314" w:rsidP="00FB1314">
      <w:pPr>
        <w:bidi w:val="0"/>
        <w:spacing w:after="0" w:line="240" w:lineRule="auto"/>
        <w:ind w:right="-334"/>
        <w:jc w:val="both"/>
        <w:rPr>
          <w:rFonts w:ascii="Times New Roman" w:hAnsi="Times New Roman" w:cs="Times New Roman"/>
          <w:sz w:val="24"/>
          <w:szCs w:val="24"/>
          <w:lang w:eastAsia="ar-SA"/>
        </w:rPr>
      </w:pPr>
      <w:r w:rsidRPr="008447A3">
        <w:rPr>
          <w:rFonts w:ascii="Times New Roman" w:hAnsi="Times New Roman" w:cs="Times New Roman"/>
          <w:sz w:val="24"/>
          <w:szCs w:val="24"/>
          <w:lang w:eastAsia="ar-SA"/>
        </w:rPr>
        <w:t xml:space="preserve">The key output </w:t>
      </w:r>
      <w:r>
        <w:rPr>
          <w:rFonts w:ascii="Times New Roman" w:hAnsi="Times New Roman" w:cs="Times New Roman"/>
          <w:sz w:val="24"/>
          <w:szCs w:val="24"/>
          <w:lang w:eastAsia="ar-SA"/>
        </w:rPr>
        <w:t>is</w:t>
      </w:r>
      <w:r w:rsidRPr="008447A3">
        <w:rPr>
          <w:rFonts w:ascii="Times New Roman" w:hAnsi="Times New Roman" w:cs="Times New Roman"/>
          <w:sz w:val="24"/>
          <w:szCs w:val="24"/>
          <w:lang w:eastAsia="ar-SA"/>
        </w:rPr>
        <w:t xml:space="preserve"> a matrix with detailed information on each SDG indicator that provide</w:t>
      </w:r>
      <w:r>
        <w:rPr>
          <w:rFonts w:ascii="Times New Roman" w:hAnsi="Times New Roman" w:cs="Times New Roman"/>
          <w:sz w:val="24"/>
          <w:szCs w:val="24"/>
          <w:lang w:eastAsia="ar-SA"/>
        </w:rPr>
        <w:t>s</w:t>
      </w:r>
      <w:r w:rsidRPr="008447A3">
        <w:rPr>
          <w:rFonts w:ascii="Times New Roman" w:hAnsi="Times New Roman" w:cs="Times New Roman"/>
          <w:sz w:val="24"/>
          <w:szCs w:val="24"/>
          <w:lang w:eastAsia="ar-SA"/>
        </w:rPr>
        <w:t xml:space="preserve"> a full and updated picture of the national status in terms </w:t>
      </w:r>
      <w:r>
        <w:rPr>
          <w:rFonts w:ascii="Times New Roman" w:hAnsi="Times New Roman" w:cs="Times New Roman"/>
          <w:sz w:val="24"/>
          <w:szCs w:val="24"/>
          <w:lang w:eastAsia="ar-SA"/>
        </w:rPr>
        <w:t xml:space="preserve">the </w:t>
      </w:r>
      <w:r w:rsidRPr="008447A3">
        <w:rPr>
          <w:rFonts w:ascii="Times New Roman" w:hAnsi="Times New Roman" w:cs="Times New Roman"/>
          <w:sz w:val="24"/>
          <w:szCs w:val="24"/>
          <w:lang w:eastAsia="ar-SA"/>
        </w:rPr>
        <w:t>availab</w:t>
      </w:r>
      <w:r>
        <w:rPr>
          <w:rFonts w:ascii="Times New Roman" w:hAnsi="Times New Roman" w:cs="Times New Roman"/>
          <w:sz w:val="24"/>
          <w:szCs w:val="24"/>
          <w:lang w:eastAsia="ar-SA"/>
        </w:rPr>
        <w:t>le data,</w:t>
      </w:r>
      <w:r w:rsidRPr="008447A3">
        <w:rPr>
          <w:rFonts w:ascii="Times New Roman" w:hAnsi="Times New Roman" w:cs="Times New Roman"/>
          <w:sz w:val="24"/>
          <w:szCs w:val="24"/>
          <w:lang w:eastAsia="ar-SA"/>
        </w:rPr>
        <w:t xml:space="preserve"> disaggregation levels and years, timing and periodicity of data collection</w:t>
      </w:r>
      <w:r>
        <w:rPr>
          <w:rFonts w:ascii="Times New Roman" w:hAnsi="Times New Roman" w:cs="Times New Roman"/>
          <w:sz w:val="24"/>
          <w:szCs w:val="24"/>
          <w:lang w:eastAsia="ar-SA"/>
        </w:rPr>
        <w:t>,</w:t>
      </w:r>
      <w:r w:rsidRPr="008447A3">
        <w:rPr>
          <w:rFonts w:ascii="Times New Roman" w:hAnsi="Times New Roman" w:cs="Times New Roman"/>
          <w:sz w:val="24"/>
          <w:szCs w:val="24"/>
          <w:lang w:eastAsia="ar-SA"/>
        </w:rPr>
        <w:t xml:space="preserve"> and data sources. Now</w:t>
      </w:r>
      <w:r>
        <w:rPr>
          <w:rFonts w:ascii="Times New Roman" w:hAnsi="Times New Roman" w:cs="Times New Roman"/>
          <w:sz w:val="24"/>
          <w:szCs w:val="24"/>
          <w:lang w:eastAsia="ar-SA"/>
        </w:rPr>
        <w:t>,</w:t>
      </w:r>
      <w:r w:rsidRPr="008447A3">
        <w:rPr>
          <w:rFonts w:ascii="Times New Roman" w:hAnsi="Times New Roman" w:cs="Times New Roman"/>
          <w:sz w:val="24"/>
          <w:szCs w:val="24"/>
          <w:lang w:eastAsia="ar-SA"/>
        </w:rPr>
        <w:t xml:space="preserve"> the </w:t>
      </w:r>
      <w:r>
        <w:rPr>
          <w:rFonts w:ascii="Times New Roman" w:hAnsi="Times New Roman" w:cs="Times New Roman"/>
          <w:sz w:val="24"/>
          <w:szCs w:val="24"/>
          <w:lang w:eastAsia="ar-SA"/>
        </w:rPr>
        <w:t xml:space="preserve">considered </w:t>
      </w:r>
      <w:r w:rsidRPr="008447A3">
        <w:rPr>
          <w:rFonts w:ascii="Times New Roman" w:hAnsi="Times New Roman" w:cs="Times New Roman"/>
          <w:sz w:val="24"/>
          <w:szCs w:val="24"/>
          <w:lang w:eastAsia="ar-SA"/>
        </w:rPr>
        <w:t xml:space="preserve">indicators </w:t>
      </w:r>
      <w:r>
        <w:rPr>
          <w:rFonts w:ascii="Times New Roman" w:hAnsi="Times New Roman" w:cs="Times New Roman"/>
          <w:sz w:val="24"/>
          <w:szCs w:val="24"/>
          <w:lang w:eastAsia="ar-SA"/>
        </w:rPr>
        <w:t>are</w:t>
      </w:r>
      <w:r w:rsidRPr="008447A3">
        <w:rPr>
          <w:rFonts w:ascii="Times New Roman" w:hAnsi="Times New Roman" w:cs="Times New Roman"/>
          <w:sz w:val="24"/>
          <w:szCs w:val="24"/>
          <w:lang w:eastAsia="ar-SA"/>
        </w:rPr>
        <w:t xml:space="preserve"> progressively increasing by PCBS to fill data gaps and reflect all improvements in the production of statistical indicators within the National Statistical System and to respond to data needs</w:t>
      </w:r>
      <w:r>
        <w:rPr>
          <w:rFonts w:ascii="Times New Roman" w:hAnsi="Times New Roman" w:cs="Times New Roman"/>
          <w:sz w:val="24"/>
          <w:szCs w:val="24"/>
          <w:lang w:eastAsia="ar-SA"/>
        </w:rPr>
        <w:t xml:space="preserve"> of users</w:t>
      </w:r>
      <w:r w:rsidRPr="008447A3">
        <w:rPr>
          <w:rFonts w:ascii="Times New Roman" w:hAnsi="Times New Roman" w:cs="Times New Roman"/>
          <w:sz w:val="24"/>
          <w:szCs w:val="24"/>
          <w:lang w:eastAsia="ar-SA"/>
        </w:rPr>
        <w:t>.</w:t>
      </w:r>
    </w:p>
    <w:p w14:paraId="24533C7F" w14:textId="77777777" w:rsidR="00FB1314" w:rsidRPr="00B05F6D"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B05F6D">
        <w:rPr>
          <w:rFonts w:ascii="Times New Roman" w:hAnsi="Times New Roman" w:cs="Times New Roman"/>
          <w:b/>
          <w:bCs/>
          <w:sz w:val="24"/>
          <w:szCs w:val="24"/>
        </w:rPr>
        <w:lastRenderedPageBreak/>
        <w:t>Updating the I</w:t>
      </w:r>
      <w:r>
        <w:rPr>
          <w:rFonts w:ascii="Times New Roman" w:hAnsi="Times New Roman" w:cs="Times New Roman"/>
          <w:b/>
          <w:bCs/>
          <w:sz w:val="24"/>
          <w:szCs w:val="24"/>
        </w:rPr>
        <w:t xml:space="preserve">nformation </w:t>
      </w:r>
      <w:r w:rsidRPr="00B05F6D">
        <w:rPr>
          <w:rFonts w:ascii="Times New Roman" w:hAnsi="Times New Roman" w:cs="Times New Roman"/>
          <w:b/>
          <w:bCs/>
          <w:sz w:val="24"/>
          <w:szCs w:val="24"/>
        </w:rPr>
        <w:t>T</w:t>
      </w:r>
      <w:r>
        <w:rPr>
          <w:rFonts w:ascii="Times New Roman" w:hAnsi="Times New Roman" w:cs="Times New Roman"/>
          <w:b/>
          <w:bCs/>
          <w:sz w:val="24"/>
          <w:szCs w:val="24"/>
        </w:rPr>
        <w:t>echnology</w:t>
      </w:r>
      <w:r w:rsidRPr="00B05F6D">
        <w:rPr>
          <w:rFonts w:ascii="Times New Roman" w:hAnsi="Times New Roman" w:cs="Times New Roman"/>
          <w:b/>
          <w:bCs/>
          <w:sz w:val="24"/>
          <w:szCs w:val="24"/>
        </w:rPr>
        <w:t xml:space="preserve"> Infrastructure </w:t>
      </w:r>
    </w:p>
    <w:p w14:paraId="2844A164"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In line with the international data revolution, PCBS </w:t>
      </w:r>
      <w:r>
        <w:rPr>
          <w:rFonts w:ascii="Times New Roman" w:hAnsi="Times New Roman" w:cs="Times New Roman"/>
          <w:sz w:val="24"/>
          <w:szCs w:val="24"/>
          <w:lang w:eastAsia="ar-SA"/>
        </w:rPr>
        <w:t>began</w:t>
      </w:r>
      <w:r w:rsidRPr="00D247CA">
        <w:rPr>
          <w:rFonts w:ascii="Times New Roman" w:hAnsi="Times New Roman" w:cs="Times New Roman"/>
          <w:sz w:val="24"/>
          <w:szCs w:val="24"/>
          <w:lang w:eastAsia="ar-SA"/>
        </w:rPr>
        <w:t xml:space="preserve"> develop</w:t>
      </w:r>
      <w:r>
        <w:rPr>
          <w:rFonts w:ascii="Times New Roman" w:hAnsi="Times New Roman" w:cs="Times New Roman"/>
          <w:sz w:val="24"/>
          <w:szCs w:val="24"/>
          <w:lang w:eastAsia="ar-SA"/>
        </w:rPr>
        <w:t>ing</w:t>
      </w:r>
      <w:r w:rsidRPr="00D247CA">
        <w:rPr>
          <w:rFonts w:ascii="Times New Roman" w:hAnsi="Times New Roman" w:cs="Times New Roman"/>
          <w:sz w:val="24"/>
          <w:szCs w:val="24"/>
          <w:lang w:eastAsia="ar-SA"/>
        </w:rPr>
        <w:t xml:space="preserve"> and updat</w:t>
      </w:r>
      <w:r>
        <w:rPr>
          <w:rFonts w:ascii="Times New Roman" w:hAnsi="Times New Roman" w:cs="Times New Roman"/>
          <w:sz w:val="24"/>
          <w:szCs w:val="24"/>
          <w:lang w:eastAsia="ar-SA"/>
        </w:rPr>
        <w:t>ing</w:t>
      </w:r>
      <w:r w:rsidRPr="00D247CA">
        <w:rPr>
          <w:rFonts w:ascii="Times New Roman" w:hAnsi="Times New Roman" w:cs="Times New Roman"/>
          <w:sz w:val="24"/>
          <w:szCs w:val="24"/>
          <w:lang w:eastAsia="ar-SA"/>
        </w:rPr>
        <w:t xml:space="preserve"> the IT infrastructure including tools and software expected to upgrade the Data Center to provide higher quality services and more reliable data transfer and storage</w:t>
      </w:r>
      <w:r>
        <w:rPr>
          <w:rFonts w:ascii="Times New Roman" w:hAnsi="Times New Roman" w:cs="Times New Roman"/>
          <w:sz w:val="24"/>
          <w:szCs w:val="24"/>
          <w:lang w:eastAsia="ar-SA"/>
        </w:rPr>
        <w:t>. This infrastructure has</w:t>
      </w:r>
      <w:r w:rsidRPr="00D247CA">
        <w:rPr>
          <w:rFonts w:ascii="Times New Roman" w:hAnsi="Times New Roman" w:cs="Times New Roman"/>
          <w:sz w:val="24"/>
          <w:szCs w:val="24"/>
          <w:lang w:eastAsia="ar-SA"/>
        </w:rPr>
        <w:t xml:space="preserve"> state-of-the-art security measures that fit with the fundamental principles of official statistics, this include</w:t>
      </w:r>
      <w:r>
        <w:rPr>
          <w:rFonts w:ascii="Times New Roman" w:hAnsi="Times New Roman" w:cs="Times New Roman"/>
          <w:sz w:val="24"/>
          <w:szCs w:val="24"/>
          <w:lang w:eastAsia="ar-SA"/>
        </w:rPr>
        <w:t>s</w:t>
      </w:r>
      <w:r w:rsidRPr="00D247CA">
        <w:rPr>
          <w:rFonts w:ascii="Times New Roman" w:hAnsi="Times New Roman" w:cs="Times New Roman"/>
          <w:sz w:val="24"/>
          <w:szCs w:val="24"/>
          <w:lang w:eastAsia="ar-SA"/>
        </w:rPr>
        <w:t xml:space="preserve"> the branch offices, field operations and </w:t>
      </w:r>
      <w:r>
        <w:rPr>
          <w:rFonts w:ascii="Times New Roman" w:hAnsi="Times New Roman" w:cs="Times New Roman"/>
          <w:sz w:val="24"/>
          <w:szCs w:val="24"/>
          <w:lang w:eastAsia="ar-SA"/>
        </w:rPr>
        <w:t xml:space="preserve">processing </w:t>
      </w:r>
      <w:r w:rsidRPr="00D247CA">
        <w:rPr>
          <w:rFonts w:ascii="Times New Roman" w:hAnsi="Times New Roman" w:cs="Times New Roman"/>
          <w:sz w:val="24"/>
          <w:szCs w:val="24"/>
          <w:lang w:eastAsia="ar-SA"/>
        </w:rPr>
        <w:t xml:space="preserve">databases as well as all statistical work cycle. </w:t>
      </w:r>
      <w:r>
        <w:rPr>
          <w:rFonts w:ascii="Times New Roman" w:hAnsi="Times New Roman" w:cs="Times New Roman"/>
          <w:sz w:val="24"/>
          <w:szCs w:val="24"/>
          <w:lang w:eastAsia="ar-SA"/>
        </w:rPr>
        <w:t>D</w:t>
      </w:r>
      <w:r w:rsidRPr="00D247CA">
        <w:rPr>
          <w:rFonts w:ascii="Times New Roman" w:hAnsi="Times New Roman" w:cs="Times New Roman"/>
          <w:sz w:val="24"/>
          <w:szCs w:val="24"/>
          <w:lang w:eastAsia="ar-SA"/>
        </w:rPr>
        <w:t>evelopment and updating of the infrastructure will not only allow PCBS to have higher quality data</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 xml:space="preserve"> better data security</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 xml:space="preserve"> and ensuring faster communication and processing, but </w:t>
      </w:r>
      <w:r>
        <w:rPr>
          <w:rFonts w:ascii="Times New Roman" w:hAnsi="Times New Roman" w:cs="Times New Roman"/>
          <w:sz w:val="24"/>
          <w:szCs w:val="24"/>
          <w:lang w:eastAsia="ar-SA"/>
        </w:rPr>
        <w:t xml:space="preserve">it will </w:t>
      </w:r>
      <w:r w:rsidRPr="00D247CA">
        <w:rPr>
          <w:rFonts w:ascii="Times New Roman" w:hAnsi="Times New Roman" w:cs="Times New Roman"/>
          <w:sz w:val="24"/>
          <w:szCs w:val="24"/>
          <w:lang w:eastAsia="ar-SA"/>
        </w:rPr>
        <w:t>also save time and effort.</w:t>
      </w:r>
    </w:p>
    <w:p w14:paraId="6BF03737"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79833A87" w14:textId="77777777" w:rsidR="00FB1314" w:rsidRPr="00A44E81"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Development of G</w:t>
      </w:r>
      <w:r>
        <w:rPr>
          <w:rFonts w:ascii="Times New Roman" w:hAnsi="Times New Roman" w:cs="Times New Roman"/>
          <w:b/>
          <w:bCs/>
          <w:sz w:val="24"/>
          <w:szCs w:val="24"/>
        </w:rPr>
        <w:t xml:space="preserve">eographical </w:t>
      </w:r>
      <w:r w:rsidRPr="00A44E81">
        <w:rPr>
          <w:rFonts w:ascii="Times New Roman" w:hAnsi="Times New Roman" w:cs="Times New Roman"/>
          <w:b/>
          <w:bCs/>
          <w:sz w:val="24"/>
          <w:szCs w:val="24"/>
        </w:rPr>
        <w:t>I</w:t>
      </w:r>
      <w:r>
        <w:rPr>
          <w:rFonts w:ascii="Times New Roman" w:hAnsi="Times New Roman" w:cs="Times New Roman"/>
          <w:b/>
          <w:bCs/>
          <w:sz w:val="24"/>
          <w:szCs w:val="24"/>
        </w:rPr>
        <w:t xml:space="preserve">nformation </w:t>
      </w:r>
      <w:r w:rsidRPr="00A44E81">
        <w:rPr>
          <w:rFonts w:ascii="Times New Roman" w:hAnsi="Times New Roman" w:cs="Times New Roman"/>
          <w:b/>
          <w:bCs/>
          <w:sz w:val="24"/>
          <w:szCs w:val="24"/>
        </w:rPr>
        <w:t>S</w:t>
      </w:r>
      <w:r>
        <w:rPr>
          <w:rFonts w:ascii="Times New Roman" w:hAnsi="Times New Roman" w:cs="Times New Roman"/>
          <w:b/>
          <w:bCs/>
          <w:sz w:val="24"/>
          <w:szCs w:val="24"/>
        </w:rPr>
        <w:t>ystem</w:t>
      </w:r>
      <w:r w:rsidRPr="00A44E81">
        <w:rPr>
          <w:rFonts w:ascii="Times New Roman" w:hAnsi="Times New Roman" w:cs="Times New Roman"/>
          <w:b/>
          <w:bCs/>
          <w:sz w:val="24"/>
          <w:szCs w:val="24"/>
        </w:rPr>
        <w:t>:</w:t>
      </w:r>
    </w:p>
    <w:p w14:paraId="3A694F7E"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Based on the distincti</w:t>
      </w:r>
      <w:r>
        <w:rPr>
          <w:rFonts w:ascii="Times New Roman" w:hAnsi="Times New Roman" w:cs="Times New Roman"/>
          <w:sz w:val="24"/>
          <w:szCs w:val="24"/>
          <w:lang w:eastAsia="ar-SA"/>
        </w:rPr>
        <w:t>ve</w:t>
      </w:r>
      <w:r w:rsidRPr="00D247CA">
        <w:rPr>
          <w:rFonts w:ascii="Times New Roman" w:hAnsi="Times New Roman" w:cs="Times New Roman"/>
          <w:sz w:val="24"/>
          <w:szCs w:val="24"/>
          <w:lang w:eastAsia="ar-SA"/>
        </w:rPr>
        <w:t xml:space="preserve"> experience </w:t>
      </w:r>
      <w:r>
        <w:rPr>
          <w:rFonts w:ascii="Times New Roman" w:hAnsi="Times New Roman" w:cs="Times New Roman"/>
          <w:sz w:val="24"/>
          <w:szCs w:val="24"/>
          <w:lang w:eastAsia="ar-SA"/>
        </w:rPr>
        <w:t xml:space="preserve">of </w:t>
      </w:r>
      <w:r w:rsidRPr="00D247CA">
        <w:rPr>
          <w:rFonts w:ascii="Times New Roman" w:hAnsi="Times New Roman" w:cs="Times New Roman"/>
          <w:sz w:val="24"/>
          <w:szCs w:val="24"/>
          <w:lang w:eastAsia="ar-SA"/>
        </w:rPr>
        <w:t>implementing the 2017 Census, PCBS took a decision to use new technology in data collection link</w:t>
      </w:r>
      <w:r>
        <w:rPr>
          <w:rFonts w:ascii="Times New Roman" w:hAnsi="Times New Roman" w:cs="Times New Roman"/>
          <w:sz w:val="24"/>
          <w:szCs w:val="24"/>
          <w:lang w:eastAsia="ar-SA"/>
        </w:rPr>
        <w:t>ing</w:t>
      </w:r>
      <w:r w:rsidRPr="00D247CA">
        <w:rPr>
          <w:rFonts w:ascii="Times New Roman" w:hAnsi="Times New Roman" w:cs="Times New Roman"/>
          <w:sz w:val="24"/>
          <w:szCs w:val="24"/>
          <w:lang w:eastAsia="ar-SA"/>
        </w:rPr>
        <w:t xml:space="preserve"> GIS </w:t>
      </w:r>
      <w:r>
        <w:rPr>
          <w:rFonts w:ascii="Times New Roman" w:hAnsi="Times New Roman" w:cs="Times New Roman"/>
          <w:sz w:val="24"/>
          <w:szCs w:val="24"/>
          <w:lang w:eastAsia="ar-SA"/>
        </w:rPr>
        <w:t>to</w:t>
      </w:r>
      <w:r w:rsidRPr="00D247CA">
        <w:rPr>
          <w:rFonts w:ascii="Times New Roman" w:hAnsi="Times New Roman" w:cs="Times New Roman"/>
          <w:sz w:val="24"/>
          <w:szCs w:val="24"/>
          <w:lang w:eastAsia="ar-SA"/>
        </w:rPr>
        <w:t xml:space="preserve"> all surveys and statistical activities. The census allowed PCBS to have </w:t>
      </w:r>
      <w:r>
        <w:rPr>
          <w:rFonts w:ascii="Times New Roman" w:hAnsi="Times New Roman" w:cs="Times New Roman"/>
          <w:sz w:val="24"/>
          <w:szCs w:val="24"/>
          <w:lang w:eastAsia="ar-SA"/>
        </w:rPr>
        <w:t xml:space="preserve">an </w:t>
      </w:r>
      <w:r w:rsidRPr="00D247CA">
        <w:rPr>
          <w:rFonts w:ascii="Times New Roman" w:hAnsi="Times New Roman" w:cs="Times New Roman"/>
          <w:sz w:val="24"/>
          <w:szCs w:val="24"/>
          <w:lang w:eastAsia="ar-SA"/>
        </w:rPr>
        <w:t xml:space="preserve">updated mapping </w:t>
      </w:r>
      <w:r>
        <w:rPr>
          <w:rFonts w:ascii="Times New Roman" w:hAnsi="Times New Roman" w:cs="Times New Roman"/>
          <w:sz w:val="24"/>
          <w:szCs w:val="24"/>
          <w:lang w:eastAsia="ar-SA"/>
        </w:rPr>
        <w:t xml:space="preserve">baseline </w:t>
      </w:r>
      <w:r w:rsidRPr="00D247CA">
        <w:rPr>
          <w:rFonts w:ascii="Times New Roman" w:hAnsi="Times New Roman" w:cs="Times New Roman"/>
          <w:sz w:val="24"/>
          <w:szCs w:val="24"/>
          <w:lang w:eastAsia="ar-SA"/>
        </w:rPr>
        <w:t xml:space="preserve">of the West Bank and Gaza Strip and the use of GIS allowed PCBS to have more disaggregated data on SDGs indicators with lower geographical levels. </w:t>
      </w:r>
    </w:p>
    <w:p w14:paraId="751B77C0"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39CDFEEE" w14:textId="77777777" w:rsidR="00FB1314" w:rsidRPr="00A44E81"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tl/>
        </w:rPr>
      </w:pPr>
      <w:r w:rsidRPr="00A44E81">
        <w:rPr>
          <w:rFonts w:ascii="Times New Roman" w:hAnsi="Times New Roman" w:cs="Times New Roman"/>
          <w:b/>
          <w:bCs/>
          <w:sz w:val="24"/>
          <w:szCs w:val="24"/>
        </w:rPr>
        <w:t>Development of Communication and Dissemination:</w:t>
      </w:r>
    </w:p>
    <w:p w14:paraId="2EB9C5CE"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To meet the technology development and to facilitate understanding statistics a</w:t>
      </w:r>
      <w:r>
        <w:rPr>
          <w:rFonts w:ascii="Times New Roman" w:hAnsi="Times New Roman" w:cs="Times New Roman"/>
          <w:sz w:val="24"/>
          <w:szCs w:val="24"/>
          <w:lang w:eastAsia="ar-SA"/>
        </w:rPr>
        <w:t>s a complex and ridged science,</w:t>
      </w:r>
      <w:r w:rsidRPr="00D247CA">
        <w:rPr>
          <w:rFonts w:ascii="Times New Roman" w:hAnsi="Times New Roman" w:cs="Times New Roman"/>
          <w:sz w:val="24"/>
          <w:szCs w:val="24"/>
          <w:lang w:eastAsia="ar-SA"/>
        </w:rPr>
        <w:t xml:space="preserve"> PCBS is working on the development of a new communication strategy with data users and the general public at large to strength the opportunities </w:t>
      </w:r>
      <w:r>
        <w:rPr>
          <w:rFonts w:ascii="Times New Roman" w:hAnsi="Times New Roman" w:cs="Times New Roman"/>
          <w:sz w:val="24"/>
          <w:szCs w:val="24"/>
          <w:lang w:eastAsia="ar-SA"/>
        </w:rPr>
        <w:t>for</w:t>
      </w:r>
      <w:r w:rsidRPr="00D247CA">
        <w:rPr>
          <w:rFonts w:ascii="Times New Roman" w:hAnsi="Times New Roman" w:cs="Times New Roman"/>
          <w:sz w:val="24"/>
          <w:szCs w:val="24"/>
          <w:lang w:eastAsia="ar-SA"/>
        </w:rPr>
        <w:t xml:space="preserve"> cooperation and partnerships </w:t>
      </w:r>
      <w:r>
        <w:rPr>
          <w:rFonts w:ascii="Times New Roman" w:hAnsi="Times New Roman" w:cs="Times New Roman"/>
          <w:sz w:val="24"/>
          <w:szCs w:val="24"/>
          <w:lang w:eastAsia="ar-SA"/>
        </w:rPr>
        <w:t xml:space="preserve">in order </w:t>
      </w:r>
      <w:r w:rsidRPr="00D247CA">
        <w:rPr>
          <w:rFonts w:ascii="Times New Roman" w:hAnsi="Times New Roman" w:cs="Times New Roman"/>
          <w:sz w:val="24"/>
          <w:szCs w:val="24"/>
          <w:lang w:eastAsia="ar-SA"/>
        </w:rPr>
        <w:t>to maximize us</w:t>
      </w:r>
      <w:r>
        <w:rPr>
          <w:rFonts w:ascii="Times New Roman" w:hAnsi="Times New Roman" w:cs="Times New Roman"/>
          <w:sz w:val="24"/>
          <w:szCs w:val="24"/>
          <w:lang w:eastAsia="ar-SA"/>
        </w:rPr>
        <w:t>eof</w:t>
      </w:r>
      <w:r w:rsidRPr="00D247CA">
        <w:rPr>
          <w:rFonts w:ascii="Times New Roman" w:hAnsi="Times New Roman" w:cs="Times New Roman"/>
          <w:sz w:val="24"/>
          <w:szCs w:val="24"/>
          <w:lang w:eastAsia="ar-SA"/>
        </w:rPr>
        <w:t xml:space="preserve"> official statistical data to have better development.  </w:t>
      </w:r>
    </w:p>
    <w:p w14:paraId="27E64568"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48016AE4" w14:textId="77777777" w:rsidR="00FB1314" w:rsidRPr="00206211" w:rsidRDefault="00FB1314" w:rsidP="00FB1314">
      <w:pPr>
        <w:bidi w:val="0"/>
        <w:spacing w:after="0" w:line="240" w:lineRule="auto"/>
        <w:ind w:right="-334"/>
        <w:jc w:val="both"/>
        <w:rPr>
          <w:rFonts w:ascii="Times New Roman" w:hAnsi="Times New Roman" w:cs="Times New Roman"/>
          <w:color w:val="C00000"/>
          <w:sz w:val="24"/>
          <w:szCs w:val="24"/>
          <w:lang w:eastAsia="ar-SA"/>
        </w:rPr>
      </w:pPr>
      <w:r w:rsidRPr="00D247CA">
        <w:rPr>
          <w:rFonts w:ascii="Times New Roman" w:hAnsi="Times New Roman" w:cs="Times New Roman"/>
          <w:sz w:val="24"/>
          <w:szCs w:val="24"/>
          <w:lang w:eastAsia="ar-SA"/>
        </w:rPr>
        <w:t xml:space="preserve">Within this framework and to implement this strategy, PCBS launched a set of pivotal activities </w:t>
      </w:r>
      <w:r>
        <w:rPr>
          <w:rFonts w:ascii="Times New Roman" w:hAnsi="Times New Roman" w:cs="Times New Roman"/>
          <w:sz w:val="24"/>
          <w:szCs w:val="24"/>
          <w:lang w:eastAsia="ar-SA"/>
        </w:rPr>
        <w:t>and</w:t>
      </w:r>
      <w:r w:rsidRPr="00D247CA">
        <w:rPr>
          <w:rFonts w:ascii="Times New Roman" w:hAnsi="Times New Roman" w:cs="Times New Roman"/>
          <w:sz w:val="24"/>
          <w:szCs w:val="24"/>
          <w:lang w:eastAsia="ar-SA"/>
        </w:rPr>
        <w:t xml:space="preserve"> join</w:t>
      </w:r>
      <w:r>
        <w:rPr>
          <w:rFonts w:ascii="Times New Roman" w:hAnsi="Times New Roman" w:cs="Times New Roman"/>
          <w:sz w:val="24"/>
          <w:szCs w:val="24"/>
          <w:lang w:eastAsia="ar-SA"/>
        </w:rPr>
        <w:t>ed</w:t>
      </w:r>
      <w:r w:rsidRPr="00D247CA">
        <w:rPr>
          <w:rFonts w:ascii="Times New Roman" w:hAnsi="Times New Roman" w:cs="Times New Roman"/>
          <w:sz w:val="24"/>
          <w:szCs w:val="24"/>
          <w:lang w:eastAsia="ar-SA"/>
        </w:rPr>
        <w:t xml:space="preserve"> a number of international initiatives that lead to achieve the desired goals. Most notably, the data center linked to the United Nations Statistics Division </w:t>
      </w:r>
      <w:r>
        <w:rPr>
          <w:rFonts w:ascii="Times New Roman" w:hAnsi="Times New Roman" w:cs="Times New Roman"/>
          <w:sz w:val="24"/>
          <w:szCs w:val="24"/>
          <w:lang w:eastAsia="ar-SA"/>
        </w:rPr>
        <w:t xml:space="preserve">serves </w:t>
      </w:r>
      <w:r w:rsidRPr="00D247CA">
        <w:rPr>
          <w:rFonts w:ascii="Times New Roman" w:hAnsi="Times New Roman" w:cs="Times New Roman"/>
          <w:sz w:val="24"/>
          <w:szCs w:val="24"/>
          <w:lang w:eastAsia="ar-SA"/>
        </w:rPr>
        <w:t>as a window on the efforts of the State of Palestine towards achieving the sustainable development goals. PCBS also launched Palestine indicators which mainly derived from census indicators using new technology and presenting data in an attractive and use</w:t>
      </w:r>
      <w:r>
        <w:rPr>
          <w:rFonts w:ascii="Times New Roman" w:hAnsi="Times New Roman" w:cs="Times New Roman"/>
          <w:sz w:val="24"/>
          <w:szCs w:val="24"/>
          <w:lang w:eastAsia="ar-SA"/>
        </w:rPr>
        <w:t>r-</w:t>
      </w:r>
      <w:r w:rsidRPr="00D247CA">
        <w:rPr>
          <w:rFonts w:ascii="Times New Roman" w:hAnsi="Times New Roman" w:cs="Times New Roman"/>
          <w:sz w:val="24"/>
          <w:szCs w:val="24"/>
          <w:lang w:eastAsia="ar-SA"/>
        </w:rPr>
        <w:t xml:space="preserve">friendly </w:t>
      </w:r>
      <w:r>
        <w:rPr>
          <w:rFonts w:ascii="Times New Roman" w:hAnsi="Times New Roman" w:cs="Times New Roman"/>
          <w:sz w:val="24"/>
          <w:szCs w:val="24"/>
          <w:lang w:eastAsia="ar-SA"/>
        </w:rPr>
        <w:t xml:space="preserve">manner </w:t>
      </w:r>
      <w:r w:rsidRPr="00D247CA">
        <w:rPr>
          <w:rFonts w:ascii="Times New Roman" w:hAnsi="Times New Roman" w:cs="Times New Roman"/>
          <w:sz w:val="24"/>
          <w:szCs w:val="24"/>
          <w:lang w:eastAsia="ar-SA"/>
        </w:rPr>
        <w:t xml:space="preserve">for all users in line with international statistical best practices. </w:t>
      </w:r>
    </w:p>
    <w:p w14:paraId="796E8AEF"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20D4F86C" w14:textId="77777777" w:rsidR="00FB1314" w:rsidRPr="00A44E81"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 xml:space="preserve">Raising Statistical Awareness on SDGs </w:t>
      </w:r>
    </w:p>
    <w:p w14:paraId="254B1BFB"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Since the adoption of the 2030 Agenda, PCBS has been working persistently on raising awareness o</w:t>
      </w:r>
      <w:r>
        <w:rPr>
          <w:rFonts w:ascii="Times New Roman" w:hAnsi="Times New Roman" w:cs="Times New Roman"/>
          <w:sz w:val="24"/>
          <w:szCs w:val="24"/>
          <w:lang w:eastAsia="ar-SA"/>
        </w:rPr>
        <w:t>f</w:t>
      </w:r>
      <w:r w:rsidRPr="00D247CA">
        <w:rPr>
          <w:rFonts w:ascii="Times New Roman" w:hAnsi="Times New Roman" w:cs="Times New Roman"/>
          <w:sz w:val="24"/>
          <w:szCs w:val="24"/>
          <w:lang w:eastAsia="ar-SA"/>
        </w:rPr>
        <w:t xml:space="preserve"> the importance and relevance of statistics and SDGs. It has also been targeting several sectors of the community including decision makers and school children. Several printed publications and production materials were produced aiming to raise awareness on the nature of SDGs and how they are relevant to people's daily lives. This was reflected in PCBS' press releases and publications as well.</w:t>
      </w:r>
    </w:p>
    <w:p w14:paraId="4D7D305E"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56B56B3A" w14:textId="77777777" w:rsidR="00FB1314" w:rsidRPr="00A44E81"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Capacity Building on SDGs</w:t>
      </w:r>
    </w:p>
    <w:p w14:paraId="08DF6B30"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Capacity building and statistical awareness are extremely important for PCBS to ensure that the National Statistical System includes keeping PCBS staff up to date </w:t>
      </w:r>
      <w:r>
        <w:rPr>
          <w:rFonts w:ascii="Times New Roman" w:hAnsi="Times New Roman" w:cs="Times New Roman"/>
          <w:sz w:val="24"/>
          <w:szCs w:val="24"/>
          <w:lang w:eastAsia="ar-SA"/>
        </w:rPr>
        <w:t>on</w:t>
      </w:r>
      <w:r w:rsidRPr="00D247CA">
        <w:rPr>
          <w:rFonts w:ascii="Times New Roman" w:hAnsi="Times New Roman" w:cs="Times New Roman"/>
          <w:sz w:val="24"/>
          <w:szCs w:val="24"/>
          <w:lang w:eastAsia="ar-SA"/>
        </w:rPr>
        <w:t xml:space="preserve"> the latest best practices. PCBS is an active member of several committees on the local, regional and international platformswhich discuss the integration of SDG indicators into regular or specific surveys and other statistical activities.</w:t>
      </w:r>
    </w:p>
    <w:p w14:paraId="7E1FBF1D" w14:textId="77777777" w:rsidR="00FB1314" w:rsidRDefault="00FB1314" w:rsidP="00FB1314">
      <w:pPr>
        <w:pStyle w:val="PlainText"/>
        <w:bidi w:val="0"/>
        <w:jc w:val="both"/>
        <w:rPr>
          <w:rFonts w:ascii="Times New Roman" w:hAnsi="Times New Roman"/>
          <w:b/>
          <w:bCs/>
          <w:sz w:val="24"/>
          <w:szCs w:val="24"/>
        </w:rPr>
      </w:pPr>
    </w:p>
    <w:p w14:paraId="22F3C1F5" w14:textId="77777777" w:rsidR="00FB1314" w:rsidRPr="00B25DD3" w:rsidRDefault="00FB1314" w:rsidP="00125ED3">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B25DD3">
        <w:rPr>
          <w:rFonts w:ascii="Times New Roman" w:hAnsi="Times New Roman" w:cs="Times New Roman"/>
          <w:b/>
          <w:bCs/>
          <w:sz w:val="24"/>
          <w:szCs w:val="24"/>
        </w:rPr>
        <w:t>Palestine’s Sustainable Development Goals Statistical Report</w:t>
      </w:r>
      <w:r w:rsidR="00125ED3" w:rsidRPr="00B25DD3">
        <w:rPr>
          <w:rFonts w:ascii="Times New Roman" w:hAnsi="Times New Roman" w:cs="Times New Roman"/>
          <w:b/>
          <w:bCs/>
          <w:sz w:val="24"/>
          <w:szCs w:val="24"/>
        </w:rPr>
        <w:t>s</w:t>
      </w:r>
    </w:p>
    <w:p w14:paraId="7C64A8BF" w14:textId="77777777" w:rsidR="00FB1314" w:rsidRPr="00B25DD3" w:rsidRDefault="00FB1314" w:rsidP="00125ED3">
      <w:pPr>
        <w:bidi w:val="0"/>
        <w:spacing w:after="0" w:line="240" w:lineRule="auto"/>
        <w:ind w:right="-334"/>
        <w:jc w:val="both"/>
        <w:rPr>
          <w:rFonts w:ascii="Times New Roman" w:hAnsi="Times New Roman" w:cs="Times New Roman"/>
          <w:sz w:val="24"/>
          <w:szCs w:val="24"/>
          <w:lang w:eastAsia="ar-SA"/>
        </w:rPr>
      </w:pPr>
      <w:r w:rsidRPr="00B25DD3">
        <w:rPr>
          <w:rFonts w:ascii="Times New Roman" w:hAnsi="Times New Roman" w:cs="Times New Roman"/>
          <w:sz w:val="24"/>
          <w:szCs w:val="24"/>
          <w:lang w:eastAsia="ar-SA"/>
        </w:rPr>
        <w:t>The statistical report</w:t>
      </w:r>
      <w:r w:rsidR="00125ED3" w:rsidRPr="00B25DD3">
        <w:rPr>
          <w:rFonts w:ascii="Times New Roman" w:hAnsi="Times New Roman" w:cs="Times New Roman"/>
          <w:sz w:val="24"/>
          <w:szCs w:val="24"/>
          <w:lang w:eastAsia="ar-SA"/>
        </w:rPr>
        <w:t>s</w:t>
      </w:r>
      <w:r w:rsidRPr="00B25DD3">
        <w:rPr>
          <w:rFonts w:ascii="Times New Roman" w:hAnsi="Times New Roman" w:cs="Times New Roman"/>
          <w:sz w:val="24"/>
          <w:szCs w:val="24"/>
          <w:lang w:eastAsia="ar-SA"/>
        </w:rPr>
        <w:t xml:space="preserve"> on SDGs in Palestine </w:t>
      </w:r>
      <w:r w:rsidR="00125ED3" w:rsidRPr="00B25DD3">
        <w:rPr>
          <w:rFonts w:ascii="Times New Roman" w:hAnsi="Times New Roman" w:cs="Times New Roman"/>
          <w:sz w:val="24"/>
          <w:szCs w:val="24"/>
          <w:lang w:eastAsia="ar-SA"/>
        </w:rPr>
        <w:t>were</w:t>
      </w:r>
      <w:r w:rsidRPr="00B25DD3">
        <w:rPr>
          <w:rFonts w:ascii="Times New Roman" w:hAnsi="Times New Roman" w:cs="Times New Roman"/>
          <w:sz w:val="24"/>
          <w:szCs w:val="24"/>
          <w:lang w:eastAsia="ar-SA"/>
        </w:rPr>
        <w:t xml:space="preserve"> the fruit of national efforts on SDGs since the adoption of the 2030 Agenda. </w:t>
      </w:r>
      <w:r w:rsidR="00125ED3" w:rsidRPr="00B25DD3">
        <w:rPr>
          <w:rFonts w:ascii="Times New Roman" w:hAnsi="Times New Roman" w:cs="Times New Roman"/>
          <w:sz w:val="24"/>
          <w:szCs w:val="24"/>
          <w:lang w:eastAsia="ar-SA"/>
        </w:rPr>
        <w:t>These</w:t>
      </w:r>
      <w:r w:rsidRPr="00B25DD3">
        <w:rPr>
          <w:rFonts w:ascii="Times New Roman" w:hAnsi="Times New Roman" w:cs="Times New Roman"/>
          <w:sz w:val="24"/>
          <w:szCs w:val="24"/>
          <w:lang w:eastAsia="ar-SA"/>
        </w:rPr>
        <w:t xml:space="preserve"> report</w:t>
      </w:r>
      <w:r w:rsidR="00125ED3" w:rsidRPr="00B25DD3">
        <w:rPr>
          <w:rFonts w:ascii="Times New Roman" w:hAnsi="Times New Roman" w:cs="Times New Roman"/>
          <w:sz w:val="24"/>
          <w:szCs w:val="24"/>
          <w:lang w:eastAsia="ar-SA"/>
        </w:rPr>
        <w:t>s</w:t>
      </w:r>
      <w:r w:rsidRPr="00B25DD3">
        <w:rPr>
          <w:rFonts w:ascii="Times New Roman" w:hAnsi="Times New Roman" w:cs="Times New Roman"/>
          <w:sz w:val="24"/>
          <w:szCs w:val="24"/>
          <w:lang w:eastAsia="ar-SA"/>
        </w:rPr>
        <w:t xml:space="preserve"> came as a road map for decision and policy makers to draw appropriate interventions to allow the achievement of the 2030 Agenda goals.</w:t>
      </w:r>
    </w:p>
    <w:p w14:paraId="3CAA91EF" w14:textId="77777777" w:rsidR="00FB1314" w:rsidRDefault="00125ED3" w:rsidP="00125ED3">
      <w:pPr>
        <w:bidi w:val="0"/>
        <w:spacing w:after="0" w:line="240" w:lineRule="auto"/>
        <w:ind w:right="-334"/>
        <w:jc w:val="both"/>
        <w:rPr>
          <w:rFonts w:ascii="Times New Roman" w:hAnsi="Times New Roman" w:cs="Times New Roman"/>
          <w:sz w:val="24"/>
          <w:szCs w:val="24"/>
          <w:lang w:eastAsia="ar-SA"/>
        </w:rPr>
      </w:pPr>
      <w:r w:rsidRPr="00B25DD3">
        <w:rPr>
          <w:rFonts w:ascii="Times New Roman" w:hAnsi="Times New Roman" w:cs="Times New Roman"/>
          <w:sz w:val="24"/>
          <w:szCs w:val="24"/>
          <w:lang w:eastAsia="ar-SA"/>
        </w:rPr>
        <w:lastRenderedPageBreak/>
        <w:t xml:space="preserve">These </w:t>
      </w:r>
      <w:r w:rsidR="00FB1314" w:rsidRPr="00B25DD3">
        <w:rPr>
          <w:rFonts w:ascii="Times New Roman" w:hAnsi="Times New Roman" w:cs="Times New Roman"/>
          <w:sz w:val="24"/>
          <w:szCs w:val="24"/>
          <w:lang w:eastAsia="ar-SA"/>
        </w:rPr>
        <w:t>report</w:t>
      </w:r>
      <w:r w:rsidRPr="00B25DD3">
        <w:rPr>
          <w:rFonts w:ascii="Times New Roman" w:hAnsi="Times New Roman" w:cs="Times New Roman"/>
          <w:sz w:val="24"/>
          <w:szCs w:val="24"/>
          <w:lang w:eastAsia="ar-SA"/>
        </w:rPr>
        <w:t>s</w:t>
      </w:r>
      <w:r w:rsidR="00FB1314" w:rsidRPr="00B25DD3">
        <w:rPr>
          <w:rFonts w:ascii="Times New Roman" w:hAnsi="Times New Roman" w:cs="Times New Roman"/>
          <w:sz w:val="24"/>
          <w:szCs w:val="24"/>
          <w:lang w:eastAsia="ar-SA"/>
        </w:rPr>
        <w:t xml:space="preserve"> came from different sources as the presented data was collected from the census, surveys, administrative records belonging to different partners and ministers, as well as international resources in some cases. Timelines, data quality, and accuracy were the main criteria for selecting indicators, in addition to availability.</w:t>
      </w:r>
    </w:p>
    <w:p w14:paraId="76AD630D" w14:textId="77777777" w:rsidR="00FB1314" w:rsidRPr="00BC4EC1" w:rsidRDefault="00FB1314" w:rsidP="00FB1314">
      <w:pPr>
        <w:bidi w:val="0"/>
        <w:spacing w:after="0" w:line="240" w:lineRule="auto"/>
        <w:ind w:right="-334"/>
        <w:jc w:val="both"/>
        <w:rPr>
          <w:rFonts w:ascii="Times New Roman" w:hAnsi="Times New Roman" w:cs="Times New Roman"/>
          <w:sz w:val="24"/>
          <w:szCs w:val="24"/>
          <w:rtl/>
          <w:lang w:eastAsia="ar-SA"/>
        </w:rPr>
      </w:pPr>
    </w:p>
    <w:p w14:paraId="74BDD2C5" w14:textId="77777777" w:rsidR="00FB1314" w:rsidRPr="00E42B0E" w:rsidRDefault="00FB1314" w:rsidP="00FB1314">
      <w:pPr>
        <w:bidi w:val="0"/>
        <w:spacing w:after="0" w:line="240" w:lineRule="auto"/>
        <w:rPr>
          <w:rFonts w:asciiTheme="majorBidi" w:hAnsiTheme="majorBidi" w:cstheme="majorBidi"/>
          <w:b/>
          <w:bCs/>
          <w:sz w:val="24"/>
          <w:szCs w:val="24"/>
          <w:u w:val="single"/>
        </w:rPr>
      </w:pPr>
      <w:r w:rsidRPr="00BA5423">
        <w:rPr>
          <w:rFonts w:asciiTheme="majorBidi" w:hAnsiTheme="majorBidi" w:cstheme="majorBidi"/>
          <w:b/>
          <w:bCs/>
          <w:sz w:val="24"/>
          <w:szCs w:val="24"/>
          <w:u w:val="single"/>
        </w:rPr>
        <w:t>1.3 Synthesis of goals (focus)</w:t>
      </w:r>
    </w:p>
    <w:p w14:paraId="314BC2E2" w14:textId="77777777" w:rsidR="00FB1314" w:rsidRDefault="00FB1314" w:rsidP="00FB1314">
      <w:pPr>
        <w:pStyle w:val="ListParagraph"/>
        <w:rPr>
          <w:rFonts w:asciiTheme="majorBidi" w:hAnsiTheme="majorBidi" w:cstheme="majorBidi"/>
          <w:sz w:val="24"/>
          <w:szCs w:val="24"/>
        </w:rPr>
      </w:pPr>
    </w:p>
    <w:tbl>
      <w:tblPr>
        <w:tblStyle w:val="TableGrid"/>
        <w:tblW w:w="1017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6"/>
        <w:gridCol w:w="8154"/>
      </w:tblGrid>
      <w:tr w:rsidR="00FB1314" w14:paraId="422CCE44" w14:textId="77777777" w:rsidTr="006F7CF2">
        <w:tc>
          <w:tcPr>
            <w:tcW w:w="1961" w:type="dxa"/>
          </w:tcPr>
          <w:p w14:paraId="4280208F" w14:textId="77777777" w:rsidR="00FB1314" w:rsidRDefault="00FB1314" w:rsidP="006F7CF2">
            <w:pPr>
              <w:pStyle w:val="ListParagraph"/>
              <w:ind w:left="0"/>
              <w:rPr>
                <w:rFonts w:asciiTheme="majorBidi" w:hAnsiTheme="majorBidi" w:cstheme="majorBidi"/>
                <w:sz w:val="24"/>
                <w:szCs w:val="24"/>
              </w:rPr>
            </w:pPr>
            <w:r w:rsidRPr="008A4E00">
              <w:rPr>
                <w:noProof/>
                <w:lang w:eastAsia="en-US"/>
              </w:rPr>
              <w:drawing>
                <wp:inline distT="0" distB="0" distL="0" distR="0" wp14:anchorId="757E192F" wp14:editId="0199162A">
                  <wp:extent cx="1089025" cy="1081405"/>
                  <wp:effectExtent l="19050" t="0" r="0" b="0"/>
                  <wp:docPr id="23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4" cstate="print"/>
                          <a:srcRect/>
                          <a:stretch>
                            <a:fillRect/>
                          </a:stretch>
                        </pic:blipFill>
                        <pic:spPr bwMode="auto">
                          <a:xfrm>
                            <a:off x="0" y="0"/>
                            <a:ext cx="1089025" cy="1081405"/>
                          </a:xfrm>
                          <a:prstGeom prst="rect">
                            <a:avLst/>
                          </a:prstGeom>
                          <a:noFill/>
                          <a:ln w="9525">
                            <a:noFill/>
                            <a:miter lim="800000"/>
                            <a:headEnd/>
                            <a:tailEnd/>
                          </a:ln>
                        </pic:spPr>
                      </pic:pic>
                    </a:graphicData>
                  </a:graphic>
                </wp:inline>
              </w:drawing>
            </w:r>
          </w:p>
        </w:tc>
        <w:tc>
          <w:tcPr>
            <w:tcW w:w="8209" w:type="dxa"/>
          </w:tcPr>
          <w:p w14:paraId="486DDA3A" w14:textId="77777777" w:rsidR="00FB131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The most vital indicator in this goal is the poverty</w:t>
            </w:r>
            <w:r>
              <w:rPr>
                <w:rFonts w:ascii="Times New Roman" w:hAnsi="Times New Roman" w:cs="Times New Roman"/>
                <w:sz w:val="24"/>
                <w:szCs w:val="24"/>
                <w:lang w:val="en-US"/>
              </w:rPr>
              <w:t xml:space="preserve"> percentage</w:t>
            </w:r>
            <w:r w:rsidRPr="00080B54">
              <w:rPr>
                <w:rFonts w:ascii="Times New Roman" w:hAnsi="Times New Roman" w:cs="Times New Roman"/>
                <w:sz w:val="24"/>
                <w:szCs w:val="24"/>
                <w:lang w:val="en-US"/>
              </w:rPr>
              <w:t xml:space="preserve">, which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 29</w:t>
            </w:r>
            <w:r>
              <w:rPr>
                <w:rFonts w:ascii="Times New Roman" w:hAnsi="Times New Roman" w:cs="Times New Roman"/>
                <w:sz w:val="24"/>
                <w:szCs w:val="24"/>
                <w:lang w:val="en-US"/>
              </w:rPr>
              <w:t>.2</w:t>
            </w:r>
            <w:r w:rsidRPr="00080B54">
              <w:rPr>
                <w:rFonts w:ascii="Times New Roman" w:hAnsi="Times New Roman" w:cs="Times New Roman"/>
                <w:sz w:val="24"/>
                <w:szCs w:val="24"/>
                <w:lang w:val="en-US"/>
              </w:rPr>
              <w:t>% among individuals in 2017. The comparison with other countries by using poverty indicators will be misleading because of the differences in the methodology</w:t>
            </w:r>
            <w:r>
              <w:rPr>
                <w:rFonts w:ascii="Times New Roman" w:hAnsi="Times New Roman" w:cs="Times New Roman"/>
                <w:sz w:val="24"/>
                <w:szCs w:val="24"/>
                <w:lang w:val="en-US"/>
              </w:rPr>
              <w:t xml:space="preserve"> used</w:t>
            </w:r>
            <w:r w:rsidRPr="00080B54">
              <w:rPr>
                <w:rFonts w:ascii="Times New Roman" w:hAnsi="Times New Roman" w:cs="Times New Roman"/>
                <w:sz w:val="24"/>
                <w:szCs w:val="24"/>
                <w:lang w:val="en-US"/>
              </w:rPr>
              <w:t xml:space="preserve">.  </w:t>
            </w:r>
          </w:p>
          <w:p w14:paraId="3959B977" w14:textId="77777777" w:rsidR="00FB1314" w:rsidRPr="00BF19E7" w:rsidRDefault="00FB1314" w:rsidP="006F7CF2">
            <w:pPr>
              <w:bidi w:val="0"/>
              <w:spacing w:after="0"/>
              <w:jc w:val="both"/>
              <w:rPr>
                <w:rFonts w:ascii="Times New Roman" w:hAnsi="Times New Roman" w:cs="Times New Roman"/>
                <w:sz w:val="24"/>
                <w:szCs w:val="24"/>
              </w:rPr>
            </w:pPr>
          </w:p>
        </w:tc>
      </w:tr>
      <w:tr w:rsidR="00FB1314" w14:paraId="626643E5" w14:textId="77777777" w:rsidTr="006F7CF2">
        <w:tc>
          <w:tcPr>
            <w:tcW w:w="1961" w:type="dxa"/>
          </w:tcPr>
          <w:p w14:paraId="4BF1DDD8" w14:textId="77777777" w:rsidR="00FB1314" w:rsidRDefault="00FB1314" w:rsidP="006F7CF2">
            <w:pPr>
              <w:pStyle w:val="ListParagraph"/>
              <w:ind w:left="0"/>
              <w:rPr>
                <w:rFonts w:asciiTheme="majorBidi" w:hAnsiTheme="majorBidi" w:cstheme="majorBidi"/>
                <w:sz w:val="24"/>
                <w:szCs w:val="24"/>
              </w:rPr>
            </w:pPr>
            <w:r w:rsidRPr="008A4E00">
              <w:rPr>
                <w:noProof/>
                <w:lang w:eastAsia="en-US"/>
              </w:rPr>
              <w:drawing>
                <wp:inline distT="0" distB="0" distL="0" distR="0" wp14:anchorId="68F406EC" wp14:editId="74BA7861">
                  <wp:extent cx="1081405" cy="1081405"/>
                  <wp:effectExtent l="19050" t="0" r="4445" b="0"/>
                  <wp:docPr id="25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5"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18D88AD4" w14:textId="77777777" w:rsidR="00FB131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Prevalence of severe food insecurity among the population</w:t>
            </w:r>
            <w:r>
              <w:rPr>
                <w:rFonts w:ascii="Times New Roman" w:hAnsi="Times New Roman" w:cs="Times New Roman"/>
                <w:sz w:val="24"/>
                <w:szCs w:val="24"/>
                <w:lang w:val="en-US"/>
              </w:rPr>
              <w:t xml:space="preserve"> worldwide reached 10.9 in 2020.  It reached 6.7% in Palestine</w:t>
            </w:r>
            <w:r w:rsidRPr="00080B54">
              <w:rPr>
                <w:rFonts w:ascii="Times New Roman" w:hAnsi="Times New Roman" w:cs="Times New Roman"/>
                <w:sz w:val="24"/>
                <w:szCs w:val="24"/>
                <w:lang w:val="en-US"/>
              </w:rPr>
              <w:t xml:space="preserve"> based on the Food Insecurity Experience Scale (FIES)in Palestine during the year </w:t>
            </w:r>
            <w:r>
              <w:rPr>
                <w:rFonts w:ascii="Times New Roman" w:hAnsi="Times New Roman" w:cs="Times New Roman"/>
                <w:sz w:val="24"/>
                <w:szCs w:val="24"/>
                <w:lang w:val="en-US"/>
              </w:rPr>
              <w:t>2020, and w</w:t>
            </w:r>
            <w:r w:rsidRPr="00080B54">
              <w:rPr>
                <w:rFonts w:ascii="Times New Roman" w:hAnsi="Times New Roman" w:cs="Times New Roman"/>
                <w:sz w:val="24"/>
                <w:szCs w:val="24"/>
                <w:lang w:val="en-US"/>
              </w:rPr>
              <w:t>hen comparing this percentage with neighboring countries, it was found that in the same year, Egypt recorded 7.</w:t>
            </w:r>
            <w:r>
              <w:rPr>
                <w:rFonts w:ascii="Times New Roman" w:hAnsi="Times New Roman" w:cs="Times New Roman"/>
                <w:sz w:val="24"/>
                <w:szCs w:val="24"/>
                <w:lang w:val="en-US"/>
              </w:rPr>
              <w:t>1</w:t>
            </w:r>
            <w:r w:rsidRPr="00080B54">
              <w:rPr>
                <w:rFonts w:ascii="Times New Roman" w:hAnsi="Times New Roman" w:cs="Times New Roman"/>
                <w:sz w:val="24"/>
                <w:szCs w:val="24"/>
                <w:lang w:val="en-US"/>
              </w:rPr>
              <w:t>%</w:t>
            </w:r>
            <w:r>
              <w:rPr>
                <w:rFonts w:ascii="Times New Roman" w:hAnsi="Times New Roman" w:cs="Times New Roman"/>
                <w:sz w:val="24"/>
                <w:szCs w:val="24"/>
                <w:lang w:val="en-US"/>
              </w:rPr>
              <w:t>, and Jordan recorded 17%.</w:t>
            </w:r>
          </w:p>
          <w:p w14:paraId="465294F2" w14:textId="77777777" w:rsidR="00FB1314" w:rsidRPr="00080B54" w:rsidRDefault="00FB1314" w:rsidP="006F7CF2">
            <w:pPr>
              <w:bidi w:val="0"/>
              <w:spacing w:after="0"/>
              <w:jc w:val="both"/>
              <w:rPr>
                <w:rFonts w:ascii="Times New Roman" w:hAnsi="Times New Roman" w:cs="Times New Roman"/>
                <w:sz w:val="24"/>
                <w:szCs w:val="24"/>
                <w:lang w:val="en-US"/>
              </w:rPr>
            </w:pPr>
          </w:p>
          <w:p w14:paraId="6928EF03"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56DBBF6E" w14:textId="77777777" w:rsidTr="006F7CF2">
        <w:tc>
          <w:tcPr>
            <w:tcW w:w="1961" w:type="dxa"/>
          </w:tcPr>
          <w:p w14:paraId="0847810F"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30A91514" wp14:editId="619A7336">
                  <wp:extent cx="1073150" cy="1081405"/>
                  <wp:effectExtent l="19050" t="0" r="0" b="0"/>
                  <wp:docPr id="3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6" cstate="print"/>
                          <a:srcRect/>
                          <a:stretch>
                            <a:fillRect/>
                          </a:stretch>
                        </pic:blipFill>
                        <pic:spPr bwMode="auto">
                          <a:xfrm>
                            <a:off x="0" y="0"/>
                            <a:ext cx="1073150" cy="1081405"/>
                          </a:xfrm>
                          <a:prstGeom prst="rect">
                            <a:avLst/>
                          </a:prstGeom>
                          <a:noFill/>
                          <a:ln w="9525">
                            <a:noFill/>
                            <a:miter lim="800000"/>
                            <a:headEnd/>
                            <a:tailEnd/>
                          </a:ln>
                        </pic:spPr>
                      </pic:pic>
                    </a:graphicData>
                  </a:graphic>
                </wp:inline>
              </w:drawing>
            </w:r>
          </w:p>
        </w:tc>
        <w:tc>
          <w:tcPr>
            <w:tcW w:w="8209" w:type="dxa"/>
          </w:tcPr>
          <w:p w14:paraId="3A2EE043" w14:textId="77777777" w:rsidR="00FB1314" w:rsidRDefault="00FB1314" w:rsidP="006F7CF2">
            <w:pPr>
              <w:bidi w:val="0"/>
              <w:spacing w:after="0"/>
              <w:jc w:val="both"/>
              <w:rPr>
                <w:rFonts w:ascii="Times New Roman" w:hAnsi="Times New Roman" w:cs="Times New Roman"/>
                <w:sz w:val="24"/>
                <w:szCs w:val="24"/>
              </w:rPr>
            </w:pPr>
            <w:r w:rsidRPr="00080B54">
              <w:rPr>
                <w:rFonts w:ascii="Times New Roman" w:hAnsi="Times New Roman" w:cs="Times New Roman"/>
                <w:sz w:val="24"/>
                <w:szCs w:val="24"/>
                <w:lang w:val="en-US"/>
              </w:rPr>
              <w:t xml:space="preserve">Child mortality rates varied across Arab and neighboring countries, where Qatar recorded the lowest child mortality rates with 6.1 deaths per 1,000 live births in 2019. Meanwhile, the highest mortality rate among children less than 5 years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 25.9 deaths per 1,000 live births</w:t>
            </w:r>
            <w:r>
              <w:rPr>
                <w:rFonts w:ascii="Times New Roman" w:hAnsi="Times New Roman" w:cs="Times New Roman"/>
                <w:sz w:val="24"/>
                <w:szCs w:val="24"/>
                <w:lang w:val="en-US"/>
              </w:rPr>
              <w:t xml:space="preserve"> in Iraq</w:t>
            </w:r>
            <w:r w:rsidRPr="00080B54">
              <w:rPr>
                <w:rFonts w:ascii="Times New Roman" w:hAnsi="Times New Roman" w:cs="Times New Roman"/>
                <w:sz w:val="24"/>
                <w:szCs w:val="24"/>
                <w:lang w:val="en-US"/>
              </w:rPr>
              <w:t xml:space="preserve">. </w:t>
            </w:r>
            <w:r w:rsidRPr="00F72777">
              <w:rPr>
                <w:rFonts w:ascii="Times New Roman" w:hAnsi="Times New Roman" w:cs="Times New Roman"/>
                <w:sz w:val="24"/>
                <w:szCs w:val="24"/>
              </w:rPr>
              <w:t xml:space="preserve">In Palestine, </w:t>
            </w:r>
            <w:r>
              <w:rPr>
                <w:rFonts w:ascii="Times New Roman" w:hAnsi="Times New Roman" w:cs="Times New Roman"/>
                <w:sz w:val="24"/>
                <w:szCs w:val="24"/>
              </w:rPr>
              <w:t xml:space="preserve">the </w:t>
            </w:r>
            <w:r w:rsidRPr="00F72777">
              <w:rPr>
                <w:rFonts w:ascii="Times New Roman" w:hAnsi="Times New Roman" w:cs="Times New Roman"/>
                <w:sz w:val="24"/>
                <w:szCs w:val="24"/>
              </w:rPr>
              <w:t>under</w:t>
            </w:r>
            <w:r>
              <w:rPr>
                <w:rFonts w:ascii="Times New Roman" w:hAnsi="Times New Roman" w:cs="Times New Roman"/>
                <w:sz w:val="24"/>
                <w:szCs w:val="24"/>
              </w:rPr>
              <w:t>five</w:t>
            </w:r>
            <w:r w:rsidRPr="00F72777">
              <w:rPr>
                <w:rFonts w:ascii="Times New Roman" w:hAnsi="Times New Roman" w:cs="Times New Roman"/>
                <w:sz w:val="24"/>
                <w:szCs w:val="24"/>
              </w:rPr>
              <w:t xml:space="preserve">mortality in 2019 </w:t>
            </w:r>
            <w:r>
              <w:rPr>
                <w:rFonts w:ascii="Times New Roman" w:hAnsi="Times New Roman" w:cs="Times New Roman"/>
                <w:sz w:val="24"/>
                <w:szCs w:val="24"/>
              </w:rPr>
              <w:t>reached</w:t>
            </w:r>
            <w:r w:rsidRPr="00F72777">
              <w:rPr>
                <w:rFonts w:ascii="Times New Roman" w:hAnsi="Times New Roman" w:cs="Times New Roman"/>
                <w:sz w:val="24"/>
                <w:szCs w:val="24"/>
              </w:rPr>
              <w:t xml:space="preserve"> 14.2 deaths per 1,000 live births</w:t>
            </w:r>
            <w:r>
              <w:rPr>
                <w:rFonts w:ascii="Times New Roman" w:hAnsi="Times New Roman" w:cs="Times New Roman"/>
                <w:sz w:val="24"/>
                <w:szCs w:val="24"/>
              </w:rPr>
              <w:t>.</w:t>
            </w:r>
          </w:p>
          <w:p w14:paraId="335E2C94" w14:textId="77777777" w:rsidR="00FB1314" w:rsidRDefault="00FB1314" w:rsidP="006F7CF2">
            <w:pPr>
              <w:bidi w:val="0"/>
              <w:spacing w:after="0"/>
              <w:jc w:val="both"/>
              <w:rPr>
                <w:rFonts w:ascii="Times New Roman" w:hAnsi="Times New Roman" w:cs="Times New Roman"/>
                <w:sz w:val="24"/>
                <w:szCs w:val="24"/>
              </w:rPr>
            </w:pPr>
          </w:p>
          <w:p w14:paraId="3EE0F31F" w14:textId="77777777" w:rsidR="00FB1314" w:rsidRPr="000F1F6A" w:rsidRDefault="00FB1314" w:rsidP="006F7CF2">
            <w:pPr>
              <w:bidi w:val="0"/>
              <w:spacing w:after="0"/>
              <w:jc w:val="both"/>
              <w:rPr>
                <w:rFonts w:ascii="Times New Roman" w:hAnsi="Times New Roman" w:cs="Times New Roman"/>
                <w:sz w:val="24"/>
                <w:szCs w:val="24"/>
              </w:rPr>
            </w:pPr>
          </w:p>
        </w:tc>
      </w:tr>
      <w:tr w:rsidR="00FB1314" w14:paraId="68CAA015" w14:textId="77777777" w:rsidTr="006F7CF2">
        <w:tc>
          <w:tcPr>
            <w:tcW w:w="1961" w:type="dxa"/>
          </w:tcPr>
          <w:p w14:paraId="474BD0A1" w14:textId="77777777" w:rsidR="00FB1314" w:rsidRDefault="00FB1314" w:rsidP="006F7CF2">
            <w:pPr>
              <w:pStyle w:val="ListParagraph"/>
              <w:ind w:left="0"/>
              <w:rPr>
                <w:rFonts w:asciiTheme="majorBidi" w:hAnsiTheme="majorBidi" w:cstheme="majorBidi"/>
                <w:sz w:val="24"/>
                <w:szCs w:val="24"/>
              </w:rPr>
            </w:pPr>
            <w:r w:rsidRPr="00A16230">
              <w:rPr>
                <w:noProof/>
                <w:lang w:eastAsia="en-US"/>
              </w:rPr>
              <w:drawing>
                <wp:inline distT="0" distB="0" distL="0" distR="0" wp14:anchorId="7D42BB60" wp14:editId="041B4D23">
                  <wp:extent cx="1065530" cy="1081405"/>
                  <wp:effectExtent l="19050" t="0" r="1270" b="0"/>
                  <wp:docPr id="3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7" cstate="print"/>
                          <a:srcRect/>
                          <a:stretch>
                            <a:fillRect/>
                          </a:stretch>
                        </pic:blipFill>
                        <pic:spPr bwMode="auto">
                          <a:xfrm>
                            <a:off x="0" y="0"/>
                            <a:ext cx="1065530" cy="1081405"/>
                          </a:xfrm>
                          <a:prstGeom prst="rect">
                            <a:avLst/>
                          </a:prstGeom>
                          <a:noFill/>
                          <a:ln w="9525">
                            <a:noFill/>
                            <a:miter lim="800000"/>
                            <a:headEnd/>
                            <a:tailEnd/>
                          </a:ln>
                        </pic:spPr>
                      </pic:pic>
                    </a:graphicData>
                  </a:graphic>
                </wp:inline>
              </w:drawing>
            </w:r>
          </w:p>
        </w:tc>
        <w:tc>
          <w:tcPr>
            <w:tcW w:w="8209" w:type="dxa"/>
          </w:tcPr>
          <w:p w14:paraId="428F7905"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In </w:t>
            </w:r>
            <w:r>
              <w:rPr>
                <w:rFonts w:ascii="Times New Roman" w:hAnsi="Times New Roman" w:cs="Times New Roman"/>
                <w:sz w:val="24"/>
                <w:szCs w:val="24"/>
                <w:lang w:val="en-US"/>
              </w:rPr>
              <w:t>2020</w:t>
            </w:r>
            <w:r w:rsidRPr="00080B54">
              <w:rPr>
                <w:rFonts w:ascii="Times New Roman" w:hAnsi="Times New Roman" w:cs="Times New Roman"/>
                <w:sz w:val="24"/>
                <w:szCs w:val="24"/>
                <w:lang w:val="en-US"/>
              </w:rPr>
              <w:t xml:space="preserve">, the participation rate in organized learning in Palestine (one year </w:t>
            </w:r>
            <w:r>
              <w:rPr>
                <w:rFonts w:ascii="Times New Roman" w:hAnsi="Times New Roman" w:cs="Times New Roman"/>
                <w:sz w:val="24"/>
                <w:szCs w:val="24"/>
                <w:lang w:val="en-US"/>
              </w:rPr>
              <w:t xml:space="preserve">prior to </w:t>
            </w:r>
            <w:r w:rsidRPr="00080B54">
              <w:rPr>
                <w:rFonts w:ascii="Times New Roman" w:hAnsi="Times New Roman" w:cs="Times New Roman"/>
                <w:sz w:val="24"/>
                <w:szCs w:val="24"/>
                <w:lang w:val="en-US"/>
              </w:rPr>
              <w:t xml:space="preserve">the official primary </w:t>
            </w:r>
            <w:r>
              <w:rPr>
                <w:rFonts w:ascii="Times New Roman" w:hAnsi="Times New Roman" w:cs="Times New Roman"/>
                <w:sz w:val="24"/>
                <w:szCs w:val="24"/>
                <w:lang w:val="en-US"/>
              </w:rPr>
              <w:t xml:space="preserve">age </w:t>
            </w:r>
            <w:r w:rsidRPr="00080B54">
              <w:rPr>
                <w:rFonts w:ascii="Times New Roman" w:hAnsi="Times New Roman" w:cs="Times New Roman"/>
                <w:sz w:val="24"/>
                <w:szCs w:val="24"/>
                <w:lang w:val="en-US"/>
              </w:rPr>
              <w:t xml:space="preserve">entry) was </w:t>
            </w:r>
            <w:r>
              <w:rPr>
                <w:rFonts w:ascii="Times New Roman" w:hAnsi="Times New Roman" w:cs="Times New Roman"/>
                <w:sz w:val="24"/>
                <w:szCs w:val="24"/>
                <w:lang w:val="en-US"/>
              </w:rPr>
              <w:t>63.8</w:t>
            </w:r>
            <w:r w:rsidRPr="00080B54">
              <w:rPr>
                <w:rFonts w:ascii="Times New Roman" w:hAnsi="Times New Roman" w:cs="Times New Roman"/>
                <w:sz w:val="24"/>
                <w:szCs w:val="24"/>
                <w:lang w:val="en-US"/>
              </w:rPr>
              <w:t xml:space="preserve">%. The rate </w:t>
            </w:r>
            <w:r>
              <w:rPr>
                <w:rFonts w:ascii="Times New Roman" w:hAnsi="Times New Roman" w:cs="Times New Roman"/>
                <w:sz w:val="24"/>
                <w:szCs w:val="24"/>
                <w:lang w:val="en-US"/>
              </w:rPr>
              <w:t>reached49.6</w:t>
            </w:r>
            <w:r w:rsidRPr="00080B54">
              <w:rPr>
                <w:rFonts w:ascii="Times New Roman" w:hAnsi="Times New Roman" w:cs="Times New Roman"/>
                <w:sz w:val="24"/>
                <w:szCs w:val="24"/>
                <w:lang w:val="en-US"/>
              </w:rPr>
              <w:t xml:space="preserve">% in Jordan and </w:t>
            </w:r>
            <w:r>
              <w:rPr>
                <w:rFonts w:ascii="Times New Roman" w:hAnsi="Times New Roman" w:cs="Times New Roman"/>
                <w:sz w:val="24"/>
                <w:szCs w:val="24"/>
                <w:lang w:val="en-US"/>
              </w:rPr>
              <w:t>94.9</w:t>
            </w:r>
            <w:r w:rsidRPr="00080B54">
              <w:rPr>
                <w:rFonts w:ascii="Times New Roman" w:hAnsi="Times New Roman" w:cs="Times New Roman"/>
                <w:sz w:val="24"/>
                <w:szCs w:val="24"/>
                <w:lang w:val="en-US"/>
              </w:rPr>
              <w:t xml:space="preserve">% in Qatar compared to </w:t>
            </w:r>
            <w:r>
              <w:rPr>
                <w:rFonts w:ascii="Times New Roman" w:hAnsi="Times New Roman" w:cs="Times New Roman"/>
                <w:sz w:val="24"/>
                <w:szCs w:val="24"/>
                <w:lang w:val="en-US"/>
              </w:rPr>
              <w:t>53.0</w:t>
            </w:r>
            <w:r w:rsidRPr="00A16230">
              <w:rPr>
                <w:rFonts w:ascii="Times New Roman" w:hAnsi="Times New Roman" w:cs="Times New Roman" w:hint="cs"/>
                <w:sz w:val="24"/>
                <w:szCs w:val="24"/>
                <w:rtl/>
              </w:rPr>
              <w:t>%</w:t>
            </w:r>
            <w:r>
              <w:rPr>
                <w:rFonts w:ascii="Times New Roman" w:hAnsi="Times New Roman" w:cs="Times New Roman"/>
                <w:sz w:val="24"/>
                <w:szCs w:val="24"/>
                <w:lang w:val="en-US"/>
              </w:rPr>
              <w:t xml:space="preserve"> in Saudi Arabia.</w:t>
            </w:r>
          </w:p>
          <w:p w14:paraId="15228811" w14:textId="77777777" w:rsidR="00FB1314" w:rsidRPr="00080B54" w:rsidRDefault="00FB1314" w:rsidP="006F7CF2">
            <w:pPr>
              <w:bidi w:val="0"/>
              <w:spacing w:after="0"/>
              <w:jc w:val="both"/>
              <w:rPr>
                <w:rFonts w:ascii="Times New Roman" w:hAnsi="Times New Roman" w:cs="Times New Roman"/>
                <w:sz w:val="24"/>
                <w:szCs w:val="24"/>
                <w:lang w:val="en-US"/>
              </w:rPr>
            </w:pPr>
          </w:p>
        </w:tc>
      </w:tr>
      <w:tr w:rsidR="00FB1314" w14:paraId="7E41690E" w14:textId="77777777" w:rsidTr="006F7CF2">
        <w:tc>
          <w:tcPr>
            <w:tcW w:w="1961" w:type="dxa"/>
          </w:tcPr>
          <w:p w14:paraId="406C3067"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266AE38D" wp14:editId="6DA855A9">
                  <wp:extent cx="1081405" cy="1081405"/>
                  <wp:effectExtent l="19050" t="0" r="4445" b="0"/>
                  <wp:docPr id="3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8"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1189B30B" w14:textId="77777777" w:rsidR="00FB1314" w:rsidRDefault="00FB1314" w:rsidP="006F7CF2">
            <w:pPr>
              <w:bidi w:val="0"/>
              <w:spacing w:after="0"/>
              <w:jc w:val="both"/>
              <w:rPr>
                <w:rFonts w:ascii="Times New Roman" w:hAnsi="Times New Roman" w:cs="Times New Roman"/>
                <w:sz w:val="24"/>
                <w:szCs w:val="24"/>
              </w:rPr>
            </w:pPr>
            <w:r w:rsidRPr="00080B54">
              <w:rPr>
                <w:rFonts w:ascii="Times New Roman" w:hAnsi="Times New Roman" w:cs="Times New Roman"/>
                <w:sz w:val="24"/>
                <w:szCs w:val="24"/>
                <w:lang w:val="en-US"/>
              </w:rPr>
              <w:t xml:space="preserve">The proportion of women in the (20-24)age group who were married before the age of 18 years in Palestine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13.4%in </w:t>
            </w:r>
            <w:r>
              <w:rPr>
                <w:rFonts w:ascii="Times New Roman" w:hAnsi="Times New Roman" w:cs="Times New Roman"/>
                <w:sz w:val="24"/>
                <w:szCs w:val="24"/>
                <w:lang w:val="en-US"/>
              </w:rPr>
              <w:t>2020</w:t>
            </w:r>
            <w:r w:rsidRPr="00080B54">
              <w:rPr>
                <w:rFonts w:ascii="Times New Roman" w:hAnsi="Times New Roman" w:cs="Times New Roman"/>
                <w:sz w:val="24"/>
                <w:szCs w:val="24"/>
                <w:lang w:val="en-US"/>
              </w:rPr>
              <w:t xml:space="preserve"> compared to 9.7% in Jordan, 1.5% in Tun</w:t>
            </w:r>
            <w:r>
              <w:rPr>
                <w:rFonts w:ascii="Times New Roman" w:hAnsi="Times New Roman" w:cs="Times New Roman"/>
                <w:sz w:val="24"/>
                <w:szCs w:val="24"/>
                <w:lang w:val="en-US"/>
              </w:rPr>
              <w:t>isia, and 27.9% in Iraq in 2018 w</w:t>
            </w:r>
            <w:r w:rsidRPr="00540428">
              <w:rPr>
                <w:rFonts w:ascii="Times New Roman" w:hAnsi="Times New Roman" w:cs="Times New Roman"/>
                <w:sz w:val="24"/>
                <w:szCs w:val="24"/>
              </w:rPr>
              <w:t>hile the proportion</w:t>
            </w:r>
            <w:r>
              <w:rPr>
                <w:rFonts w:ascii="Times New Roman" w:hAnsi="Times New Roman" w:cs="Times New Roman"/>
                <w:sz w:val="24"/>
                <w:szCs w:val="24"/>
              </w:rPr>
              <w:t>reached</w:t>
            </w:r>
            <w:r w:rsidRPr="00540428">
              <w:rPr>
                <w:rFonts w:ascii="Times New Roman" w:hAnsi="Times New Roman" w:cs="Times New Roman"/>
                <w:sz w:val="24"/>
                <w:szCs w:val="24"/>
              </w:rPr>
              <w:t xml:space="preserve"> 17.4% in Egypt, in 2014</w:t>
            </w:r>
            <w:r>
              <w:rPr>
                <w:rFonts w:ascii="Times New Roman" w:hAnsi="Times New Roman" w:cs="Times New Roman"/>
                <w:sz w:val="24"/>
                <w:szCs w:val="24"/>
              </w:rPr>
              <w:t>.</w:t>
            </w:r>
          </w:p>
          <w:p w14:paraId="6AA65561" w14:textId="77777777" w:rsidR="00FB1314" w:rsidRDefault="00FB1314" w:rsidP="006F7CF2">
            <w:pPr>
              <w:bidi w:val="0"/>
              <w:spacing w:after="0"/>
              <w:jc w:val="both"/>
              <w:rPr>
                <w:rFonts w:ascii="Times New Roman" w:hAnsi="Times New Roman" w:cs="Times New Roman"/>
                <w:sz w:val="24"/>
                <w:szCs w:val="24"/>
              </w:rPr>
            </w:pPr>
          </w:p>
          <w:p w14:paraId="0A2666C6" w14:textId="77777777" w:rsidR="00FB1314" w:rsidRPr="00C4684E"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2752AD5B" w14:textId="77777777" w:rsidTr="006F7CF2">
        <w:tc>
          <w:tcPr>
            <w:tcW w:w="1961" w:type="dxa"/>
          </w:tcPr>
          <w:p w14:paraId="2E6847F5" w14:textId="77777777" w:rsidR="00FB1314" w:rsidRDefault="00FB1314" w:rsidP="006F7CF2">
            <w:pPr>
              <w:pStyle w:val="ListParagraph"/>
              <w:ind w:left="0"/>
              <w:rPr>
                <w:rFonts w:asciiTheme="majorBidi" w:hAnsiTheme="majorBidi" w:cstheme="majorBidi"/>
                <w:sz w:val="24"/>
                <w:szCs w:val="24"/>
              </w:rPr>
            </w:pPr>
            <w:r>
              <w:rPr>
                <w:noProof/>
                <w:lang w:eastAsia="en-US"/>
              </w:rPr>
              <w:lastRenderedPageBreak/>
              <w:drawing>
                <wp:inline distT="0" distB="0" distL="0" distR="0" wp14:anchorId="6DEB327F" wp14:editId="72FD26F2">
                  <wp:extent cx="1113155" cy="1081405"/>
                  <wp:effectExtent l="19050" t="0" r="0" b="0"/>
                  <wp:docPr id="3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9" cstate="print"/>
                          <a:srcRect/>
                          <a:stretch>
                            <a:fillRect/>
                          </a:stretch>
                        </pic:blipFill>
                        <pic:spPr bwMode="auto">
                          <a:xfrm>
                            <a:off x="0" y="0"/>
                            <a:ext cx="1113155" cy="1081405"/>
                          </a:xfrm>
                          <a:prstGeom prst="rect">
                            <a:avLst/>
                          </a:prstGeom>
                          <a:noFill/>
                          <a:ln w="9525">
                            <a:noFill/>
                            <a:miter lim="800000"/>
                            <a:headEnd/>
                            <a:tailEnd/>
                          </a:ln>
                        </pic:spPr>
                      </pic:pic>
                    </a:graphicData>
                  </a:graphic>
                </wp:inline>
              </w:drawing>
            </w:r>
          </w:p>
        </w:tc>
        <w:tc>
          <w:tcPr>
            <w:tcW w:w="8209" w:type="dxa"/>
          </w:tcPr>
          <w:p w14:paraId="719D3DDE"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The proportion of population using safely managed drinking water services in Palestine </w:t>
            </w:r>
            <w:r>
              <w:rPr>
                <w:rFonts w:ascii="Times New Roman" w:hAnsi="Times New Roman" w:cs="Times New Roman"/>
                <w:sz w:val="24"/>
                <w:szCs w:val="24"/>
                <w:lang w:val="en-US"/>
              </w:rPr>
              <w:t>reached39.5</w:t>
            </w:r>
            <w:r w:rsidRPr="00080B54">
              <w:rPr>
                <w:rFonts w:ascii="Times New Roman" w:hAnsi="Times New Roman" w:cs="Times New Roman"/>
                <w:sz w:val="24"/>
                <w:szCs w:val="24"/>
                <w:lang w:val="en-US"/>
              </w:rPr>
              <w:t>% in</w:t>
            </w:r>
            <w:r>
              <w:rPr>
                <w:rFonts w:ascii="Times New Roman" w:hAnsi="Times New Roman" w:cs="Times New Roman"/>
                <w:sz w:val="24"/>
                <w:szCs w:val="24"/>
                <w:lang w:val="en-US"/>
              </w:rPr>
              <w:t xml:space="preserve"> 2019</w:t>
            </w:r>
            <w:r w:rsidRPr="00080B54">
              <w:rPr>
                <w:rFonts w:ascii="Times New Roman" w:hAnsi="Times New Roman" w:cs="Times New Roman"/>
                <w:sz w:val="24"/>
                <w:szCs w:val="24"/>
                <w:lang w:val="en-US"/>
              </w:rPr>
              <w:t xml:space="preserve">, according to UNSD-data base, </w:t>
            </w:r>
            <w:r>
              <w:rPr>
                <w:rFonts w:ascii="Times New Roman" w:hAnsi="Times New Roman" w:cs="Times New Roman"/>
                <w:sz w:val="24"/>
                <w:szCs w:val="24"/>
                <w:lang w:val="en-US"/>
              </w:rPr>
              <w:t>while it reached 8</w:t>
            </w:r>
            <w:r>
              <w:rPr>
                <w:rFonts w:ascii="Times New Roman" w:hAnsi="Times New Roman" w:cs="Times New Roman" w:hint="cs"/>
                <w:sz w:val="24"/>
                <w:szCs w:val="24"/>
                <w:rtl/>
                <w:lang w:val="en-US"/>
              </w:rPr>
              <w:t>4</w:t>
            </w:r>
            <w:r>
              <w:rPr>
                <w:rFonts w:ascii="Times New Roman" w:hAnsi="Times New Roman" w:cs="Times New Roman"/>
                <w:sz w:val="24"/>
                <w:szCs w:val="24"/>
                <w:lang w:val="en-US"/>
              </w:rPr>
              <w:t>.0</w:t>
            </w:r>
            <w:r w:rsidRPr="00080B54">
              <w:rPr>
                <w:rFonts w:ascii="Times New Roman" w:hAnsi="Times New Roman" w:cs="Times New Roman"/>
                <w:sz w:val="24"/>
                <w:szCs w:val="24"/>
                <w:lang w:val="en-US"/>
              </w:rPr>
              <w:t xml:space="preserve">% in Jordan and </w:t>
            </w:r>
            <w:r>
              <w:rPr>
                <w:rFonts w:ascii="Times New Roman" w:hAnsi="Times New Roman" w:cs="Times New Roman"/>
                <w:sz w:val="24"/>
                <w:szCs w:val="24"/>
                <w:lang w:val="en-US"/>
              </w:rPr>
              <w:t>59.0</w:t>
            </w:r>
            <w:r w:rsidRPr="00080B54">
              <w:rPr>
                <w:rFonts w:ascii="Times New Roman" w:hAnsi="Times New Roman" w:cs="Times New Roman"/>
                <w:sz w:val="24"/>
                <w:szCs w:val="24"/>
                <w:lang w:val="en-US"/>
              </w:rPr>
              <w:t>% in Iraq in the same year.</w:t>
            </w:r>
          </w:p>
          <w:p w14:paraId="385B72DF"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077EB2B3" w14:textId="77777777" w:rsidTr="006F7CF2">
        <w:tc>
          <w:tcPr>
            <w:tcW w:w="1961" w:type="dxa"/>
          </w:tcPr>
          <w:p w14:paraId="29D13575"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74CC1902" wp14:editId="54E84EBF">
                  <wp:extent cx="1121410" cy="1073150"/>
                  <wp:effectExtent l="19050" t="0" r="2540" b="0"/>
                  <wp:docPr id="3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0" cstate="print"/>
                          <a:srcRect/>
                          <a:stretch>
                            <a:fillRect/>
                          </a:stretch>
                        </pic:blipFill>
                        <pic:spPr bwMode="auto">
                          <a:xfrm>
                            <a:off x="0" y="0"/>
                            <a:ext cx="1121410" cy="1073150"/>
                          </a:xfrm>
                          <a:prstGeom prst="rect">
                            <a:avLst/>
                          </a:prstGeom>
                          <a:noFill/>
                          <a:ln w="9525">
                            <a:noFill/>
                            <a:miter lim="800000"/>
                            <a:headEnd/>
                            <a:tailEnd/>
                          </a:ln>
                        </pic:spPr>
                      </pic:pic>
                    </a:graphicData>
                  </a:graphic>
                </wp:inline>
              </w:drawing>
            </w:r>
          </w:p>
        </w:tc>
        <w:tc>
          <w:tcPr>
            <w:tcW w:w="8209" w:type="dxa"/>
          </w:tcPr>
          <w:p w14:paraId="59FC8239" w14:textId="77777777" w:rsidR="00FB1314" w:rsidRPr="00F54332"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Even though </w:t>
            </w:r>
            <w:r>
              <w:rPr>
                <w:rFonts w:ascii="Times New Roman" w:hAnsi="Times New Roman" w:cs="Times New Roman"/>
                <w:sz w:val="24"/>
                <w:szCs w:val="24"/>
                <w:lang w:val="en-US"/>
              </w:rPr>
              <w:t>100.0</w:t>
            </w:r>
            <w:r w:rsidRPr="00080B54">
              <w:rPr>
                <w:rFonts w:ascii="Times New Roman" w:hAnsi="Times New Roman" w:cs="Times New Roman"/>
                <w:sz w:val="24"/>
                <w:szCs w:val="24"/>
                <w:lang w:val="en-US"/>
              </w:rPr>
              <w:t>% of the Palestinian population ha</w:t>
            </w:r>
            <w:r>
              <w:rPr>
                <w:rFonts w:ascii="Times New Roman" w:hAnsi="Times New Roman" w:cs="Times New Roman"/>
                <w:sz w:val="24"/>
                <w:szCs w:val="24"/>
                <w:lang w:val="en-US"/>
              </w:rPr>
              <w:t>s</w:t>
            </w:r>
            <w:r w:rsidRPr="00080B54">
              <w:rPr>
                <w:rFonts w:ascii="Times New Roman" w:hAnsi="Times New Roman" w:cs="Times New Roman"/>
                <w:sz w:val="24"/>
                <w:szCs w:val="24"/>
                <w:lang w:val="en-US"/>
              </w:rPr>
              <w:t xml:space="preserve"> access to electricity, power is not available all the time </w:t>
            </w:r>
            <w:r>
              <w:rPr>
                <w:rFonts w:ascii="Times New Roman" w:hAnsi="Times New Roman" w:cs="Times New Roman"/>
                <w:sz w:val="24"/>
                <w:szCs w:val="24"/>
                <w:lang w:val="en-US"/>
              </w:rPr>
              <w:t>particularly</w:t>
            </w:r>
            <w:r w:rsidRPr="00080B54">
              <w:rPr>
                <w:rFonts w:ascii="Times New Roman" w:hAnsi="Times New Roman" w:cs="Times New Roman"/>
                <w:sz w:val="24"/>
                <w:szCs w:val="24"/>
                <w:lang w:val="en-US"/>
              </w:rPr>
              <w:t xml:space="preserve"> in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 xml:space="preserve">Gaza Strip, which suffers electricity </w:t>
            </w:r>
            <w:r>
              <w:rPr>
                <w:rFonts w:ascii="Times New Roman" w:hAnsi="Times New Roman" w:cs="Times New Roman"/>
                <w:sz w:val="24"/>
                <w:szCs w:val="24"/>
                <w:lang w:val="en-US"/>
              </w:rPr>
              <w:t>shortages</w:t>
            </w:r>
            <w:r w:rsidRPr="00080B54">
              <w:rPr>
                <w:rFonts w:ascii="Times New Roman" w:hAnsi="Times New Roman" w:cs="Times New Roman"/>
                <w:sz w:val="24"/>
                <w:szCs w:val="24"/>
                <w:lang w:val="en-US"/>
              </w:rPr>
              <w:t xml:space="preserve"> for several hours a day.In many areas, the power supply is not reliable and it is not affordable in cost </w:t>
            </w:r>
            <w:r>
              <w:rPr>
                <w:rFonts w:ascii="Times New Roman" w:hAnsi="Times New Roman" w:cs="Times New Roman"/>
                <w:sz w:val="24"/>
                <w:szCs w:val="24"/>
                <w:lang w:val="en-US"/>
              </w:rPr>
              <w:t>as</w:t>
            </w:r>
            <w:r w:rsidRPr="00080B54">
              <w:rPr>
                <w:rFonts w:ascii="Times New Roman" w:hAnsi="Times New Roman" w:cs="Times New Roman"/>
                <w:sz w:val="24"/>
                <w:szCs w:val="24"/>
                <w:lang w:val="en-US"/>
              </w:rPr>
              <w:t xml:space="preserve"> the price of electricity reach</w:t>
            </w:r>
            <w:r>
              <w:rPr>
                <w:rFonts w:ascii="Times New Roman" w:hAnsi="Times New Roman" w:cs="Times New Roman"/>
                <w:sz w:val="24"/>
                <w:szCs w:val="24"/>
                <w:lang w:val="en-US"/>
              </w:rPr>
              <w:t>es</w:t>
            </w:r>
            <w:r w:rsidRPr="00080B54">
              <w:rPr>
                <w:rFonts w:ascii="Times New Roman" w:hAnsi="Times New Roman" w:cs="Times New Roman"/>
                <w:sz w:val="24"/>
                <w:szCs w:val="24"/>
                <w:lang w:val="en-US"/>
              </w:rPr>
              <w:t xml:space="preserve"> 0.19 USD/kWh in Palestine, which is very high, compared to the neighboring countries where it is a</w:t>
            </w:r>
            <w:r>
              <w:rPr>
                <w:rFonts w:ascii="Times New Roman" w:hAnsi="Times New Roman" w:cs="Times New Roman"/>
                <w:sz w:val="24"/>
                <w:szCs w:val="24"/>
                <w:lang w:val="en-US"/>
              </w:rPr>
              <w:t>bout</w:t>
            </w:r>
            <w:r w:rsidRPr="00080B54">
              <w:rPr>
                <w:rFonts w:ascii="Times New Roman" w:hAnsi="Times New Roman" w:cs="Times New Roman"/>
                <w:sz w:val="24"/>
                <w:szCs w:val="24"/>
                <w:lang w:val="en-US"/>
              </w:rPr>
              <w:t xml:space="preserve"> 0.10 USD/kWh in Jordan and 0.14 USD/kWh worldwide </w:t>
            </w:r>
            <w:r>
              <w:rPr>
                <w:rFonts w:ascii="Times New Roman" w:hAnsi="Times New Roman" w:cs="Times New Roman"/>
                <w:sz w:val="24"/>
                <w:szCs w:val="24"/>
                <w:lang w:val="en-US"/>
              </w:rPr>
              <w:t>for the</w:t>
            </w:r>
            <w:r w:rsidRPr="00080B54">
              <w:rPr>
                <w:rFonts w:ascii="Times New Roman" w:hAnsi="Times New Roman" w:cs="Times New Roman"/>
                <w:sz w:val="24"/>
                <w:szCs w:val="24"/>
                <w:lang w:val="en-US"/>
              </w:rPr>
              <w:t xml:space="preserve"> year 2020.</w:t>
            </w:r>
          </w:p>
          <w:p w14:paraId="471CB1CD" w14:textId="77777777" w:rsidR="00FB1314" w:rsidRPr="00BF19E7" w:rsidRDefault="00FB1314" w:rsidP="006F7CF2">
            <w:pPr>
              <w:bidi w:val="0"/>
              <w:spacing w:after="0"/>
              <w:jc w:val="both"/>
              <w:rPr>
                <w:rFonts w:ascii="Times New Roman" w:hAnsi="Times New Roman" w:cs="Times New Roman"/>
                <w:sz w:val="24"/>
                <w:szCs w:val="24"/>
              </w:rPr>
            </w:pPr>
          </w:p>
          <w:p w14:paraId="32DDF14C" w14:textId="77777777" w:rsidR="00FB1314" w:rsidRPr="00080B54" w:rsidRDefault="00FB1314" w:rsidP="006F7CF2">
            <w:pPr>
              <w:bidi w:val="0"/>
              <w:spacing w:after="0"/>
              <w:jc w:val="both"/>
              <w:rPr>
                <w:rFonts w:ascii="Times New Roman" w:hAnsi="Times New Roman" w:cs="Times New Roman"/>
                <w:sz w:val="24"/>
                <w:szCs w:val="24"/>
                <w:lang w:val="en-US"/>
              </w:rPr>
            </w:pPr>
          </w:p>
        </w:tc>
      </w:tr>
      <w:tr w:rsidR="00FB1314" w14:paraId="10F2FC22" w14:textId="77777777" w:rsidTr="006F7CF2">
        <w:tc>
          <w:tcPr>
            <w:tcW w:w="1961" w:type="dxa"/>
          </w:tcPr>
          <w:p w14:paraId="229A3873" w14:textId="77777777" w:rsidR="00FB1314" w:rsidRDefault="00FB1314" w:rsidP="006F7CF2">
            <w:pPr>
              <w:pStyle w:val="ListParagraph"/>
              <w:ind w:left="0"/>
              <w:rPr>
                <w:rFonts w:asciiTheme="majorBidi" w:hAnsiTheme="majorBidi" w:cstheme="majorBidi"/>
                <w:sz w:val="24"/>
                <w:szCs w:val="24"/>
              </w:rPr>
            </w:pPr>
            <w:r w:rsidRPr="00DA2024">
              <w:rPr>
                <w:noProof/>
                <w:lang w:eastAsia="en-US"/>
              </w:rPr>
              <w:drawing>
                <wp:inline distT="0" distB="0" distL="0" distR="0" wp14:anchorId="6F21DA50" wp14:editId="00C1229B">
                  <wp:extent cx="1081405" cy="1081405"/>
                  <wp:effectExtent l="19050" t="0" r="4445" b="0"/>
                  <wp:docPr id="3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1"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117448D4" w14:textId="77777777" w:rsidR="00FB1314" w:rsidRPr="00080B54" w:rsidRDefault="00FB1314" w:rsidP="006F7CF2">
            <w:pPr>
              <w:bidi w:val="0"/>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The</w:t>
            </w:r>
            <w:r w:rsidRPr="00080B54">
              <w:rPr>
                <w:rFonts w:ascii="Times New Roman" w:hAnsi="Times New Roman" w:cs="Times New Roman"/>
                <w:sz w:val="24"/>
                <w:szCs w:val="24"/>
                <w:lang w:val="en-US"/>
              </w:rPr>
              <w:t xml:space="preserve"> rate of real GDP per capita for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overall world reach</w:t>
            </w:r>
            <w:r>
              <w:rPr>
                <w:rFonts w:ascii="Times New Roman" w:hAnsi="Times New Roman" w:cs="Times New Roman"/>
                <w:sz w:val="24"/>
                <w:szCs w:val="24"/>
                <w:lang w:val="en-US"/>
              </w:rPr>
              <w:t>ed-4.37</w:t>
            </w:r>
            <w:r w:rsidRPr="00080B54">
              <w:rPr>
                <w:rFonts w:ascii="Times New Roman" w:hAnsi="Times New Roman" w:cs="Times New Roman"/>
                <w:sz w:val="24"/>
                <w:szCs w:val="24"/>
                <w:lang w:val="en-US"/>
              </w:rPr>
              <w:t xml:space="preserve">% in </w:t>
            </w:r>
            <w:r>
              <w:rPr>
                <w:rFonts w:ascii="Times New Roman" w:hAnsi="Times New Roman" w:cs="Times New Roman"/>
                <w:sz w:val="24"/>
                <w:szCs w:val="24"/>
                <w:lang w:val="en-US"/>
              </w:rPr>
              <w:t>2020</w:t>
            </w:r>
            <w:r w:rsidRPr="00080B54">
              <w:rPr>
                <w:rFonts w:ascii="Times New Roman" w:hAnsi="Times New Roman" w:cs="Times New Roman"/>
                <w:sz w:val="24"/>
                <w:szCs w:val="24"/>
                <w:lang w:val="en-US"/>
              </w:rPr>
              <w:t>; whereas the real GDP per capita decreased for western Asia by 0.</w:t>
            </w:r>
            <w:r>
              <w:rPr>
                <w:rFonts w:ascii="Times New Roman" w:hAnsi="Times New Roman" w:cs="Times New Roman"/>
                <w:sz w:val="24"/>
                <w:szCs w:val="24"/>
                <w:lang w:val="en-US"/>
              </w:rPr>
              <w:t>56</w:t>
            </w:r>
            <w:r w:rsidRPr="00080B54">
              <w:rPr>
                <w:rFonts w:ascii="Times New Roman" w:hAnsi="Times New Roman" w:cs="Times New Roman"/>
                <w:sz w:val="24"/>
                <w:szCs w:val="24"/>
                <w:lang w:val="en-US"/>
              </w:rPr>
              <w:t xml:space="preserve">%. </w:t>
            </w:r>
          </w:p>
          <w:p w14:paraId="351AB792" w14:textId="77777777" w:rsidR="00FB131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The analysis by countries shows an annual growth rate of real GDP per capita reach</w:t>
            </w:r>
            <w:r>
              <w:rPr>
                <w:rFonts w:ascii="Times New Roman" w:hAnsi="Times New Roman" w:cs="Times New Roman"/>
                <w:sz w:val="24"/>
                <w:szCs w:val="24"/>
                <w:lang w:val="en-US"/>
              </w:rPr>
              <w:t>ing</w:t>
            </w:r>
            <w:r w:rsidRPr="00080B54">
              <w:rPr>
                <w:rFonts w:ascii="Times New Roman" w:hAnsi="Times New Roman" w:cs="Times New Roman"/>
                <w:sz w:val="24"/>
                <w:szCs w:val="24"/>
                <w:lang w:val="en-US"/>
              </w:rPr>
              <w:t xml:space="preserve"> -</w:t>
            </w:r>
            <w:r>
              <w:rPr>
                <w:rFonts w:ascii="Times New Roman" w:hAnsi="Times New Roman" w:cs="Times New Roman"/>
                <w:sz w:val="24"/>
                <w:szCs w:val="24"/>
                <w:lang w:val="en-US"/>
              </w:rPr>
              <w:t>13.54</w:t>
            </w:r>
            <w:r w:rsidRPr="00080B54">
              <w:rPr>
                <w:rFonts w:ascii="Times New Roman" w:hAnsi="Times New Roman" w:cs="Times New Roman"/>
                <w:sz w:val="24"/>
                <w:szCs w:val="24"/>
                <w:lang w:val="en-US"/>
              </w:rPr>
              <w:t>% in Palestine in 2020</w:t>
            </w:r>
            <w:r>
              <w:rPr>
                <w:rFonts w:ascii="Times New Roman" w:hAnsi="Times New Roman" w:cs="Times New Roman"/>
                <w:sz w:val="24"/>
                <w:szCs w:val="24"/>
                <w:lang w:val="en-US"/>
              </w:rPr>
              <w:t>;</w:t>
            </w:r>
            <w:r w:rsidRPr="00080B54">
              <w:rPr>
                <w:rFonts w:ascii="Times New Roman" w:hAnsi="Times New Roman" w:cs="Times New Roman"/>
                <w:sz w:val="24"/>
                <w:szCs w:val="24"/>
                <w:lang w:val="en-US"/>
              </w:rPr>
              <w:t xml:space="preserve"> it increased for other Arab courtiers to reach </w:t>
            </w:r>
            <w:r>
              <w:rPr>
                <w:rFonts w:ascii="Times New Roman" w:hAnsi="Times New Roman" w:cs="Times New Roman"/>
                <w:sz w:val="24"/>
                <w:szCs w:val="24"/>
                <w:lang w:val="en-US"/>
              </w:rPr>
              <w:t>1.59</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Egypt and </w:t>
            </w:r>
            <w:r>
              <w:rPr>
                <w:rFonts w:ascii="Times New Roman" w:hAnsi="Times New Roman" w:cs="Times New Roman"/>
                <w:sz w:val="24"/>
                <w:szCs w:val="24"/>
                <w:lang w:val="en-US"/>
              </w:rPr>
              <w:t>2.4</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 xml:space="preserve">Syrian Arab </w:t>
            </w:r>
            <w:r>
              <w:rPr>
                <w:rFonts w:ascii="Times New Roman" w:hAnsi="Times New Roman" w:cs="Times New Roman"/>
                <w:sz w:val="24"/>
                <w:szCs w:val="24"/>
                <w:lang w:val="en-US"/>
              </w:rPr>
              <w:t>R</w:t>
            </w:r>
            <w:r w:rsidRPr="00080B54">
              <w:rPr>
                <w:rFonts w:ascii="Times New Roman" w:hAnsi="Times New Roman" w:cs="Times New Roman"/>
                <w:sz w:val="24"/>
                <w:szCs w:val="24"/>
                <w:lang w:val="en-US"/>
              </w:rPr>
              <w:t>epublic, while the analysis show</w:t>
            </w:r>
            <w:r>
              <w:rPr>
                <w:rFonts w:ascii="Times New Roman" w:hAnsi="Times New Roman" w:cs="Times New Roman"/>
                <w:sz w:val="24"/>
                <w:szCs w:val="24"/>
                <w:lang w:val="en-US"/>
              </w:rPr>
              <w:t>s</w:t>
            </w:r>
            <w:r w:rsidRPr="00080B54">
              <w:rPr>
                <w:rFonts w:ascii="Times New Roman" w:hAnsi="Times New Roman" w:cs="Times New Roman"/>
                <w:sz w:val="24"/>
                <w:szCs w:val="24"/>
                <w:lang w:val="en-US"/>
              </w:rPr>
              <w:t xml:space="preserve"> a decrease in real GDP per</w:t>
            </w:r>
            <w:r>
              <w:rPr>
                <w:rFonts w:ascii="Times New Roman" w:hAnsi="Times New Roman" w:cs="Times New Roman"/>
                <w:sz w:val="24"/>
                <w:szCs w:val="24"/>
                <w:lang w:val="en-US"/>
              </w:rPr>
              <w:t xml:space="preserve"> capita in other Arab countries,</w:t>
            </w:r>
            <w:r w:rsidRPr="00080B54">
              <w:rPr>
                <w:rFonts w:ascii="Times New Roman" w:hAnsi="Times New Roman" w:cs="Times New Roman"/>
                <w:sz w:val="24"/>
                <w:szCs w:val="24"/>
                <w:lang w:val="en-US"/>
              </w:rPr>
              <w:t xml:space="preserve"> It decreased by </w:t>
            </w:r>
            <w:r>
              <w:rPr>
                <w:rFonts w:ascii="Times New Roman" w:hAnsi="Times New Roman" w:cs="Times New Roman"/>
                <w:sz w:val="24"/>
                <w:szCs w:val="24"/>
                <w:lang w:val="en-US"/>
              </w:rPr>
              <w:t>1.04</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Yemen, </w:t>
            </w:r>
            <w:r>
              <w:rPr>
                <w:rFonts w:ascii="Times New Roman" w:hAnsi="Times New Roman" w:cs="Times New Roman"/>
                <w:sz w:val="24"/>
                <w:szCs w:val="24"/>
                <w:lang w:val="en-US"/>
              </w:rPr>
              <w:t>-5.6</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Saudi Arabia, </w:t>
            </w:r>
            <w:r>
              <w:rPr>
                <w:rFonts w:ascii="Times New Roman" w:hAnsi="Times New Roman" w:cs="Times New Roman"/>
                <w:sz w:val="24"/>
                <w:szCs w:val="24"/>
                <w:lang w:val="en-US"/>
              </w:rPr>
              <w:t>-24.66</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Lebanon, </w:t>
            </w:r>
            <w:r>
              <w:rPr>
                <w:rFonts w:ascii="Times New Roman" w:hAnsi="Times New Roman" w:cs="Times New Roman"/>
                <w:sz w:val="24"/>
                <w:szCs w:val="24"/>
                <w:lang w:val="en-US"/>
              </w:rPr>
              <w:t>-7.27</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United Arab Emirates</w:t>
            </w:r>
            <w:r>
              <w:rPr>
                <w:rFonts w:ascii="Times New Roman" w:hAnsi="Times New Roman" w:cs="Times New Roman"/>
                <w:sz w:val="24"/>
                <w:szCs w:val="24"/>
                <w:lang w:val="en-US"/>
              </w:rPr>
              <w:t>,</w:t>
            </w:r>
            <w:r w:rsidRPr="00080B54">
              <w:rPr>
                <w:rFonts w:ascii="Times New Roman" w:hAnsi="Times New Roman" w:cs="Times New Roman"/>
                <w:sz w:val="24"/>
                <w:szCs w:val="24"/>
                <w:lang w:val="en-US"/>
              </w:rPr>
              <w:t xml:space="preserve"> and </w:t>
            </w:r>
            <w:r>
              <w:rPr>
                <w:rFonts w:ascii="Times New Roman" w:hAnsi="Times New Roman" w:cs="Times New Roman"/>
                <w:sz w:val="24"/>
                <w:szCs w:val="24"/>
                <w:lang w:val="en-US"/>
              </w:rPr>
              <w:t>-2.52</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Jordan.</w:t>
            </w:r>
          </w:p>
          <w:p w14:paraId="5D012B9D" w14:textId="77777777" w:rsidR="00FB1314" w:rsidRPr="00080B54" w:rsidRDefault="00FB1314" w:rsidP="006F7CF2">
            <w:pPr>
              <w:bidi w:val="0"/>
              <w:spacing w:after="0"/>
              <w:jc w:val="both"/>
              <w:rPr>
                <w:rFonts w:ascii="Times New Roman" w:hAnsi="Times New Roman" w:cs="Times New Roman"/>
                <w:sz w:val="24"/>
                <w:szCs w:val="24"/>
                <w:lang w:val="en-US"/>
              </w:rPr>
            </w:pPr>
          </w:p>
        </w:tc>
      </w:tr>
      <w:tr w:rsidR="00FB1314" w14:paraId="5C40441F" w14:textId="77777777" w:rsidTr="006F7CF2">
        <w:tc>
          <w:tcPr>
            <w:tcW w:w="1961" w:type="dxa"/>
          </w:tcPr>
          <w:p w14:paraId="54BF4C83" w14:textId="77777777" w:rsidR="00FB1314" w:rsidRDefault="00FB1314" w:rsidP="006F7CF2">
            <w:pPr>
              <w:pStyle w:val="ListParagraph"/>
              <w:ind w:left="0"/>
              <w:rPr>
                <w:rFonts w:asciiTheme="majorBidi" w:hAnsiTheme="majorBidi" w:cstheme="majorBidi"/>
                <w:sz w:val="24"/>
                <w:szCs w:val="24"/>
              </w:rPr>
            </w:pPr>
            <w:r w:rsidRPr="008128C6">
              <w:rPr>
                <w:noProof/>
                <w:color w:val="000000" w:themeColor="text1"/>
                <w:lang w:eastAsia="en-US"/>
              </w:rPr>
              <w:drawing>
                <wp:inline distT="0" distB="0" distL="0" distR="0" wp14:anchorId="0C594B62" wp14:editId="58ADB57C">
                  <wp:extent cx="1081405" cy="1081405"/>
                  <wp:effectExtent l="19050" t="0" r="4445" b="0"/>
                  <wp:docPr id="3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2"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49E72537"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The </w:t>
            </w:r>
            <w:r>
              <w:rPr>
                <w:rFonts w:ascii="Times New Roman" w:hAnsi="Times New Roman" w:cs="Times New Roman"/>
                <w:sz w:val="24"/>
                <w:szCs w:val="24"/>
                <w:lang w:val="en-US"/>
              </w:rPr>
              <w:t>m</w:t>
            </w:r>
            <w:r w:rsidRPr="00080B54">
              <w:rPr>
                <w:rFonts w:ascii="Times New Roman" w:hAnsi="Times New Roman" w:cs="Times New Roman"/>
                <w:sz w:val="24"/>
                <w:szCs w:val="24"/>
                <w:lang w:val="en-US"/>
              </w:rPr>
              <w:t xml:space="preserve">anufacturing value added as a proportion of GDP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 15.8% in the world in 2020, while in Western Asia </w:t>
            </w:r>
            <w:r>
              <w:rPr>
                <w:rFonts w:ascii="Times New Roman" w:hAnsi="Times New Roman" w:cs="Times New Roman"/>
                <w:sz w:val="24"/>
                <w:szCs w:val="24"/>
                <w:lang w:val="en-US"/>
              </w:rPr>
              <w:t>it reached</w:t>
            </w:r>
            <w:r w:rsidRPr="00080B54">
              <w:rPr>
                <w:rFonts w:ascii="Times New Roman" w:hAnsi="Times New Roman" w:cs="Times New Roman"/>
                <w:sz w:val="24"/>
                <w:szCs w:val="24"/>
                <w:lang w:val="en-US"/>
              </w:rPr>
              <w:t xml:space="preserve"> 12</w:t>
            </w:r>
            <w:r>
              <w:rPr>
                <w:rFonts w:ascii="Times New Roman" w:hAnsi="Times New Roman" w:cs="Times New Roman"/>
                <w:sz w:val="24"/>
                <w:szCs w:val="24"/>
                <w:lang w:val="en-US"/>
              </w:rPr>
              <w:t>.31</w:t>
            </w:r>
            <w:r w:rsidRPr="00080B54">
              <w:rPr>
                <w:rFonts w:ascii="Times New Roman" w:hAnsi="Times New Roman" w:cs="Times New Roman"/>
                <w:sz w:val="24"/>
                <w:szCs w:val="24"/>
                <w:lang w:val="en-US"/>
              </w:rPr>
              <w:t>%.</w:t>
            </w:r>
          </w:p>
          <w:p w14:paraId="438B90D6" w14:textId="77777777" w:rsidR="00FB1314" w:rsidRPr="00F54332"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It reached 11.</w:t>
            </w:r>
            <w:r>
              <w:rPr>
                <w:rFonts w:ascii="Times New Roman" w:hAnsi="Times New Roman" w:cs="Times New Roman"/>
                <w:sz w:val="24"/>
                <w:szCs w:val="24"/>
                <w:lang w:val="en-US"/>
              </w:rPr>
              <w:t>48</w:t>
            </w:r>
            <w:r w:rsidRPr="00080B54">
              <w:rPr>
                <w:rFonts w:ascii="Times New Roman" w:hAnsi="Times New Roman" w:cs="Times New Roman"/>
                <w:sz w:val="24"/>
                <w:szCs w:val="24"/>
                <w:lang w:val="en-US"/>
              </w:rPr>
              <w:t>% in Palestine, while 17.</w:t>
            </w:r>
            <w:r>
              <w:rPr>
                <w:rFonts w:ascii="Times New Roman" w:hAnsi="Times New Roman" w:cs="Times New Roman"/>
                <w:sz w:val="24"/>
                <w:szCs w:val="24"/>
                <w:lang w:val="en-US"/>
              </w:rPr>
              <w:t>27</w:t>
            </w:r>
            <w:r w:rsidRPr="00080B54">
              <w:rPr>
                <w:rFonts w:ascii="Times New Roman" w:hAnsi="Times New Roman" w:cs="Times New Roman"/>
                <w:sz w:val="24"/>
                <w:szCs w:val="24"/>
                <w:lang w:val="en-US"/>
              </w:rPr>
              <w:t xml:space="preserve">%in Jordan and </w:t>
            </w:r>
            <w:r>
              <w:rPr>
                <w:rFonts w:ascii="Times New Roman" w:hAnsi="Times New Roman" w:cs="Times New Roman"/>
                <w:sz w:val="24"/>
                <w:szCs w:val="24"/>
                <w:lang w:val="en-US"/>
              </w:rPr>
              <w:t>16.19</w:t>
            </w:r>
            <w:r w:rsidRPr="00080B54">
              <w:rPr>
                <w:rFonts w:ascii="Times New Roman" w:hAnsi="Times New Roman" w:cs="Times New Roman"/>
                <w:sz w:val="24"/>
                <w:szCs w:val="24"/>
                <w:lang w:val="en-US"/>
              </w:rPr>
              <w:t>% in Egypt</w:t>
            </w:r>
            <w:r>
              <w:rPr>
                <w:rFonts w:ascii="Times New Roman" w:hAnsi="Times New Roman" w:cs="Times New Roman"/>
                <w:sz w:val="24"/>
                <w:szCs w:val="24"/>
                <w:lang w:val="en-US"/>
              </w:rPr>
              <w:t>; therefore</w:t>
            </w:r>
            <w:r w:rsidRPr="00080B54">
              <w:rPr>
                <w:rFonts w:ascii="Times New Roman" w:hAnsi="Times New Roman" w:cs="Times New Roman"/>
                <w:sz w:val="24"/>
                <w:szCs w:val="24"/>
                <w:lang w:val="en-US"/>
              </w:rPr>
              <w:t xml:space="preserve">, the </w:t>
            </w:r>
            <w:r>
              <w:rPr>
                <w:rFonts w:ascii="Times New Roman" w:hAnsi="Times New Roman" w:cs="Times New Roman"/>
                <w:sz w:val="24"/>
                <w:szCs w:val="24"/>
                <w:lang w:val="en-US"/>
              </w:rPr>
              <w:t>m</w:t>
            </w:r>
            <w:r w:rsidRPr="00080B54">
              <w:rPr>
                <w:rFonts w:ascii="Times New Roman" w:hAnsi="Times New Roman" w:cs="Times New Roman"/>
                <w:sz w:val="24"/>
                <w:szCs w:val="24"/>
                <w:lang w:val="en-US"/>
              </w:rPr>
              <w:t>anufacturing value added as a proportion of GDP in Palestine is less than in these neighbor</w:t>
            </w:r>
            <w:r>
              <w:rPr>
                <w:rFonts w:ascii="Times New Roman" w:hAnsi="Times New Roman" w:cs="Times New Roman"/>
                <w:sz w:val="24"/>
                <w:szCs w:val="24"/>
                <w:lang w:val="en-US"/>
              </w:rPr>
              <w:t>ing countries</w:t>
            </w:r>
            <w:r w:rsidRPr="00080B54">
              <w:rPr>
                <w:rFonts w:ascii="Times New Roman" w:hAnsi="Times New Roman" w:cs="Times New Roman"/>
                <w:sz w:val="24"/>
                <w:szCs w:val="24"/>
                <w:lang w:val="en-US"/>
              </w:rPr>
              <w:t xml:space="preserve">. </w:t>
            </w:r>
          </w:p>
        </w:tc>
      </w:tr>
      <w:tr w:rsidR="00FB1314" w14:paraId="717DCE68" w14:textId="77777777" w:rsidTr="006F7CF2">
        <w:tc>
          <w:tcPr>
            <w:tcW w:w="1961" w:type="dxa"/>
          </w:tcPr>
          <w:p w14:paraId="2882460F"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1B1834F2" wp14:editId="0AB3F073">
                  <wp:extent cx="1081405" cy="1081405"/>
                  <wp:effectExtent l="19050" t="0" r="4445" b="0"/>
                  <wp:docPr id="4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3"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28C67D66" w14:textId="77777777" w:rsidR="00FB1314" w:rsidRPr="0033272F" w:rsidRDefault="00FB1314" w:rsidP="006F7CF2">
            <w:pPr>
              <w:bidi w:val="0"/>
              <w:spacing w:after="0"/>
              <w:jc w:val="both"/>
              <w:rPr>
                <w:rFonts w:ascii="Times New Roman" w:hAnsi="Times New Roman" w:cs="Times New Roman"/>
                <w:sz w:val="24"/>
                <w:szCs w:val="24"/>
              </w:rPr>
            </w:pPr>
            <w:r w:rsidRPr="00080B54">
              <w:rPr>
                <w:rFonts w:ascii="Times New Roman" w:hAnsi="Times New Roman" w:cs="Times New Roman"/>
                <w:sz w:val="24"/>
                <w:szCs w:val="24"/>
                <w:lang w:val="en-US"/>
              </w:rPr>
              <w:t>Decrease household expenditure share among the bottom 40% of the population out of total consumption at 9% in 2017 compared to 2009 as baseline year (in current prices)</w:t>
            </w:r>
            <w:r>
              <w:rPr>
                <w:rFonts w:ascii="Times New Roman" w:hAnsi="Times New Roman" w:cs="Times New Roman"/>
                <w:sz w:val="24"/>
                <w:szCs w:val="24"/>
                <w:lang w:val="en-US"/>
              </w:rPr>
              <w:t>.</w:t>
            </w:r>
          </w:p>
          <w:p w14:paraId="61C584A0"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303F134E" w14:textId="77777777" w:rsidTr="006F7CF2">
        <w:tc>
          <w:tcPr>
            <w:tcW w:w="1961" w:type="dxa"/>
          </w:tcPr>
          <w:p w14:paraId="02645549"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341C18A9" wp14:editId="34EADDAB">
                  <wp:extent cx="1065530" cy="1073150"/>
                  <wp:effectExtent l="19050" t="0" r="1270" b="0"/>
                  <wp:docPr id="4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4" cstate="print"/>
                          <a:srcRect/>
                          <a:stretch>
                            <a:fillRect/>
                          </a:stretch>
                        </pic:blipFill>
                        <pic:spPr bwMode="auto">
                          <a:xfrm>
                            <a:off x="0" y="0"/>
                            <a:ext cx="1065530" cy="1073150"/>
                          </a:xfrm>
                          <a:prstGeom prst="rect">
                            <a:avLst/>
                          </a:prstGeom>
                          <a:noFill/>
                          <a:ln w="9525">
                            <a:noFill/>
                            <a:miter lim="800000"/>
                            <a:headEnd/>
                            <a:tailEnd/>
                          </a:ln>
                        </pic:spPr>
                      </pic:pic>
                    </a:graphicData>
                  </a:graphic>
                </wp:inline>
              </w:drawing>
            </w:r>
          </w:p>
        </w:tc>
        <w:tc>
          <w:tcPr>
            <w:tcW w:w="8209" w:type="dxa"/>
            <w:shd w:val="clear" w:color="auto" w:fill="auto"/>
          </w:tcPr>
          <w:p w14:paraId="5E287B67" w14:textId="77777777" w:rsidR="00FB1314" w:rsidRDefault="00FB1314" w:rsidP="006F7CF2">
            <w:pPr>
              <w:bidi w:val="0"/>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The</w:t>
            </w:r>
            <w:r w:rsidRPr="002B203E">
              <w:rPr>
                <w:rFonts w:ascii="Times New Roman" w:hAnsi="Times New Roman" w:cs="Times New Roman"/>
                <w:sz w:val="24"/>
                <w:szCs w:val="24"/>
                <w:lang w:val="en-US"/>
              </w:rPr>
              <w:t xml:space="preserve"> total number of directly affected persons attributed to disasters per 100,000 persons of the population in Palestine was 6.3 in 2018 </w:t>
            </w:r>
            <w:r w:rsidRPr="00823449">
              <w:rPr>
                <w:rFonts w:ascii="Times New Roman" w:hAnsi="Times New Roman" w:cs="Times New Roman"/>
                <w:sz w:val="24"/>
                <w:szCs w:val="24"/>
                <w:lang w:val="en-US"/>
              </w:rPr>
              <w:t xml:space="preserve">compared </w:t>
            </w:r>
            <w:r>
              <w:rPr>
                <w:rFonts w:ascii="Times New Roman" w:hAnsi="Times New Roman" w:cs="Times New Roman"/>
                <w:sz w:val="24"/>
                <w:szCs w:val="24"/>
                <w:lang w:val="en-US"/>
              </w:rPr>
              <w:t>to</w:t>
            </w:r>
            <w:r w:rsidRPr="00823449">
              <w:rPr>
                <w:rFonts w:ascii="Times New Roman" w:hAnsi="Times New Roman" w:cs="Times New Roman"/>
                <w:sz w:val="24"/>
                <w:szCs w:val="24"/>
                <w:lang w:val="en-US"/>
              </w:rPr>
              <w:t xml:space="preserve"> 7.3 </w:t>
            </w:r>
            <w:r>
              <w:rPr>
                <w:rFonts w:ascii="Times New Roman" w:hAnsi="Times New Roman" w:cs="Times New Roman"/>
                <w:sz w:val="24"/>
                <w:szCs w:val="24"/>
                <w:lang w:val="en-US"/>
              </w:rPr>
              <w:t>in Jordan</w:t>
            </w:r>
            <w:r w:rsidRPr="00823449">
              <w:rPr>
                <w:rFonts w:ascii="Times New Roman" w:hAnsi="Times New Roman" w:cs="Times New Roman"/>
                <w:sz w:val="24"/>
                <w:szCs w:val="24"/>
                <w:lang w:val="en-US"/>
              </w:rPr>
              <w:t xml:space="preserve">; </w:t>
            </w:r>
          </w:p>
          <w:p w14:paraId="52130CDD" w14:textId="77777777" w:rsidR="00FB1314" w:rsidRDefault="00FB1314" w:rsidP="006F7CF2">
            <w:pPr>
              <w:bidi w:val="0"/>
              <w:spacing w:after="0"/>
              <w:jc w:val="both"/>
              <w:rPr>
                <w:rFonts w:ascii="Times New Roman" w:hAnsi="Times New Roman" w:cs="Times New Roman"/>
                <w:sz w:val="24"/>
                <w:szCs w:val="24"/>
                <w:lang w:val="en-US"/>
              </w:rPr>
            </w:pPr>
            <w:r w:rsidRPr="00823449">
              <w:rPr>
                <w:rFonts w:ascii="Times New Roman" w:hAnsi="Times New Roman" w:cs="Times New Roman"/>
                <w:sz w:val="24"/>
                <w:szCs w:val="24"/>
                <w:lang w:val="en-US"/>
              </w:rPr>
              <w:t>18.9 in Egypt, and one person in Lebanon in 2018.</w:t>
            </w:r>
          </w:p>
          <w:p w14:paraId="3FE16116" w14:textId="77777777" w:rsidR="00FB1314" w:rsidRPr="00AC3439" w:rsidRDefault="00FB1314" w:rsidP="006F7CF2">
            <w:pPr>
              <w:bidi w:val="0"/>
              <w:spacing w:after="0"/>
              <w:jc w:val="both"/>
              <w:rPr>
                <w:rFonts w:ascii="Times New Roman" w:hAnsi="Times New Roman" w:cs="Times New Roman"/>
                <w:sz w:val="24"/>
                <w:szCs w:val="24"/>
              </w:rPr>
            </w:pPr>
          </w:p>
          <w:p w14:paraId="44566AEC" w14:textId="77777777" w:rsidR="00FB1314" w:rsidRPr="00AC3439" w:rsidRDefault="00FB1314" w:rsidP="006F7CF2">
            <w:pPr>
              <w:bidi w:val="0"/>
              <w:spacing w:after="0"/>
              <w:jc w:val="both"/>
              <w:rPr>
                <w:rFonts w:ascii="Times New Roman" w:hAnsi="Times New Roman" w:cs="Times New Roman"/>
                <w:sz w:val="24"/>
                <w:szCs w:val="24"/>
              </w:rPr>
            </w:pPr>
          </w:p>
          <w:p w14:paraId="4250C915"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3DE96177" w14:textId="77777777" w:rsidTr="006F7CF2">
        <w:tc>
          <w:tcPr>
            <w:tcW w:w="1961" w:type="dxa"/>
          </w:tcPr>
          <w:p w14:paraId="7ED467A8" w14:textId="77777777" w:rsidR="00FB1314" w:rsidRDefault="00FB1314" w:rsidP="006F7CF2">
            <w:pPr>
              <w:pStyle w:val="ListParagraph"/>
              <w:ind w:left="0"/>
              <w:rPr>
                <w:rFonts w:asciiTheme="majorBidi" w:hAnsiTheme="majorBidi" w:cstheme="majorBidi"/>
                <w:sz w:val="24"/>
                <w:szCs w:val="24"/>
              </w:rPr>
            </w:pPr>
            <w:r>
              <w:rPr>
                <w:noProof/>
                <w:lang w:eastAsia="en-US"/>
              </w:rPr>
              <w:lastRenderedPageBreak/>
              <w:drawing>
                <wp:inline distT="0" distB="0" distL="0" distR="0" wp14:anchorId="3146AD88" wp14:editId="7F7C0E06">
                  <wp:extent cx="1097280" cy="1073150"/>
                  <wp:effectExtent l="19050" t="0" r="7620" b="0"/>
                  <wp:docPr id="4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5" cstate="print"/>
                          <a:srcRect/>
                          <a:stretch>
                            <a:fillRect/>
                          </a:stretch>
                        </pic:blipFill>
                        <pic:spPr bwMode="auto">
                          <a:xfrm>
                            <a:off x="0" y="0"/>
                            <a:ext cx="1097280" cy="1073150"/>
                          </a:xfrm>
                          <a:prstGeom prst="rect">
                            <a:avLst/>
                          </a:prstGeom>
                          <a:noFill/>
                          <a:ln w="9525">
                            <a:noFill/>
                            <a:miter lim="800000"/>
                            <a:headEnd/>
                            <a:tailEnd/>
                          </a:ln>
                        </pic:spPr>
                      </pic:pic>
                    </a:graphicData>
                  </a:graphic>
                </wp:inline>
              </w:drawing>
            </w:r>
          </w:p>
        </w:tc>
        <w:tc>
          <w:tcPr>
            <w:tcW w:w="8209" w:type="dxa"/>
          </w:tcPr>
          <w:p w14:paraId="35998D72"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Palestine signed the Stockholm Convention, which </w:t>
            </w:r>
            <w:r>
              <w:rPr>
                <w:rFonts w:ascii="Times New Roman" w:hAnsi="Times New Roman" w:cs="Times New Roman"/>
                <w:sz w:val="24"/>
                <w:szCs w:val="24"/>
                <w:lang w:val="en-US"/>
              </w:rPr>
              <w:t>became effective</w:t>
            </w:r>
            <w:r w:rsidRPr="00080B54">
              <w:rPr>
                <w:rFonts w:ascii="Times New Roman" w:hAnsi="Times New Roman" w:cs="Times New Roman"/>
                <w:sz w:val="24"/>
                <w:szCs w:val="24"/>
                <w:lang w:val="en-US"/>
              </w:rPr>
              <w:t xml:space="preserve"> by 2018, while in Jordan it entered into </w:t>
            </w:r>
            <w:r>
              <w:rPr>
                <w:rFonts w:ascii="Times New Roman" w:hAnsi="Times New Roman" w:cs="Times New Roman"/>
                <w:sz w:val="24"/>
                <w:szCs w:val="24"/>
                <w:lang w:val="en-US"/>
              </w:rPr>
              <w:t>effect</w:t>
            </w:r>
            <w:r w:rsidRPr="00080B54">
              <w:rPr>
                <w:rFonts w:ascii="Times New Roman" w:hAnsi="Times New Roman" w:cs="Times New Roman"/>
                <w:sz w:val="24"/>
                <w:szCs w:val="24"/>
                <w:lang w:val="en-US"/>
              </w:rPr>
              <w:t xml:space="preserve"> by 2005, whereas in Egypt and Lebanon it entered into </w:t>
            </w:r>
            <w:r>
              <w:rPr>
                <w:rFonts w:ascii="Times New Roman" w:hAnsi="Times New Roman" w:cs="Times New Roman"/>
                <w:sz w:val="24"/>
                <w:szCs w:val="24"/>
                <w:lang w:val="en-US"/>
              </w:rPr>
              <w:t>effect</w:t>
            </w:r>
            <w:r w:rsidRPr="00080B54">
              <w:rPr>
                <w:rFonts w:ascii="Times New Roman" w:hAnsi="Times New Roman" w:cs="Times New Roman"/>
                <w:sz w:val="24"/>
                <w:szCs w:val="24"/>
                <w:lang w:val="en-US"/>
              </w:rPr>
              <w:t xml:space="preserve"> by 2004</w:t>
            </w:r>
            <w:r>
              <w:rPr>
                <w:rFonts w:ascii="Times New Roman" w:hAnsi="Times New Roman" w:cs="Times New Roman"/>
                <w:sz w:val="24"/>
                <w:szCs w:val="24"/>
                <w:lang w:val="en-US"/>
              </w:rPr>
              <w:t>.</w:t>
            </w:r>
          </w:p>
          <w:p w14:paraId="5ED41A2A"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p w14:paraId="09FCAF9A" w14:textId="77777777" w:rsidR="00FB1314" w:rsidRPr="00080B54" w:rsidRDefault="00FB1314" w:rsidP="006F7CF2">
            <w:pPr>
              <w:jc w:val="right"/>
              <w:rPr>
                <w:rFonts w:ascii="Times New Roman" w:hAnsi="Times New Roman" w:cs="Times New Roman"/>
                <w:sz w:val="24"/>
                <w:szCs w:val="24"/>
                <w:lang w:val="en-US"/>
              </w:rPr>
            </w:pPr>
          </w:p>
        </w:tc>
      </w:tr>
      <w:tr w:rsidR="00FB1314" w14:paraId="03C08C33" w14:textId="77777777" w:rsidTr="006F7CF2">
        <w:tc>
          <w:tcPr>
            <w:tcW w:w="1961" w:type="dxa"/>
          </w:tcPr>
          <w:p w14:paraId="3D4CE6C0"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5532F14B" wp14:editId="1E5FA07E">
                  <wp:extent cx="1097280" cy="1081405"/>
                  <wp:effectExtent l="19050" t="0" r="7620" b="0"/>
                  <wp:docPr id="5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6" cstate="print"/>
                          <a:srcRect/>
                          <a:stretch>
                            <a:fillRect/>
                          </a:stretch>
                        </pic:blipFill>
                        <pic:spPr bwMode="auto">
                          <a:xfrm>
                            <a:off x="0" y="0"/>
                            <a:ext cx="1097280" cy="1081405"/>
                          </a:xfrm>
                          <a:prstGeom prst="rect">
                            <a:avLst/>
                          </a:prstGeom>
                          <a:noFill/>
                          <a:ln w="9525">
                            <a:noFill/>
                            <a:miter lim="800000"/>
                            <a:headEnd/>
                            <a:tailEnd/>
                          </a:ln>
                        </pic:spPr>
                      </pic:pic>
                    </a:graphicData>
                  </a:graphic>
                </wp:inline>
              </w:drawing>
            </w:r>
          </w:p>
        </w:tc>
        <w:tc>
          <w:tcPr>
            <w:tcW w:w="8209" w:type="dxa"/>
            <w:shd w:val="clear" w:color="auto" w:fill="auto"/>
          </w:tcPr>
          <w:p w14:paraId="4A3D2965" w14:textId="77777777" w:rsidR="00FB1314" w:rsidRDefault="00FB1314" w:rsidP="006F7CF2">
            <w:pPr>
              <w:autoSpaceDE w:val="0"/>
              <w:autoSpaceDN w:val="0"/>
              <w:bidi w:val="0"/>
              <w:adjustRightInd w:val="0"/>
              <w:spacing w:after="0" w:line="240" w:lineRule="auto"/>
              <w:jc w:val="both"/>
              <w:rPr>
                <w:rFonts w:ascii="Times New Roman" w:hAnsi="Times New Roman" w:cs="Times New Roman"/>
                <w:color w:val="000000" w:themeColor="text1"/>
                <w:sz w:val="24"/>
                <w:szCs w:val="24"/>
                <w:lang w:val="en-US"/>
              </w:rPr>
            </w:pPr>
            <w:r w:rsidRPr="00080B54">
              <w:rPr>
                <w:rFonts w:ascii="Times New Roman" w:hAnsi="Times New Roman" w:cs="Times New Roman"/>
                <w:color w:val="000000" w:themeColor="text1"/>
                <w:sz w:val="24"/>
                <w:szCs w:val="24"/>
                <w:lang w:val="en-US"/>
              </w:rPr>
              <w:t xml:space="preserve">The extent to which global citizenship education and education for sustainable development (including climate change education) in Palestine in 2020 is mainstreamed in national education policies reached 0.875, while it </w:t>
            </w:r>
            <w:r>
              <w:rPr>
                <w:rFonts w:ascii="Times New Roman" w:hAnsi="Times New Roman" w:cs="Times New Roman"/>
                <w:color w:val="000000" w:themeColor="text1"/>
                <w:sz w:val="24"/>
                <w:szCs w:val="24"/>
                <w:lang w:val="en-US"/>
              </w:rPr>
              <w:t>reached</w:t>
            </w:r>
            <w:r w:rsidRPr="00080B54">
              <w:rPr>
                <w:rFonts w:ascii="Times New Roman" w:hAnsi="Times New Roman" w:cs="Times New Roman"/>
                <w:color w:val="000000" w:themeColor="text1"/>
                <w:sz w:val="24"/>
                <w:szCs w:val="24"/>
                <w:lang w:val="en-US"/>
              </w:rPr>
              <w:t xml:space="preserve"> 0.708 for curricula, 0.800 for teacher education, and 0.833 for student assessment.</w:t>
            </w:r>
          </w:p>
          <w:p w14:paraId="2769D2C5" w14:textId="77777777" w:rsidR="00FB1314" w:rsidRPr="00AC3439" w:rsidRDefault="00FB1314" w:rsidP="006F7CF2">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1C7A98F"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0B28AAB8" w14:textId="77777777" w:rsidTr="006F7CF2">
        <w:tc>
          <w:tcPr>
            <w:tcW w:w="1961" w:type="dxa"/>
          </w:tcPr>
          <w:p w14:paraId="0CCF2B51" w14:textId="77777777" w:rsidR="00FB1314" w:rsidRDefault="00FB1314" w:rsidP="006F7CF2">
            <w:pPr>
              <w:pStyle w:val="ListParagraph"/>
              <w:ind w:left="0"/>
              <w:rPr>
                <w:rFonts w:asciiTheme="majorBidi" w:hAnsiTheme="majorBidi" w:cstheme="majorBidi"/>
                <w:sz w:val="24"/>
                <w:szCs w:val="24"/>
              </w:rPr>
            </w:pPr>
            <w:r w:rsidRPr="005112AD">
              <w:rPr>
                <w:noProof/>
                <w:lang w:eastAsia="en-US"/>
              </w:rPr>
              <w:drawing>
                <wp:inline distT="0" distB="0" distL="0" distR="0" wp14:anchorId="559CB7DF" wp14:editId="7846C564">
                  <wp:extent cx="1143000" cy="1114425"/>
                  <wp:effectExtent l="0" t="0" r="0" b="9525"/>
                  <wp:docPr id="54" name="Picture 54" descr="C:\Users\sibrahim\Desktop\Sustainable_Development_Goal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brahim\Desktop\Sustainable_Development_Goal_14.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0" cy="1114425"/>
                          </a:xfrm>
                          <a:prstGeom prst="rect">
                            <a:avLst/>
                          </a:prstGeom>
                          <a:noFill/>
                          <a:ln>
                            <a:noFill/>
                          </a:ln>
                        </pic:spPr>
                      </pic:pic>
                    </a:graphicData>
                  </a:graphic>
                </wp:inline>
              </w:drawing>
            </w:r>
          </w:p>
        </w:tc>
        <w:tc>
          <w:tcPr>
            <w:tcW w:w="8209" w:type="dxa"/>
          </w:tcPr>
          <w:p w14:paraId="02BD6B0A"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Intensive fishing cause</w:t>
            </w:r>
            <w:r>
              <w:rPr>
                <w:rFonts w:ascii="Times New Roman" w:hAnsi="Times New Roman" w:cs="Times New Roman"/>
                <w:sz w:val="24"/>
                <w:szCs w:val="24"/>
                <w:lang w:val="en-US"/>
              </w:rPr>
              <w:t>s</w:t>
            </w:r>
            <w:r w:rsidRPr="00080B54">
              <w:rPr>
                <w:rFonts w:ascii="Times New Roman" w:hAnsi="Times New Roman" w:cs="Times New Roman"/>
                <w:sz w:val="24"/>
                <w:szCs w:val="24"/>
                <w:lang w:val="en-US"/>
              </w:rPr>
              <w:t xml:space="preserve"> overfishing of the seas </w:t>
            </w:r>
            <w:r>
              <w:rPr>
                <w:rFonts w:ascii="Times New Roman" w:hAnsi="Times New Roman" w:cs="Times New Roman"/>
                <w:sz w:val="24"/>
                <w:szCs w:val="24"/>
                <w:lang w:val="en-US"/>
              </w:rPr>
              <w:t xml:space="preserve">leading to </w:t>
            </w:r>
            <w:r w:rsidRPr="00080B54">
              <w:rPr>
                <w:rFonts w:ascii="Times New Roman" w:hAnsi="Times New Roman" w:cs="Times New Roman"/>
                <w:sz w:val="24"/>
                <w:szCs w:val="24"/>
                <w:lang w:val="en-US"/>
              </w:rPr>
              <w:t>negative effects on the environment</w:t>
            </w:r>
            <w:r>
              <w:rPr>
                <w:rFonts w:ascii="Times New Roman" w:hAnsi="Times New Roman" w:cs="Times New Roman"/>
                <w:sz w:val="24"/>
                <w:szCs w:val="24"/>
                <w:lang w:val="en-US"/>
              </w:rPr>
              <w:t xml:space="preserve"> and p</w:t>
            </w:r>
            <w:r w:rsidRPr="00080B54">
              <w:rPr>
                <w:rFonts w:ascii="Times New Roman" w:hAnsi="Times New Roman" w:cs="Times New Roman"/>
                <w:sz w:val="24"/>
                <w:szCs w:val="24"/>
                <w:lang w:val="en-US"/>
              </w:rPr>
              <w:t>henomenon produced by climate changes such as water heating, rising sea levels, acidification, etc.</w:t>
            </w:r>
          </w:p>
          <w:p w14:paraId="37C02358" w14:textId="77777777" w:rsidR="00FB1314" w:rsidRPr="00080B54" w:rsidRDefault="00FB1314" w:rsidP="006F7CF2">
            <w:pPr>
              <w:pStyle w:val="ListParagraph"/>
              <w:ind w:left="0"/>
              <w:rPr>
                <w:rFonts w:ascii="Times New Roman" w:hAnsi="Times New Roman" w:cs="Times New Roman"/>
                <w:sz w:val="24"/>
                <w:szCs w:val="24"/>
                <w:lang w:val="en-US" w:eastAsia="en-US"/>
              </w:rPr>
            </w:pPr>
            <w:r w:rsidRPr="00080B54">
              <w:rPr>
                <w:rFonts w:ascii="Times New Roman" w:hAnsi="Times New Roman" w:cs="Times New Roman"/>
                <w:sz w:val="24"/>
                <w:szCs w:val="24"/>
                <w:lang w:val="en-US" w:eastAsia="en-US"/>
              </w:rPr>
              <w:t xml:space="preserve">The data shows that the total fisheries production in Palestine </w:t>
            </w:r>
            <w:r>
              <w:rPr>
                <w:rFonts w:ascii="Times New Roman" w:hAnsi="Times New Roman" w:cs="Times New Roman"/>
                <w:sz w:val="24"/>
                <w:szCs w:val="24"/>
                <w:lang w:val="en-US" w:eastAsia="en-US"/>
              </w:rPr>
              <w:t>reached</w:t>
            </w:r>
            <w:r w:rsidRPr="00080B54">
              <w:rPr>
                <w:rFonts w:ascii="Times New Roman" w:hAnsi="Times New Roman" w:cs="Times New Roman"/>
                <w:sz w:val="24"/>
                <w:szCs w:val="24"/>
                <w:lang w:val="en-US" w:eastAsia="en-US"/>
              </w:rPr>
              <w:t xml:space="preserve"> 3,950 metric ton</w:t>
            </w:r>
            <w:r>
              <w:rPr>
                <w:rFonts w:ascii="Times New Roman" w:hAnsi="Times New Roman" w:cs="Times New Roman"/>
                <w:sz w:val="24"/>
                <w:szCs w:val="24"/>
                <w:lang w:val="en-US" w:eastAsia="en-US"/>
              </w:rPr>
              <w:t>s</w:t>
            </w:r>
            <w:r w:rsidRPr="00080B54">
              <w:rPr>
                <w:rFonts w:ascii="Times New Roman" w:hAnsi="Times New Roman" w:cs="Times New Roman"/>
                <w:sz w:val="24"/>
                <w:szCs w:val="24"/>
                <w:lang w:val="en-US" w:eastAsia="en-US"/>
              </w:rPr>
              <w:t xml:space="preserve"> in 2018, compared with 3,483 metric ton</w:t>
            </w:r>
            <w:r>
              <w:rPr>
                <w:rFonts w:ascii="Times New Roman" w:hAnsi="Times New Roman" w:cs="Times New Roman"/>
                <w:sz w:val="24"/>
                <w:szCs w:val="24"/>
                <w:lang w:val="en-US" w:eastAsia="en-US"/>
              </w:rPr>
              <w:t>s</w:t>
            </w:r>
            <w:r w:rsidRPr="00080B54">
              <w:rPr>
                <w:rFonts w:ascii="Times New Roman" w:hAnsi="Times New Roman" w:cs="Times New Roman"/>
                <w:sz w:val="24"/>
                <w:szCs w:val="24"/>
                <w:lang w:val="en-US" w:eastAsia="en-US"/>
              </w:rPr>
              <w:t xml:space="preserve"> in 2015</w:t>
            </w:r>
            <w:r>
              <w:rPr>
                <w:rFonts w:ascii="Times New Roman" w:hAnsi="Times New Roman" w:cs="Times New Roman"/>
                <w:sz w:val="24"/>
                <w:szCs w:val="24"/>
                <w:lang w:val="en-US" w:eastAsia="en-US"/>
              </w:rPr>
              <w:t>.</w:t>
            </w:r>
          </w:p>
          <w:p w14:paraId="6118B019" w14:textId="77777777" w:rsidR="00FB1314" w:rsidRPr="00080B54" w:rsidRDefault="00FB1314" w:rsidP="006F7CF2">
            <w:pPr>
              <w:pStyle w:val="ListParagraph"/>
              <w:ind w:left="0"/>
              <w:rPr>
                <w:rFonts w:ascii="Times New Roman" w:hAnsi="Times New Roman" w:cs="Times New Roman"/>
                <w:sz w:val="24"/>
                <w:szCs w:val="24"/>
                <w:lang w:val="en-US" w:eastAsia="en-US"/>
              </w:rPr>
            </w:pPr>
          </w:p>
        </w:tc>
      </w:tr>
      <w:tr w:rsidR="00FB1314" w14:paraId="3A386CC5" w14:textId="77777777" w:rsidTr="006F7CF2">
        <w:tc>
          <w:tcPr>
            <w:tcW w:w="1961" w:type="dxa"/>
          </w:tcPr>
          <w:p w14:paraId="3229FD15"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4E0F964C" wp14:editId="4705BCF2">
                  <wp:extent cx="1081405" cy="1081405"/>
                  <wp:effectExtent l="19050" t="0" r="4445" b="0"/>
                  <wp:docPr id="5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8"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0FDED6DD"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The proportion of forest area</w:t>
            </w:r>
            <w:r>
              <w:rPr>
                <w:rFonts w:ascii="Times New Roman" w:hAnsi="Times New Roman" w:cs="Times New Roman"/>
                <w:sz w:val="24"/>
                <w:szCs w:val="24"/>
                <w:lang w:val="en-US"/>
              </w:rPr>
              <w:t>sreached</w:t>
            </w:r>
            <w:r w:rsidRPr="00080B54">
              <w:rPr>
                <w:rFonts w:ascii="Times New Roman" w:hAnsi="Times New Roman" w:cs="Times New Roman"/>
                <w:sz w:val="24"/>
                <w:szCs w:val="24"/>
                <w:lang w:val="en-US"/>
              </w:rPr>
              <w:t xml:space="preserve"> 1.68% </w:t>
            </w:r>
            <w:r>
              <w:rPr>
                <w:rFonts w:ascii="Times New Roman" w:hAnsi="Times New Roman" w:cs="Times New Roman"/>
                <w:sz w:val="24"/>
                <w:szCs w:val="24"/>
                <w:lang w:val="en-US"/>
              </w:rPr>
              <w:t>of</w:t>
            </w:r>
            <w:r w:rsidRPr="00080B54">
              <w:rPr>
                <w:rFonts w:ascii="Times New Roman" w:hAnsi="Times New Roman" w:cs="Times New Roman"/>
                <w:sz w:val="24"/>
                <w:szCs w:val="24"/>
                <w:lang w:val="en-US"/>
              </w:rPr>
              <w:t xml:space="preserve"> the land area in Palestine in </w:t>
            </w:r>
            <w:r w:rsidRPr="000F1F6A">
              <w:rPr>
                <w:rFonts w:ascii="Times New Roman" w:hAnsi="Times New Roman" w:cs="Times New Roman" w:hint="cs"/>
                <w:sz w:val="24"/>
                <w:szCs w:val="24"/>
                <w:rtl/>
              </w:rPr>
              <w:t>2020</w:t>
            </w:r>
            <w:r w:rsidRPr="00080B54">
              <w:rPr>
                <w:rFonts w:ascii="Times New Roman" w:hAnsi="Times New Roman" w:cs="Times New Roman"/>
                <w:sz w:val="24"/>
                <w:szCs w:val="24"/>
                <w:lang w:val="en-US"/>
              </w:rPr>
              <w:t xml:space="preserve">, in comparison </w:t>
            </w:r>
            <w:r>
              <w:rPr>
                <w:rFonts w:ascii="Times New Roman" w:hAnsi="Times New Roman" w:cs="Times New Roman"/>
                <w:sz w:val="24"/>
                <w:szCs w:val="24"/>
                <w:lang w:val="en-US"/>
              </w:rPr>
              <w:t>to</w:t>
            </w:r>
            <w:r w:rsidRPr="00080B54">
              <w:rPr>
                <w:rFonts w:ascii="Times New Roman" w:hAnsi="Times New Roman" w:cs="Times New Roman"/>
                <w:sz w:val="24"/>
                <w:szCs w:val="24"/>
                <w:lang w:val="en-US"/>
              </w:rPr>
              <w:t xml:space="preserve"> 1</w:t>
            </w:r>
            <w:r w:rsidRPr="000F1F6A">
              <w:rPr>
                <w:rFonts w:ascii="Times New Roman" w:hAnsi="Times New Roman" w:cs="Times New Roman" w:hint="cs"/>
                <w:sz w:val="24"/>
                <w:szCs w:val="24"/>
                <w:rtl/>
              </w:rPr>
              <w:t>4</w:t>
            </w:r>
            <w:r w:rsidRPr="00080B54">
              <w:rPr>
                <w:rFonts w:ascii="Times New Roman" w:hAnsi="Times New Roman" w:cs="Times New Roman"/>
                <w:sz w:val="24"/>
                <w:szCs w:val="24"/>
                <w:lang w:val="en-US"/>
              </w:rPr>
              <w:t>.</w:t>
            </w:r>
            <w:r w:rsidRPr="000F1F6A">
              <w:rPr>
                <w:rFonts w:ascii="Times New Roman" w:hAnsi="Times New Roman" w:cs="Times New Roman" w:hint="cs"/>
                <w:sz w:val="24"/>
                <w:szCs w:val="24"/>
                <w:rtl/>
              </w:rPr>
              <w:t>01</w:t>
            </w:r>
            <w:r w:rsidRPr="00080B54">
              <w:rPr>
                <w:rFonts w:ascii="Times New Roman" w:hAnsi="Times New Roman" w:cs="Times New Roman"/>
                <w:sz w:val="24"/>
                <w:szCs w:val="24"/>
                <w:lang w:val="en-US"/>
              </w:rPr>
              <w:t>% in Lebanon, 4.52% in Egypt, and 1.09% in Jordan during 2020.</w:t>
            </w:r>
          </w:p>
          <w:p w14:paraId="72E593A8"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p w14:paraId="6C5E76C9"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p w14:paraId="7EFFE671"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22723485" w14:textId="77777777" w:rsidTr="006F7CF2">
        <w:tc>
          <w:tcPr>
            <w:tcW w:w="1961" w:type="dxa"/>
          </w:tcPr>
          <w:p w14:paraId="21B194D0"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422E79DD" wp14:editId="0C05E6FC">
                  <wp:extent cx="1081405" cy="1081405"/>
                  <wp:effectExtent l="19050" t="0" r="4445" b="0"/>
                  <wp:docPr id="6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9"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34A6C1D6" w14:textId="47BADE9E" w:rsidR="00FB1314" w:rsidRDefault="00FB1314" w:rsidP="00A858A6">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The average number of homicide cases in Palestine reached </w:t>
            </w:r>
            <w:r w:rsidR="00A858A6">
              <w:rPr>
                <w:rFonts w:ascii="Times New Roman" w:hAnsi="Times New Roman" w:cs="Times New Roman"/>
                <w:sz w:val="24"/>
                <w:szCs w:val="24"/>
                <w:lang w:val="en-US"/>
              </w:rPr>
              <w:t>1.2</w:t>
            </w:r>
            <w:r w:rsidRPr="00080B54">
              <w:rPr>
                <w:rFonts w:ascii="Times New Roman" w:hAnsi="Times New Roman" w:cs="Times New Roman"/>
                <w:sz w:val="24"/>
                <w:szCs w:val="24"/>
                <w:lang w:val="en-US"/>
              </w:rPr>
              <w:t xml:space="preserve"> cases per 100,000 population in 2015. Moreover, this average decreased in the following years where it reached </w:t>
            </w:r>
            <w:r w:rsidR="00A858A6">
              <w:rPr>
                <w:rFonts w:ascii="Times New Roman" w:hAnsi="Times New Roman" w:cs="Times New Roman"/>
                <w:sz w:val="24"/>
                <w:szCs w:val="24"/>
                <w:lang w:val="en-US"/>
              </w:rPr>
              <w:t>0.9</w:t>
            </w:r>
            <w:r w:rsidRPr="00080B54">
              <w:rPr>
                <w:rFonts w:ascii="Times New Roman" w:hAnsi="Times New Roman" w:cs="Times New Roman"/>
                <w:sz w:val="24"/>
                <w:szCs w:val="24"/>
                <w:lang w:val="en-US"/>
              </w:rPr>
              <w:t xml:space="preserve"> cases in 2017, </w:t>
            </w:r>
            <w:r w:rsidR="00A858A6">
              <w:rPr>
                <w:rFonts w:ascii="Times New Roman" w:hAnsi="Times New Roman" w:cs="Times New Roman"/>
                <w:sz w:val="24"/>
                <w:szCs w:val="24"/>
                <w:lang w:val="en-US"/>
              </w:rPr>
              <w:t>0.6</w:t>
            </w:r>
            <w:r w:rsidRPr="00080B54">
              <w:rPr>
                <w:rFonts w:ascii="Times New Roman" w:hAnsi="Times New Roman" w:cs="Times New Roman"/>
                <w:sz w:val="24"/>
                <w:szCs w:val="24"/>
                <w:lang w:val="en-US"/>
              </w:rPr>
              <w:t xml:space="preserve"> in </w:t>
            </w:r>
            <w:r w:rsidR="00A858A6">
              <w:rPr>
                <w:rFonts w:ascii="Times New Roman" w:hAnsi="Times New Roman" w:cs="Times New Roman"/>
                <w:sz w:val="24"/>
                <w:szCs w:val="24"/>
                <w:lang w:val="en-US"/>
              </w:rPr>
              <w:t>2019</w:t>
            </w:r>
            <w:r w:rsidRPr="00080B54">
              <w:rPr>
                <w:rFonts w:ascii="Times New Roman" w:hAnsi="Times New Roman" w:cs="Times New Roman"/>
                <w:sz w:val="24"/>
                <w:szCs w:val="24"/>
                <w:lang w:val="en-US"/>
              </w:rPr>
              <w:t xml:space="preserve"> and </w:t>
            </w:r>
            <w:r w:rsidR="00A858A6">
              <w:rPr>
                <w:rFonts w:ascii="Times New Roman" w:hAnsi="Times New Roman" w:cs="Times New Roman"/>
                <w:sz w:val="24"/>
                <w:szCs w:val="24"/>
                <w:lang w:val="en-US"/>
              </w:rPr>
              <w:t>1.1</w:t>
            </w:r>
            <w:r w:rsidRPr="00080B54">
              <w:rPr>
                <w:rFonts w:ascii="Times New Roman" w:hAnsi="Times New Roman" w:cs="Times New Roman"/>
                <w:sz w:val="24"/>
                <w:szCs w:val="24"/>
                <w:lang w:val="en-US"/>
              </w:rPr>
              <w:t xml:space="preserve"> in </w:t>
            </w:r>
            <w:r w:rsidR="00A858A6">
              <w:rPr>
                <w:rFonts w:ascii="Times New Roman" w:hAnsi="Times New Roman" w:cs="Times New Roman"/>
                <w:sz w:val="24"/>
                <w:szCs w:val="24"/>
                <w:lang w:val="en-US"/>
              </w:rPr>
              <w:t>2022</w:t>
            </w:r>
            <w:r w:rsidRPr="00080B54">
              <w:rPr>
                <w:rFonts w:ascii="Times New Roman" w:hAnsi="Times New Roman" w:cs="Times New Roman"/>
                <w:sz w:val="24"/>
                <w:szCs w:val="24"/>
                <w:lang w:val="en-US"/>
              </w:rPr>
              <w:t xml:space="preserve"> (West Bank only).</w:t>
            </w:r>
          </w:p>
          <w:p w14:paraId="7C66F326" w14:textId="77777777" w:rsidR="00FB1314" w:rsidRDefault="00FB1314" w:rsidP="006F7CF2">
            <w:pPr>
              <w:bidi w:val="0"/>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In the </w:t>
            </w:r>
            <w:r w:rsidRPr="00080B54">
              <w:rPr>
                <w:rFonts w:ascii="Times New Roman" w:hAnsi="Times New Roman" w:cs="Times New Roman"/>
                <w:sz w:val="24"/>
                <w:szCs w:val="24"/>
                <w:lang w:val="en-US"/>
              </w:rPr>
              <w:t>neighboring countries,</w:t>
            </w:r>
            <w:r>
              <w:rPr>
                <w:rFonts w:ascii="Times New Roman" w:hAnsi="Times New Roman" w:cs="Times New Roman"/>
                <w:sz w:val="24"/>
                <w:szCs w:val="24"/>
                <w:lang w:val="en-US"/>
              </w:rPr>
              <w:t xml:space="preserve"> the </w:t>
            </w:r>
            <w:r w:rsidRPr="00080B54">
              <w:rPr>
                <w:rFonts w:ascii="Times New Roman" w:hAnsi="Times New Roman" w:cs="Times New Roman"/>
                <w:sz w:val="24"/>
                <w:szCs w:val="24"/>
                <w:lang w:val="en-US"/>
              </w:rPr>
              <w:t xml:space="preserve">number of homicide cases in </w:t>
            </w:r>
            <w:r>
              <w:rPr>
                <w:rFonts w:ascii="Times New Roman" w:hAnsi="Times New Roman" w:cs="Times New Roman"/>
                <w:sz w:val="24"/>
                <w:szCs w:val="24"/>
                <w:lang w:val="en-US"/>
              </w:rPr>
              <w:t>Lebanonwas about 2 cases per 100,000 population</w:t>
            </w:r>
            <w:r w:rsidRPr="00080B54">
              <w:rPr>
                <w:rFonts w:ascii="Times New Roman" w:hAnsi="Times New Roman" w:cs="Times New Roman"/>
                <w:sz w:val="24"/>
                <w:szCs w:val="24"/>
                <w:lang w:val="en-US"/>
              </w:rPr>
              <w:t>,</w:t>
            </w:r>
            <w:r>
              <w:rPr>
                <w:rFonts w:ascii="Times New Roman" w:hAnsi="Times New Roman" w:cs="Times New Roman"/>
                <w:sz w:val="24"/>
                <w:szCs w:val="24"/>
                <w:lang w:val="en-US"/>
              </w:rPr>
              <w:t>and in Jordan 1.2% cases in 2020.</w:t>
            </w:r>
          </w:p>
          <w:p w14:paraId="148AF2CA"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p w14:paraId="3190FE22"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3916429F" w14:textId="77777777" w:rsidTr="006F7CF2">
        <w:tc>
          <w:tcPr>
            <w:tcW w:w="1961" w:type="dxa"/>
          </w:tcPr>
          <w:p w14:paraId="1255A7D0" w14:textId="77777777" w:rsidR="00FB1314" w:rsidRDefault="00FB1314" w:rsidP="006F7CF2">
            <w:pPr>
              <w:pStyle w:val="ListParagraph"/>
              <w:ind w:left="0"/>
              <w:jc w:val="right"/>
              <w:rPr>
                <w:rFonts w:asciiTheme="majorBidi" w:hAnsiTheme="majorBidi" w:cstheme="majorBidi"/>
                <w:sz w:val="24"/>
                <w:szCs w:val="24"/>
              </w:rPr>
            </w:pPr>
            <w:r>
              <w:rPr>
                <w:noProof/>
                <w:lang w:eastAsia="en-US"/>
              </w:rPr>
              <w:drawing>
                <wp:inline distT="0" distB="0" distL="0" distR="0" wp14:anchorId="597B00E6" wp14:editId="5EDE6FF7">
                  <wp:extent cx="1121410" cy="1081405"/>
                  <wp:effectExtent l="19050" t="0" r="2540" b="0"/>
                  <wp:docPr id="7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30" cstate="print"/>
                          <a:srcRect/>
                          <a:stretch>
                            <a:fillRect/>
                          </a:stretch>
                        </pic:blipFill>
                        <pic:spPr bwMode="auto">
                          <a:xfrm>
                            <a:off x="0" y="0"/>
                            <a:ext cx="1121410" cy="1081405"/>
                          </a:xfrm>
                          <a:prstGeom prst="rect">
                            <a:avLst/>
                          </a:prstGeom>
                          <a:noFill/>
                          <a:ln w="9525">
                            <a:noFill/>
                            <a:miter lim="800000"/>
                            <a:headEnd/>
                            <a:tailEnd/>
                          </a:ln>
                        </pic:spPr>
                      </pic:pic>
                    </a:graphicData>
                  </a:graphic>
                </wp:inline>
              </w:drawing>
            </w:r>
          </w:p>
        </w:tc>
        <w:tc>
          <w:tcPr>
            <w:tcW w:w="8209" w:type="dxa"/>
          </w:tcPr>
          <w:p w14:paraId="7B1393B3"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The global analysis shows an improvement in the proportion of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 xml:space="preserve">domestic budget funded by domestic taxes for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 xml:space="preserve">overall world and it reached </w:t>
            </w:r>
            <w:r>
              <w:rPr>
                <w:rFonts w:ascii="Times New Roman" w:hAnsi="Times New Roman" w:cs="Times New Roman" w:hint="cs"/>
                <w:sz w:val="24"/>
                <w:szCs w:val="24"/>
                <w:rtl/>
              </w:rPr>
              <w:t>62</w:t>
            </w:r>
            <w:r w:rsidRPr="00080B54">
              <w:rPr>
                <w:rFonts w:ascii="Times New Roman" w:hAnsi="Times New Roman" w:cs="Times New Roman"/>
                <w:sz w:val="24"/>
                <w:szCs w:val="24"/>
                <w:lang w:val="en-US"/>
              </w:rPr>
              <w:t xml:space="preserve">% in </w:t>
            </w:r>
            <w:r>
              <w:rPr>
                <w:rFonts w:ascii="Times New Roman" w:hAnsi="Times New Roman" w:cs="Times New Roman" w:hint="cs"/>
                <w:sz w:val="24"/>
                <w:szCs w:val="24"/>
                <w:rtl/>
              </w:rPr>
              <w:t>2019</w:t>
            </w:r>
            <w:r w:rsidRPr="00080B54">
              <w:rPr>
                <w:rFonts w:ascii="Times New Roman" w:hAnsi="Times New Roman" w:cs="Times New Roman"/>
                <w:sz w:val="24"/>
                <w:szCs w:val="24"/>
                <w:lang w:val="en-US"/>
              </w:rPr>
              <w:t>. Additionally, the proportion of domestic budget funded by domestic taxes increased for Western Asia reach</w:t>
            </w:r>
            <w:r>
              <w:rPr>
                <w:rFonts w:ascii="Times New Roman" w:hAnsi="Times New Roman" w:cs="Times New Roman"/>
                <w:sz w:val="24"/>
                <w:szCs w:val="24"/>
                <w:lang w:val="en-US"/>
              </w:rPr>
              <w:t>ing</w:t>
            </w:r>
            <w:r>
              <w:rPr>
                <w:rFonts w:ascii="Times New Roman" w:hAnsi="Times New Roman" w:cs="Times New Roman" w:hint="cs"/>
                <w:sz w:val="24"/>
                <w:szCs w:val="24"/>
                <w:rtl/>
              </w:rPr>
              <w:t>47.5</w:t>
            </w:r>
            <w:r w:rsidRPr="00080B54">
              <w:rPr>
                <w:rFonts w:ascii="Times New Roman" w:hAnsi="Times New Roman" w:cs="Times New Roman"/>
                <w:sz w:val="24"/>
                <w:szCs w:val="24"/>
                <w:lang w:val="en-US"/>
              </w:rPr>
              <w:t xml:space="preserve">% in </w:t>
            </w:r>
            <w:r>
              <w:rPr>
                <w:rFonts w:ascii="Times New Roman" w:hAnsi="Times New Roman" w:cs="Times New Roman" w:hint="cs"/>
                <w:sz w:val="24"/>
                <w:szCs w:val="24"/>
                <w:rtl/>
              </w:rPr>
              <w:t>2019</w:t>
            </w:r>
            <w:r>
              <w:rPr>
                <w:rFonts w:ascii="Times New Roman" w:hAnsi="Times New Roman" w:cs="Times New Roman"/>
                <w:sz w:val="24"/>
                <w:szCs w:val="24"/>
                <w:lang w:val="en-US"/>
              </w:rPr>
              <w:t>, w</w:t>
            </w:r>
            <w:r w:rsidRPr="00B957E4">
              <w:rPr>
                <w:rFonts w:ascii="Times New Roman" w:hAnsi="Times New Roman" w:cs="Times New Roman"/>
                <w:sz w:val="24"/>
                <w:szCs w:val="24"/>
                <w:lang w:val="en-US"/>
              </w:rPr>
              <w:t>hile it reached 23.4</w:t>
            </w:r>
            <w:r>
              <w:rPr>
                <w:rFonts w:ascii="Times New Roman" w:hAnsi="Times New Roman" w:cs="Times New Roman"/>
                <w:sz w:val="24"/>
                <w:szCs w:val="24"/>
                <w:lang w:val="en-US"/>
              </w:rPr>
              <w:t>% in Palestine.</w:t>
            </w:r>
          </w:p>
        </w:tc>
      </w:tr>
    </w:tbl>
    <w:p w14:paraId="2606ACB3" w14:textId="77777777" w:rsidR="00FB1314" w:rsidRDefault="00FB1314" w:rsidP="00FB1314">
      <w:pPr>
        <w:pStyle w:val="ListParagraph"/>
        <w:rPr>
          <w:rFonts w:asciiTheme="majorBidi" w:hAnsiTheme="majorBidi" w:cstheme="majorBidi"/>
          <w:sz w:val="24"/>
          <w:szCs w:val="24"/>
        </w:rPr>
      </w:pPr>
    </w:p>
    <w:p w14:paraId="691C07D2" w14:textId="77777777" w:rsidR="00FB1314" w:rsidRDefault="00FB1314" w:rsidP="00FB1314">
      <w:pPr>
        <w:bidi w:val="0"/>
        <w:spacing w:after="0"/>
        <w:jc w:val="both"/>
        <w:rPr>
          <w:rFonts w:ascii="Times New Roman" w:hAnsi="Times New Roman" w:cs="Times New Roman"/>
          <w:sz w:val="24"/>
          <w:szCs w:val="24"/>
          <w:rtl/>
        </w:rPr>
      </w:pPr>
    </w:p>
    <w:p w14:paraId="7364F75A" w14:textId="77777777" w:rsidR="00FB1314" w:rsidRDefault="00FB1314" w:rsidP="00FB1314">
      <w:pPr>
        <w:bidi w:val="0"/>
        <w:spacing w:after="0"/>
        <w:jc w:val="both"/>
        <w:rPr>
          <w:rFonts w:ascii="Times New Roman" w:hAnsi="Times New Roman" w:cs="Times New Roman"/>
          <w:sz w:val="24"/>
          <w:szCs w:val="24"/>
        </w:rPr>
      </w:pPr>
    </w:p>
    <w:p w14:paraId="03721F66" w14:textId="77777777" w:rsidR="00FB1314" w:rsidRDefault="00FB1314" w:rsidP="00FB1314">
      <w:pPr>
        <w:bidi w:val="0"/>
        <w:spacing w:after="0"/>
        <w:jc w:val="both"/>
        <w:rPr>
          <w:rFonts w:ascii="Times New Roman" w:hAnsi="Times New Roman" w:cs="Times New Roman"/>
          <w:sz w:val="24"/>
          <w:szCs w:val="24"/>
          <w:rtl/>
        </w:rPr>
      </w:pPr>
    </w:p>
    <w:p w14:paraId="4C2B4E84" w14:textId="77777777" w:rsidR="00FB1314" w:rsidRDefault="00FB1314" w:rsidP="00FB1314">
      <w:pPr>
        <w:bidi w:val="0"/>
        <w:spacing w:after="0" w:line="240" w:lineRule="auto"/>
        <w:ind w:right="-334"/>
        <w:rPr>
          <w:rFonts w:ascii="Times New Roman" w:hAnsi="Times New Roman" w:cs="Times New Roman"/>
          <w:sz w:val="24"/>
          <w:szCs w:val="24"/>
          <w:lang w:eastAsia="ar-SA"/>
        </w:rPr>
        <w:sectPr w:rsidR="00FB1314" w:rsidSect="006F7CF2">
          <w:headerReference w:type="default" r:id="rId31"/>
          <w:footerReference w:type="default" r:id="rId32"/>
          <w:pgSz w:w="11906" w:h="16838"/>
          <w:pgMar w:top="1418" w:right="1418" w:bottom="1418" w:left="1418" w:header="709" w:footer="709" w:gutter="0"/>
          <w:pgNumType w:start="15"/>
          <w:cols w:space="708"/>
          <w:bidi/>
          <w:rtlGutter/>
          <w:docGrid w:linePitch="360"/>
        </w:sectPr>
      </w:pPr>
    </w:p>
    <w:p w14:paraId="346FFC37" w14:textId="77777777" w:rsidR="00FB1314" w:rsidRDefault="00FB1314" w:rsidP="00FB1314">
      <w:pPr>
        <w:bidi w:val="0"/>
        <w:spacing w:after="0" w:line="240" w:lineRule="auto"/>
        <w:rPr>
          <w:rFonts w:ascii="Times New Roman" w:hAnsi="Times New Roman" w:cs="Times New Roman"/>
          <w:b/>
          <w:bCs/>
          <w:sz w:val="28"/>
          <w:szCs w:val="28"/>
          <w:lang w:eastAsia="ar-SA"/>
        </w:rPr>
      </w:pPr>
      <w:r>
        <w:rPr>
          <w:rFonts w:ascii="Times New Roman" w:hAnsi="Times New Roman" w:cs="Times New Roman"/>
          <w:b/>
          <w:bCs/>
          <w:sz w:val="28"/>
          <w:szCs w:val="28"/>
          <w:lang w:eastAsia="ar-SA"/>
        </w:rPr>
        <w:lastRenderedPageBreak/>
        <w:br w:type="page"/>
      </w:r>
    </w:p>
    <w:p w14:paraId="472B90CA" w14:textId="77777777" w:rsidR="00FB1314" w:rsidRDefault="00FB1314" w:rsidP="00FB1314">
      <w:pPr>
        <w:bidi w:val="0"/>
        <w:spacing w:after="0" w:line="240" w:lineRule="auto"/>
        <w:ind w:right="-334"/>
        <w:jc w:val="center"/>
        <w:rPr>
          <w:rFonts w:ascii="Times New Roman" w:hAnsi="Times New Roman" w:cs="Times New Roman"/>
          <w:b/>
          <w:bCs/>
          <w:sz w:val="28"/>
          <w:szCs w:val="28"/>
          <w:rtl/>
        </w:rPr>
      </w:pPr>
      <w:r w:rsidRPr="00FF1839">
        <w:rPr>
          <w:rFonts w:ascii="Times New Roman" w:hAnsi="Times New Roman" w:cs="Times New Roman"/>
          <w:b/>
          <w:bCs/>
          <w:sz w:val="28"/>
          <w:szCs w:val="28"/>
          <w:lang w:eastAsia="ar-SA"/>
        </w:rPr>
        <w:lastRenderedPageBreak/>
        <w:t>Chapter</w:t>
      </w:r>
      <w:r w:rsidRPr="00FF1839">
        <w:rPr>
          <w:rFonts w:ascii="Times New Roman" w:hAnsi="Times New Roman" w:cs="Times New Roman"/>
          <w:b/>
          <w:bCs/>
          <w:sz w:val="28"/>
          <w:szCs w:val="28"/>
        </w:rPr>
        <w:t xml:space="preserve"> Two</w:t>
      </w:r>
    </w:p>
    <w:p w14:paraId="6D5E61CF" w14:textId="77777777" w:rsidR="003E4285" w:rsidRDefault="003E4285" w:rsidP="003E4285">
      <w:pPr>
        <w:bidi w:val="0"/>
        <w:spacing w:after="0" w:line="240" w:lineRule="auto"/>
        <w:ind w:right="-334"/>
        <w:jc w:val="center"/>
        <w:rPr>
          <w:rFonts w:ascii="Times New Roman" w:hAnsi="Times New Roman" w:cs="Times New Roman"/>
          <w:b/>
          <w:bCs/>
          <w:sz w:val="28"/>
          <w:szCs w:val="28"/>
        </w:rPr>
      </w:pPr>
    </w:p>
    <w:p w14:paraId="58DB2687" w14:textId="77777777" w:rsidR="00FB1314" w:rsidRPr="00863FB8" w:rsidRDefault="00863FB8" w:rsidP="00FB1314">
      <w:pPr>
        <w:bidi w:val="0"/>
        <w:spacing w:after="0" w:line="240" w:lineRule="auto"/>
        <w:ind w:right="-334"/>
        <w:jc w:val="center"/>
        <w:rPr>
          <w:rFonts w:ascii="Times New Roman" w:hAnsi="Times New Roman" w:cs="Times New Roman"/>
          <w:b/>
          <w:bCs/>
          <w:sz w:val="28"/>
          <w:szCs w:val="28"/>
          <w:rtl/>
          <w:lang w:eastAsia="ar-SA"/>
        </w:rPr>
      </w:pPr>
      <w:r w:rsidRPr="00863FB8">
        <w:rPr>
          <w:rFonts w:ascii="Times New Roman" w:hAnsi="Times New Roman" w:cs="Times New Roman"/>
          <w:b/>
          <w:bCs/>
          <w:sz w:val="28"/>
          <w:szCs w:val="28"/>
          <w:lang w:eastAsia="ar-SA"/>
        </w:rPr>
        <w:t>International and regional processes in SDGs</w:t>
      </w:r>
    </w:p>
    <w:p w14:paraId="6A61EB46" w14:textId="77777777" w:rsidR="00863FB8" w:rsidRPr="00FF1839" w:rsidRDefault="00863FB8" w:rsidP="00863FB8">
      <w:pPr>
        <w:bidi w:val="0"/>
        <w:spacing w:after="0" w:line="240" w:lineRule="auto"/>
        <w:ind w:right="-334"/>
        <w:jc w:val="center"/>
        <w:rPr>
          <w:rFonts w:ascii="Times New Roman" w:hAnsi="Times New Roman" w:cs="Times New Roman"/>
          <w:b/>
          <w:bCs/>
          <w:sz w:val="28"/>
          <w:szCs w:val="28"/>
        </w:rPr>
      </w:pPr>
    </w:p>
    <w:p w14:paraId="498BBB4A" w14:textId="77777777" w:rsidR="00FB1314" w:rsidRPr="006131C7" w:rsidRDefault="00FB1314" w:rsidP="00FB1314">
      <w:pPr>
        <w:bidi w:val="0"/>
        <w:spacing w:after="0" w:line="240" w:lineRule="auto"/>
        <w:ind w:right="-334"/>
        <w:jc w:val="center"/>
        <w:rPr>
          <w:rFonts w:ascii="Times New Roman" w:hAnsi="Times New Roman" w:cs="Times New Roman"/>
          <w:b/>
          <w:bCs/>
          <w:sz w:val="24"/>
          <w:szCs w:val="20"/>
          <w:u w:val="single"/>
        </w:rPr>
      </w:pPr>
    </w:p>
    <w:p w14:paraId="109CDE14" w14:textId="77777777" w:rsidR="00FB1314" w:rsidRPr="00FF1839" w:rsidRDefault="00FB1314" w:rsidP="00863FB8">
      <w:pPr>
        <w:pStyle w:val="ListParagraph"/>
        <w:ind w:left="360"/>
        <w:rPr>
          <w:rFonts w:asciiTheme="majorBidi" w:hAnsiTheme="majorBidi" w:cstheme="majorBidi"/>
          <w:b/>
          <w:bCs/>
          <w:sz w:val="24"/>
          <w:szCs w:val="24"/>
        </w:rPr>
      </w:pPr>
      <w:r w:rsidRPr="00FF1839">
        <w:rPr>
          <w:rFonts w:asciiTheme="majorBidi" w:hAnsiTheme="majorBidi" w:cstheme="majorBidi"/>
          <w:b/>
          <w:bCs/>
          <w:sz w:val="24"/>
          <w:szCs w:val="24"/>
        </w:rPr>
        <w:t>The evolution of the global implementation process of the Agenda 2030</w:t>
      </w:r>
    </w:p>
    <w:p w14:paraId="6D0050B9" w14:textId="77777777" w:rsidR="00FB1314" w:rsidRDefault="00FB1314" w:rsidP="00FB1314">
      <w:pPr>
        <w:pStyle w:val="ListParagraph"/>
        <w:ind w:left="360"/>
        <w:rPr>
          <w:rFonts w:asciiTheme="majorBidi" w:hAnsiTheme="majorBidi" w:cstheme="majorBidi"/>
          <w:sz w:val="24"/>
          <w:szCs w:val="24"/>
        </w:rPr>
      </w:pPr>
    </w:p>
    <w:p w14:paraId="4025B089"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At the regional level, statistics and data in support of the 2030 Agenda for Sustainable Development are addressed by a number of regional statistical agencies. The League of Arab States focuses on specific regional sets of statistical indicators related to the Sustainable Development Goals, primarily in the area of natural resources and environment</w:t>
      </w:r>
      <w:r>
        <w:rPr>
          <w:rFonts w:ascii="Times New Roman" w:hAnsi="Times New Roman" w:cs="Times New Roman"/>
          <w:sz w:val="24"/>
          <w:szCs w:val="24"/>
        </w:rPr>
        <w:t>.I</w:t>
      </w:r>
      <w:r w:rsidRPr="00F4487D">
        <w:rPr>
          <w:rFonts w:ascii="Times New Roman" w:hAnsi="Times New Roman" w:cs="Times New Roman"/>
          <w:sz w:val="24"/>
          <w:szCs w:val="24"/>
        </w:rPr>
        <w:t xml:space="preserve">n this effort LAS cooperated with regional UN structures such as UNEP and ESCWA to identify the Arab region indicators. </w:t>
      </w:r>
      <w:r>
        <w:rPr>
          <w:rFonts w:ascii="Times New Roman" w:hAnsi="Times New Roman" w:cs="Times New Roman"/>
          <w:sz w:val="24"/>
          <w:szCs w:val="24"/>
        </w:rPr>
        <w:t xml:space="preserve">As follow-up, the </w:t>
      </w:r>
      <w:r w:rsidRPr="00F4487D">
        <w:rPr>
          <w:rFonts w:ascii="Times New Roman" w:hAnsi="Times New Roman" w:cs="Times New Roman"/>
          <w:sz w:val="24"/>
          <w:szCs w:val="24"/>
        </w:rPr>
        <w:t xml:space="preserve">Arab </w:t>
      </w:r>
      <w:r>
        <w:rPr>
          <w:rFonts w:ascii="Times New Roman" w:hAnsi="Times New Roman" w:cs="Times New Roman"/>
          <w:sz w:val="24"/>
          <w:szCs w:val="24"/>
        </w:rPr>
        <w:t>L</w:t>
      </w:r>
      <w:r w:rsidRPr="00F4487D">
        <w:rPr>
          <w:rFonts w:ascii="Times New Roman" w:hAnsi="Times New Roman" w:cs="Times New Roman"/>
          <w:sz w:val="24"/>
          <w:szCs w:val="24"/>
        </w:rPr>
        <w:t>eague will lead a significant event entitle</w:t>
      </w:r>
      <w:r>
        <w:rPr>
          <w:rFonts w:ascii="Times New Roman" w:hAnsi="Times New Roman" w:cs="Times New Roman"/>
          <w:sz w:val="24"/>
          <w:szCs w:val="24"/>
        </w:rPr>
        <w:t>d</w:t>
      </w:r>
      <w:r w:rsidRPr="00F4487D">
        <w:rPr>
          <w:rFonts w:ascii="Times New Roman" w:hAnsi="Times New Roman" w:cs="Times New Roman"/>
          <w:sz w:val="24"/>
          <w:szCs w:val="24"/>
        </w:rPr>
        <w:t xml:space="preserve"> the “Arab Week for Sustainable </w:t>
      </w:r>
      <w:r>
        <w:rPr>
          <w:rFonts w:ascii="Times New Roman" w:hAnsi="Times New Roman" w:cs="Times New Roman"/>
          <w:sz w:val="24"/>
          <w:szCs w:val="24"/>
        </w:rPr>
        <w:t>D</w:t>
      </w:r>
      <w:r w:rsidRPr="00F4487D">
        <w:rPr>
          <w:rFonts w:ascii="Times New Roman" w:hAnsi="Times New Roman" w:cs="Times New Roman"/>
          <w:sz w:val="24"/>
          <w:szCs w:val="24"/>
        </w:rPr>
        <w:t>evelopment” in cooperation with Egypt as host with the contribution of governmental and non-governmental sectors from the Arab countries.</w:t>
      </w:r>
    </w:p>
    <w:p w14:paraId="00F23DD5"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683AC17C"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Following up on the Cape Town Global Plan of Action, the Statistical Committee of ESCWA, composed of the chief statisticians of 18 member states, adopted the Arab Regional Action Plan for Sustainable Development Data structured around the six strategic areas delineated in the Global Plan of Action:</w:t>
      </w:r>
    </w:p>
    <w:p w14:paraId="311D993A"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1: </w:t>
      </w:r>
      <w:r w:rsidRPr="00F4487D">
        <w:rPr>
          <w:rFonts w:ascii="Times New Roman" w:hAnsi="Times New Roman" w:cs="Times New Roman"/>
          <w:sz w:val="24"/>
          <w:szCs w:val="24"/>
        </w:rPr>
        <w:tab/>
        <w:t>Coordination and strategic leadership on data for sustainable development</w:t>
      </w:r>
    </w:p>
    <w:p w14:paraId="578C0994"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2: </w:t>
      </w:r>
      <w:r w:rsidRPr="00F4487D">
        <w:rPr>
          <w:rFonts w:ascii="Times New Roman" w:hAnsi="Times New Roman" w:cs="Times New Roman"/>
          <w:sz w:val="24"/>
          <w:szCs w:val="24"/>
        </w:rPr>
        <w:tab/>
        <w:t>Innovation and modernization of national statistical systems</w:t>
      </w:r>
    </w:p>
    <w:p w14:paraId="325865DB"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3: </w:t>
      </w:r>
      <w:r w:rsidRPr="00F4487D">
        <w:rPr>
          <w:rFonts w:ascii="Times New Roman" w:hAnsi="Times New Roman" w:cs="Times New Roman"/>
          <w:sz w:val="24"/>
          <w:szCs w:val="24"/>
        </w:rPr>
        <w:tab/>
        <w:t>Strengthen basic statistical activities and programs, with particular focus on addressing the monitoring needs of the 2030 Agenda</w:t>
      </w:r>
    </w:p>
    <w:p w14:paraId="04485C67"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4: </w:t>
      </w:r>
      <w:r w:rsidRPr="00F4487D">
        <w:rPr>
          <w:rFonts w:ascii="Times New Roman" w:hAnsi="Times New Roman" w:cs="Times New Roman"/>
          <w:sz w:val="24"/>
          <w:szCs w:val="24"/>
        </w:rPr>
        <w:tab/>
        <w:t>Dissemination and use of sustainable development data</w:t>
      </w:r>
    </w:p>
    <w:p w14:paraId="670D86B9"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5: </w:t>
      </w:r>
      <w:r w:rsidRPr="00F4487D">
        <w:rPr>
          <w:rFonts w:ascii="Times New Roman" w:hAnsi="Times New Roman" w:cs="Times New Roman"/>
          <w:sz w:val="24"/>
          <w:szCs w:val="24"/>
        </w:rPr>
        <w:tab/>
        <w:t>Multi-stakeholder partnerships for sustainable development data</w:t>
      </w:r>
    </w:p>
    <w:p w14:paraId="0CF666F7"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6: </w:t>
      </w:r>
      <w:r w:rsidRPr="00F4487D">
        <w:rPr>
          <w:rFonts w:ascii="Times New Roman" w:hAnsi="Times New Roman" w:cs="Times New Roman"/>
          <w:sz w:val="24"/>
          <w:szCs w:val="24"/>
        </w:rPr>
        <w:tab/>
        <w:t>Mobilize resources and coordinate efforts for statistical capacity-building</w:t>
      </w:r>
    </w:p>
    <w:p w14:paraId="63D8B997" w14:textId="77777777" w:rsidR="00FB1314" w:rsidRPr="00206211" w:rsidRDefault="00FB1314" w:rsidP="00FB1314">
      <w:pPr>
        <w:bidi w:val="0"/>
        <w:spacing w:after="0" w:line="240" w:lineRule="auto"/>
        <w:jc w:val="both"/>
        <w:rPr>
          <w:rFonts w:ascii="Times New Roman" w:hAnsi="Times New Roman" w:cs="Times New Roman"/>
          <w:sz w:val="24"/>
          <w:szCs w:val="24"/>
        </w:rPr>
      </w:pPr>
    </w:p>
    <w:p w14:paraId="0C54C7FA"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In the strategic area of innovation,</w:t>
      </w:r>
      <w:r w:rsidRPr="00F4487D">
        <w:rPr>
          <w:rFonts w:ascii="Times New Roman" w:hAnsi="Times New Roman" w:cs="Times New Roman"/>
          <w:sz w:val="24"/>
          <w:szCs w:val="24"/>
        </w:rPr>
        <w:t xml:space="preserve"> the UN and other regional agencies progressed significantly in sharing SDG data and in respecting the agreed concept data flows and custodian agencies.  In this respect, internationally published data </w:t>
      </w:r>
      <w:r>
        <w:rPr>
          <w:rFonts w:ascii="Times New Roman" w:hAnsi="Times New Roman" w:cs="Times New Roman"/>
          <w:sz w:val="24"/>
          <w:szCs w:val="24"/>
        </w:rPr>
        <w:t>is</w:t>
      </w:r>
      <w:r w:rsidRPr="00F4487D">
        <w:rPr>
          <w:rFonts w:ascii="Times New Roman" w:hAnsi="Times New Roman" w:cs="Times New Roman"/>
          <w:sz w:val="24"/>
          <w:szCs w:val="24"/>
        </w:rPr>
        <w:t xml:space="preserve"> consistent with the central UN SDG database. The Arab region progressed in the use of technology in data collection and in the integration of a geospatial dimension.  Census and household surveys in all Arab states benefit</w:t>
      </w:r>
      <w:r>
        <w:rPr>
          <w:rFonts w:ascii="Times New Roman" w:hAnsi="Times New Roman" w:cs="Times New Roman"/>
          <w:sz w:val="24"/>
          <w:szCs w:val="24"/>
        </w:rPr>
        <w:t xml:space="preserve">edfrom </w:t>
      </w:r>
      <w:r w:rsidRPr="00F4487D">
        <w:rPr>
          <w:rFonts w:ascii="Times New Roman" w:hAnsi="Times New Roman" w:cs="Times New Roman"/>
          <w:sz w:val="24"/>
          <w:szCs w:val="24"/>
        </w:rPr>
        <w:t>these approaches.</w:t>
      </w:r>
    </w:p>
    <w:p w14:paraId="2B886770"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2AF4EE35"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In the strategic area of strengthening basic statistical activities and programmes,</w:t>
      </w:r>
      <w:r w:rsidRPr="00F4487D">
        <w:rPr>
          <w:rFonts w:ascii="Times New Roman" w:hAnsi="Times New Roman" w:cs="Times New Roman"/>
          <w:sz w:val="24"/>
          <w:szCs w:val="24"/>
        </w:rPr>
        <w:t xml:space="preserve"> the region took a lead in several undertakings related to economic statistics.  Harmonization of statistics on Islamic finance in the System of National Accounts provides for a more appropriate and unified interpretation of data on Islamic banking, and mapping of the Islamic banking concepts to the </w:t>
      </w:r>
      <w:r>
        <w:rPr>
          <w:rFonts w:ascii="Times New Roman" w:hAnsi="Times New Roman" w:cs="Times New Roman"/>
          <w:sz w:val="24"/>
          <w:szCs w:val="24"/>
        </w:rPr>
        <w:t xml:space="preserve">SNA </w:t>
      </w:r>
      <w:r w:rsidRPr="00F4487D">
        <w:rPr>
          <w:rFonts w:ascii="Times New Roman" w:hAnsi="Times New Roman" w:cs="Times New Roman"/>
          <w:sz w:val="24"/>
          <w:szCs w:val="24"/>
        </w:rPr>
        <w:t>concepts.  Furthermore, the Arab region leads innovative approaches in the International Comparison Programme (ICP) that harmonize and integrates data collection for the ICP and the Consumer Price Index (CPI), regularizes availability of purchasing power parities data with annual periodicity</w:t>
      </w:r>
      <w:r>
        <w:rPr>
          <w:rFonts w:ascii="Times New Roman" w:hAnsi="Times New Roman" w:cs="Times New Roman"/>
          <w:sz w:val="24"/>
          <w:szCs w:val="24"/>
        </w:rPr>
        <w:t>,</w:t>
      </w:r>
      <w:r w:rsidRPr="00F4487D">
        <w:rPr>
          <w:rFonts w:ascii="Times New Roman" w:hAnsi="Times New Roman" w:cs="Times New Roman"/>
          <w:sz w:val="24"/>
          <w:szCs w:val="24"/>
        </w:rPr>
        <w:t xml:space="preserve"> and promotes calculation of the sub-national purchasing power parities. This programme contributes directly to statistics and data on SDGs 1 (poverty eradication), 2 (zero hunger), 3 (good health and well-being), 4 (quality education), 7 (affordable and clean energy), 8 (decent </w:t>
      </w:r>
      <w:r w:rsidRPr="00F4487D">
        <w:rPr>
          <w:rFonts w:ascii="Times New Roman" w:hAnsi="Times New Roman" w:cs="Times New Roman"/>
          <w:sz w:val="24"/>
          <w:szCs w:val="24"/>
        </w:rPr>
        <w:lastRenderedPageBreak/>
        <w:t>work and economic growth), 9 (</w:t>
      </w:r>
      <w:r>
        <w:rPr>
          <w:rFonts w:ascii="Times New Roman" w:hAnsi="Times New Roman" w:cs="Times New Roman"/>
          <w:sz w:val="24"/>
          <w:szCs w:val="24"/>
        </w:rPr>
        <w:t>i</w:t>
      </w:r>
      <w:r w:rsidRPr="00F4487D">
        <w:rPr>
          <w:rFonts w:ascii="Times New Roman" w:hAnsi="Times New Roman" w:cs="Times New Roman"/>
          <w:sz w:val="24"/>
          <w:szCs w:val="24"/>
        </w:rPr>
        <w:t>ndustry, innovation and infrastructure) and 10 (reduced inequalities).  It should be emphasized that the Arab states undertake this program within their own budget without any international or regional subsidy and this also distinguishes the Arab region from the rest of the world.</w:t>
      </w:r>
    </w:p>
    <w:p w14:paraId="11633BC7" w14:textId="77777777" w:rsidR="00FB1314" w:rsidRDefault="00FB1314" w:rsidP="00FB1314">
      <w:pPr>
        <w:pStyle w:val="ListParagraph"/>
        <w:spacing w:after="0" w:line="240" w:lineRule="auto"/>
        <w:ind w:left="360"/>
        <w:jc w:val="both"/>
        <w:rPr>
          <w:rFonts w:ascii="Times New Roman" w:hAnsi="Times New Roman" w:cs="Times New Roman"/>
          <w:sz w:val="24"/>
          <w:szCs w:val="24"/>
        </w:rPr>
      </w:pPr>
    </w:p>
    <w:p w14:paraId="26F8F093"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Disability is one of the key disaggregation principles for SDG statistics and data. Availability of data on persons with disabilities increased significantly over the past three years thanks to concentrated efforts by the Arab states let by ESCWA and the Washington Group on Disability Statistics. The Arab region is the first region globally </w:t>
      </w:r>
      <w:r>
        <w:rPr>
          <w:rFonts w:ascii="Times New Roman" w:hAnsi="Times New Roman" w:cs="Times New Roman"/>
          <w:sz w:val="24"/>
          <w:szCs w:val="24"/>
        </w:rPr>
        <w:t>to</w:t>
      </w:r>
      <w:r w:rsidRPr="00F4487D">
        <w:rPr>
          <w:rFonts w:ascii="Times New Roman" w:hAnsi="Times New Roman" w:cs="Times New Roman"/>
          <w:sz w:val="24"/>
          <w:szCs w:val="24"/>
        </w:rPr>
        <w:t xml:space="preserve"> develop its Regional Guidebook on Disability Statistics. </w:t>
      </w:r>
    </w:p>
    <w:p w14:paraId="3732027B"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149602AD"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In the strategic area of dissemination and use of sustainable development data,</w:t>
      </w:r>
      <w:r w:rsidRPr="00F4487D">
        <w:rPr>
          <w:rFonts w:ascii="Times New Roman" w:hAnsi="Times New Roman" w:cs="Times New Roman"/>
          <w:sz w:val="24"/>
          <w:szCs w:val="24"/>
        </w:rPr>
        <w:t xml:space="preserve"> the region developed its regional Data Portal of SDG indicators</w:t>
      </w:r>
      <w:r w:rsidRPr="000D2E4D">
        <w:footnoteReference w:id="2"/>
      </w:r>
      <w:r w:rsidRPr="00F4487D">
        <w:rPr>
          <w:rFonts w:ascii="Times New Roman" w:hAnsi="Times New Roman" w:cs="Times New Roman"/>
          <w:sz w:val="24"/>
          <w:szCs w:val="24"/>
        </w:rPr>
        <w:t xml:space="preserve"> and the regional SDG monitor – both available </w:t>
      </w:r>
      <w:r>
        <w:rPr>
          <w:rFonts w:ascii="Times New Roman" w:hAnsi="Times New Roman" w:cs="Times New Roman"/>
          <w:sz w:val="24"/>
          <w:szCs w:val="24"/>
        </w:rPr>
        <w:t>on</w:t>
      </w:r>
      <w:r w:rsidRPr="00F4487D">
        <w:rPr>
          <w:rFonts w:ascii="Times New Roman" w:hAnsi="Times New Roman" w:cs="Times New Roman"/>
          <w:sz w:val="24"/>
          <w:szCs w:val="24"/>
        </w:rPr>
        <w:t xml:space="preserve"> the ESCWA </w:t>
      </w:r>
      <w:r>
        <w:rPr>
          <w:rFonts w:ascii="Times New Roman" w:hAnsi="Times New Roman" w:cs="Times New Roman"/>
          <w:sz w:val="24"/>
          <w:szCs w:val="24"/>
        </w:rPr>
        <w:t xml:space="preserve">website </w:t>
      </w:r>
      <w:r w:rsidRPr="00F4487D">
        <w:rPr>
          <w:rFonts w:ascii="Times New Roman" w:hAnsi="Times New Roman" w:cs="Times New Roman"/>
          <w:sz w:val="24"/>
          <w:szCs w:val="24"/>
        </w:rPr>
        <w:t xml:space="preserve">but resulting from a wider cooperation of relevant actors.  </w:t>
      </w:r>
      <w:r>
        <w:rPr>
          <w:rFonts w:ascii="Times New Roman" w:hAnsi="Times New Roman" w:cs="Times New Roman"/>
          <w:sz w:val="24"/>
          <w:szCs w:val="24"/>
        </w:rPr>
        <w:t>However, f</w:t>
      </w:r>
      <w:r w:rsidRPr="00F4487D">
        <w:rPr>
          <w:rFonts w:ascii="Times New Roman" w:hAnsi="Times New Roman" w:cs="Times New Roman"/>
          <w:sz w:val="24"/>
          <w:szCs w:val="24"/>
        </w:rPr>
        <w:t>urther strengthening of the Arab regional identity and harmonization of SDG data portals between ESCWA, regional organizations and Arab states is needed.</w:t>
      </w:r>
    </w:p>
    <w:p w14:paraId="59F16017"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1C0049DE"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The regional Handbook on SDG data in Arabic/ English provides </w:t>
      </w:r>
      <w:r>
        <w:rPr>
          <w:rFonts w:ascii="Times New Roman" w:hAnsi="Times New Roman" w:cs="Times New Roman"/>
          <w:sz w:val="24"/>
          <w:szCs w:val="24"/>
        </w:rPr>
        <w:t xml:space="preserve">a </w:t>
      </w:r>
      <w:r w:rsidRPr="00F4487D">
        <w:rPr>
          <w:rFonts w:ascii="Times New Roman" w:hAnsi="Times New Roman" w:cs="Times New Roman"/>
          <w:sz w:val="24"/>
          <w:szCs w:val="24"/>
        </w:rPr>
        <w:t>detailed methodological reference to collection and compilation of SDG statistics and data, and is available on ESCWA’s website.  The Handbook is maintained up-to-date to reflect all Tier I and Tier II SDG indicators. This is also a unique tool specific to the Arab region that has not yet been implemented in other regions/ languages.</w:t>
      </w:r>
    </w:p>
    <w:p w14:paraId="521E989F"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7AD1F6D5"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The wall charts and newsletters issued by ESCWA also contribute to the awareness of sustainable development data and their increased use.</w:t>
      </w:r>
    </w:p>
    <w:p w14:paraId="63F738DF"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1E4DA7A5"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 xml:space="preserve">In the </w:t>
      </w:r>
      <w:r>
        <w:rPr>
          <w:rFonts w:ascii="Times New Roman" w:hAnsi="Times New Roman" w:cs="Times New Roman"/>
          <w:b/>
          <w:bCs/>
          <w:sz w:val="24"/>
          <w:szCs w:val="24"/>
        </w:rPr>
        <w:t xml:space="preserve">area of </w:t>
      </w:r>
      <w:r w:rsidRPr="00F4487D">
        <w:rPr>
          <w:rFonts w:ascii="Times New Roman" w:hAnsi="Times New Roman" w:cs="Times New Roman"/>
          <w:b/>
          <w:bCs/>
          <w:sz w:val="24"/>
          <w:szCs w:val="24"/>
        </w:rPr>
        <w:t>strategic partnership,</w:t>
      </w:r>
      <w:r w:rsidRPr="00F4487D">
        <w:rPr>
          <w:rFonts w:ascii="Times New Roman" w:hAnsi="Times New Roman" w:cs="Times New Roman"/>
          <w:sz w:val="24"/>
          <w:szCs w:val="24"/>
        </w:rPr>
        <w:t xml:space="preserve"> the Arab region keeps up a close partnership between regional and national statistical institutions</w:t>
      </w:r>
      <w:r>
        <w:rPr>
          <w:rFonts w:ascii="Times New Roman" w:hAnsi="Times New Roman" w:cs="Times New Roman"/>
          <w:sz w:val="24"/>
          <w:szCs w:val="24"/>
        </w:rPr>
        <w:t xml:space="preserve"> i</w:t>
      </w:r>
      <w:r w:rsidRPr="00F4487D">
        <w:rPr>
          <w:rFonts w:ascii="Times New Roman" w:hAnsi="Times New Roman" w:cs="Times New Roman"/>
          <w:sz w:val="24"/>
          <w:szCs w:val="24"/>
        </w:rPr>
        <w:t xml:space="preserve">n efforts towards strengthening </w:t>
      </w:r>
      <w:r>
        <w:rPr>
          <w:rFonts w:ascii="Times New Roman" w:hAnsi="Times New Roman" w:cs="Times New Roman"/>
          <w:sz w:val="24"/>
          <w:szCs w:val="24"/>
        </w:rPr>
        <w:t xml:space="preserve">the </w:t>
      </w:r>
      <w:r w:rsidRPr="00F4487D">
        <w:rPr>
          <w:rFonts w:ascii="Times New Roman" w:hAnsi="Times New Roman" w:cs="Times New Roman"/>
          <w:sz w:val="24"/>
          <w:szCs w:val="24"/>
        </w:rPr>
        <w:t>statistical capacity in SDG statistics, ESCWA partners with custodian agencies such as UN Habitat, UN Women, FAO, WHO, ILO, UNFPA and others, as well as AITRS, SESRIC, LAS and GCC-Stat</w:t>
      </w:r>
      <w:r>
        <w:rPr>
          <w:rFonts w:ascii="Times New Roman" w:hAnsi="Times New Roman" w:cs="Times New Roman"/>
          <w:sz w:val="24"/>
          <w:szCs w:val="24"/>
        </w:rPr>
        <w:t>. I</w:t>
      </w:r>
      <w:r w:rsidRPr="00F4487D">
        <w:rPr>
          <w:rFonts w:ascii="Times New Roman" w:hAnsi="Times New Roman" w:cs="Times New Roman"/>
          <w:sz w:val="24"/>
          <w:szCs w:val="24"/>
        </w:rPr>
        <w:t>ssue</w:t>
      </w:r>
      <w:r>
        <w:rPr>
          <w:rFonts w:ascii="Times New Roman" w:hAnsi="Times New Roman" w:cs="Times New Roman"/>
          <w:sz w:val="24"/>
          <w:szCs w:val="24"/>
        </w:rPr>
        <w:t>s</w:t>
      </w:r>
      <w:r w:rsidRPr="00F4487D">
        <w:rPr>
          <w:rFonts w:ascii="Times New Roman" w:hAnsi="Times New Roman" w:cs="Times New Roman"/>
          <w:sz w:val="24"/>
          <w:szCs w:val="24"/>
        </w:rPr>
        <w:t xml:space="preserve"> related to specific SDG indicators are addressed in cooperation with the respective custodian agencies.</w:t>
      </w:r>
    </w:p>
    <w:p w14:paraId="2425163F"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3DD3364B"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The other stream </w:t>
      </w:r>
      <w:r>
        <w:rPr>
          <w:rFonts w:ascii="Times New Roman" w:hAnsi="Times New Roman" w:cs="Times New Roman"/>
          <w:sz w:val="24"/>
          <w:szCs w:val="24"/>
        </w:rPr>
        <w:t xml:space="preserve">focuses on </w:t>
      </w:r>
      <w:r w:rsidRPr="00F4487D">
        <w:rPr>
          <w:rFonts w:ascii="Times New Roman" w:hAnsi="Times New Roman" w:cs="Times New Roman"/>
          <w:sz w:val="24"/>
          <w:szCs w:val="24"/>
        </w:rPr>
        <w:t>promoting partnerships between policymakers and national statistical offices by extending invitation</w:t>
      </w:r>
      <w:r>
        <w:rPr>
          <w:rFonts w:ascii="Times New Roman" w:hAnsi="Times New Roman" w:cs="Times New Roman"/>
          <w:sz w:val="24"/>
          <w:szCs w:val="24"/>
        </w:rPr>
        <w:t>s</w:t>
      </w:r>
      <w:r w:rsidRPr="00F4487D">
        <w:rPr>
          <w:rFonts w:ascii="Times New Roman" w:hAnsi="Times New Roman" w:cs="Times New Roman"/>
          <w:sz w:val="24"/>
          <w:szCs w:val="24"/>
        </w:rPr>
        <w:t xml:space="preserve"> to the former to workshops, seminars and other events, and by involving sectoral ministries and agencies in the design of surveys and statistical outputs.</w:t>
      </w:r>
    </w:p>
    <w:p w14:paraId="6AD6B90E"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4A8637CF" w14:textId="77777777" w:rsidR="00FB1314"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In the strategic area of resource mobilization and coordinated efforts for capacity development,</w:t>
      </w:r>
      <w:r w:rsidRPr="00F4487D">
        <w:rPr>
          <w:rFonts w:ascii="Times New Roman" w:hAnsi="Times New Roman" w:cs="Times New Roman"/>
          <w:sz w:val="24"/>
          <w:szCs w:val="24"/>
        </w:rPr>
        <w:t xml:space="preserve"> the limitation of resources is partly outset through pooling and combining resources of relevant regional statistical agencies for activities supporting SDG statistics. In the period of 2018-2019, ESCWA organized jointly with other partners 43 joint meetings, seminars and workshops and </w:t>
      </w:r>
      <w:r>
        <w:rPr>
          <w:rFonts w:ascii="Times New Roman" w:hAnsi="Times New Roman" w:cs="Times New Roman"/>
          <w:sz w:val="24"/>
          <w:szCs w:val="24"/>
        </w:rPr>
        <w:t>seven</w:t>
      </w:r>
      <w:r w:rsidRPr="00F4487D">
        <w:rPr>
          <w:rFonts w:ascii="Times New Roman" w:hAnsi="Times New Roman" w:cs="Times New Roman"/>
          <w:sz w:val="24"/>
          <w:szCs w:val="24"/>
        </w:rPr>
        <w:t xml:space="preserve"> joint advisory missions. ESCWA currently carries out </w:t>
      </w:r>
      <w:r>
        <w:rPr>
          <w:rFonts w:ascii="Times New Roman" w:hAnsi="Times New Roman" w:cs="Times New Roman"/>
          <w:sz w:val="24"/>
          <w:szCs w:val="24"/>
        </w:rPr>
        <w:t>three</w:t>
      </w:r>
      <w:r w:rsidRPr="00F4487D">
        <w:rPr>
          <w:rFonts w:ascii="Times New Roman" w:hAnsi="Times New Roman" w:cs="Times New Roman"/>
          <w:sz w:val="24"/>
          <w:szCs w:val="24"/>
        </w:rPr>
        <w:t xml:space="preserve"> medium and long-time projects in partnerships with other organizations. Moreover, its partnership with the World Bank resulted in a grant to ESCWA in support of price statistics and other areas of economic statistics.</w:t>
      </w:r>
    </w:p>
    <w:p w14:paraId="1A17E56E" w14:textId="77777777" w:rsidR="00FB1314" w:rsidRDefault="00FB1314" w:rsidP="00FB1314">
      <w:pPr>
        <w:pStyle w:val="ListParagraph"/>
        <w:spacing w:after="0" w:line="240" w:lineRule="auto"/>
        <w:ind w:left="360"/>
        <w:jc w:val="both"/>
        <w:rPr>
          <w:rFonts w:ascii="Times New Roman" w:hAnsi="Times New Roman" w:cs="Times New Roman"/>
          <w:sz w:val="24"/>
          <w:szCs w:val="24"/>
        </w:rPr>
      </w:pPr>
    </w:p>
    <w:p w14:paraId="21C96FA6" w14:textId="77777777" w:rsidR="00FB1314" w:rsidRDefault="00FB1314" w:rsidP="00FB1314">
      <w:pPr>
        <w:pStyle w:val="ListParagraph"/>
        <w:spacing w:after="0" w:line="240" w:lineRule="auto"/>
        <w:ind w:left="360"/>
        <w:jc w:val="both"/>
        <w:rPr>
          <w:rFonts w:ascii="Times New Roman" w:hAnsi="Times New Roman" w:cs="Times New Roman"/>
          <w:sz w:val="24"/>
          <w:szCs w:val="24"/>
        </w:rPr>
      </w:pPr>
    </w:p>
    <w:p w14:paraId="47CD001B" w14:textId="77777777" w:rsidR="00FB1314" w:rsidRDefault="00FB1314" w:rsidP="00FB1314">
      <w:pPr>
        <w:bidi w:val="0"/>
        <w:rPr>
          <w:rFonts w:asciiTheme="majorBidi" w:hAnsiTheme="majorBidi" w:cstheme="majorBidi"/>
          <w:b/>
          <w:bCs/>
          <w:sz w:val="24"/>
          <w:szCs w:val="24"/>
        </w:rPr>
      </w:pPr>
      <w:r w:rsidRPr="004F2CBC">
        <w:rPr>
          <w:rFonts w:asciiTheme="majorBidi" w:hAnsiTheme="majorBidi" w:cstheme="majorBidi"/>
          <w:b/>
          <w:bCs/>
          <w:sz w:val="24"/>
          <w:szCs w:val="24"/>
        </w:rPr>
        <w:lastRenderedPageBreak/>
        <w:t xml:space="preserve">The UN High Level Group for Partnership, Coordination and Capacity-Building for statistics (HLG-PCCB) </w:t>
      </w:r>
    </w:p>
    <w:p w14:paraId="1E89EC9E" w14:textId="77777777" w:rsidR="00FB1314" w:rsidRPr="006131C7" w:rsidRDefault="00FB1314" w:rsidP="00FB1314">
      <w:pPr>
        <w:bidi w:val="0"/>
        <w:rPr>
          <w:rFonts w:asciiTheme="majorBidi" w:hAnsiTheme="majorBidi" w:cstheme="majorBidi"/>
          <w:b/>
          <w:bCs/>
          <w:sz w:val="24"/>
          <w:szCs w:val="24"/>
        </w:rPr>
      </w:pPr>
      <w:r>
        <w:rPr>
          <w:rFonts w:ascii="Times New Roman" w:hAnsi="Times New Roman" w:cs="Times New Roman"/>
          <w:sz w:val="24"/>
          <w:szCs w:val="24"/>
        </w:rPr>
        <w:t>In</w:t>
      </w:r>
      <w:r w:rsidRPr="004F2CBC">
        <w:rPr>
          <w:rFonts w:ascii="Times New Roman" w:hAnsi="Times New Roman" w:cs="Times New Roman"/>
          <w:sz w:val="24"/>
          <w:szCs w:val="24"/>
        </w:rPr>
        <w:t xml:space="preserve"> March 2015, the United Nations Statistical Commission created the High-Level Group for Partnership, Coordination and Capacity-Building for statistics for the 2030 Agenda for Sustainable Development (HLG-PCCB), composed of member states to represent the UN regions and include</w:t>
      </w:r>
      <w:r>
        <w:rPr>
          <w:rFonts w:ascii="Times New Roman" w:hAnsi="Times New Roman" w:cs="Times New Roman"/>
          <w:sz w:val="24"/>
          <w:szCs w:val="24"/>
        </w:rPr>
        <w:t xml:space="preserve">s </w:t>
      </w:r>
      <w:r w:rsidRPr="004F2CBC">
        <w:rPr>
          <w:rFonts w:ascii="Times New Roman" w:hAnsi="Times New Roman" w:cs="Times New Roman"/>
          <w:sz w:val="24"/>
          <w:szCs w:val="24"/>
        </w:rPr>
        <w:t>regional and international agencies as observers. The HLG-PCCB aims to establish a global partnership for sustainable developm</w:t>
      </w:r>
      <w:r>
        <w:rPr>
          <w:rFonts w:ascii="Times New Roman" w:hAnsi="Times New Roman" w:cs="Times New Roman"/>
          <w:sz w:val="24"/>
          <w:szCs w:val="24"/>
        </w:rPr>
        <w:t xml:space="preserve">ent data. The HLG-PCCB has been </w:t>
      </w:r>
      <w:r w:rsidRPr="004F2CBC">
        <w:rPr>
          <w:rFonts w:ascii="Times New Roman" w:hAnsi="Times New Roman" w:cs="Times New Roman"/>
          <w:sz w:val="24"/>
          <w:szCs w:val="24"/>
        </w:rPr>
        <w:t xml:space="preserve">tasked to provide strategic leadership for the sustainable development goal implementation process as it concerns statistical monitoring and reporting. </w:t>
      </w:r>
    </w:p>
    <w:p w14:paraId="2C4736F3" w14:textId="77777777" w:rsidR="00FB1314" w:rsidRPr="004F2CBC" w:rsidRDefault="0099669E" w:rsidP="0099669E">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Palestine’s (PCBS) represents</w:t>
      </w:r>
      <w:r w:rsidR="00FB1314" w:rsidRPr="004F2CBC">
        <w:rPr>
          <w:rFonts w:ascii="Times New Roman" w:hAnsi="Times New Roman" w:cs="Times New Roman"/>
          <w:sz w:val="24"/>
          <w:szCs w:val="24"/>
        </w:rPr>
        <w:t xml:space="preserve"> the Western Asia region in the High Level Group for Partnership, Coordination and Capacity-Building for statistics for the 2030 Agenda for Sustainable Development (HLG-PCCB)</w:t>
      </w:r>
      <w:r>
        <w:rPr>
          <w:rFonts w:ascii="Times New Roman" w:hAnsi="Times New Roman" w:cs="Times New Roman"/>
          <w:sz w:val="24"/>
          <w:szCs w:val="24"/>
        </w:rPr>
        <w:t xml:space="preserve">.  In 2021 Palestine’s (PCBS)  was elected as </w:t>
      </w:r>
      <w:r w:rsidRPr="00F77825">
        <w:rPr>
          <w:rFonts w:ascii="Times New Roman" w:hAnsi="Times New Roman" w:cs="Times New Roman"/>
          <w:color w:val="000000"/>
          <w:sz w:val="23"/>
          <w:szCs w:val="23"/>
          <w:lang w:eastAsia="ar-SA"/>
        </w:rPr>
        <w:t>a co-chair member in the High Level Group for Partnership, Coordination and Capacity Building for Statistics for the 2030 Agenda for Sustainable Development (HLG-PCCB).</w:t>
      </w:r>
      <w:r w:rsidR="00FB1314" w:rsidRPr="004F2CBC">
        <w:rPr>
          <w:rFonts w:ascii="Times New Roman" w:hAnsi="Times New Roman" w:cs="Times New Roman"/>
          <w:sz w:val="24"/>
          <w:szCs w:val="24"/>
        </w:rPr>
        <w:t>This allows PCBS to have input in strategic decisions concerning global developments on SDGs and also allows PCBS to bring in the regional context to any discussions and debates. In November 2017, PCBS host</w:t>
      </w:r>
      <w:r w:rsidR="00FB1314">
        <w:rPr>
          <w:rFonts w:ascii="Times New Roman" w:hAnsi="Times New Roman" w:cs="Times New Roman"/>
          <w:sz w:val="24"/>
          <w:szCs w:val="24"/>
        </w:rPr>
        <w:t xml:space="preserve">ed </w:t>
      </w:r>
      <w:r w:rsidR="00FB1314" w:rsidRPr="004F2CBC">
        <w:rPr>
          <w:rFonts w:ascii="Times New Roman" w:hAnsi="Times New Roman" w:cs="Times New Roman"/>
          <w:sz w:val="24"/>
          <w:szCs w:val="24"/>
        </w:rPr>
        <w:t>the 9th meeting of the (HLGPCCB) for the first time. The Palestinian Government assured that hosting the HLG meeting reflects determination and commitment to achiev</w:t>
      </w:r>
      <w:r w:rsidR="00FB1314">
        <w:rPr>
          <w:rFonts w:ascii="Times New Roman" w:hAnsi="Times New Roman" w:cs="Times New Roman"/>
          <w:sz w:val="24"/>
          <w:szCs w:val="24"/>
        </w:rPr>
        <w:t>e</w:t>
      </w:r>
      <w:r w:rsidR="00FB1314" w:rsidRPr="004F2CBC">
        <w:rPr>
          <w:rFonts w:ascii="Times New Roman" w:hAnsi="Times New Roman" w:cs="Times New Roman"/>
          <w:sz w:val="24"/>
          <w:szCs w:val="24"/>
        </w:rPr>
        <w:t xml:space="preserve"> the goals of the 2030 Agenda. </w:t>
      </w:r>
    </w:p>
    <w:p w14:paraId="4313E20B" w14:textId="77777777" w:rsidR="00FB1314" w:rsidRPr="00206211" w:rsidRDefault="00FB1314" w:rsidP="00FB1314">
      <w:pPr>
        <w:bidi w:val="0"/>
        <w:spacing w:after="0" w:line="240" w:lineRule="auto"/>
        <w:jc w:val="both"/>
        <w:rPr>
          <w:rFonts w:ascii="Times New Roman" w:hAnsi="Times New Roman" w:cs="Times New Roman"/>
          <w:sz w:val="24"/>
          <w:szCs w:val="24"/>
          <w:rtl/>
        </w:rPr>
      </w:pPr>
    </w:p>
    <w:p w14:paraId="6CD38AB2"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 xml:space="preserve">Cape Town Global Action Plan (CTGAP): </w:t>
      </w:r>
    </w:p>
    <w:p w14:paraId="0A7CD28B" w14:textId="77777777" w:rsidR="00FB1314" w:rsidRDefault="00FB1314" w:rsidP="00FB1314">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The first UNWDF took place in Cape Town, South Africa in January 2017 and provided a concluding statement known as the Cape Town Global Action Plan (CTGAP). Soon after, the Cape Town Global Action Plan (CTGAP) </w:t>
      </w:r>
      <w:r>
        <w:rPr>
          <w:rFonts w:ascii="Times New Roman" w:hAnsi="Times New Roman" w:cs="Times New Roman"/>
          <w:sz w:val="24"/>
          <w:szCs w:val="24"/>
        </w:rPr>
        <w:t xml:space="preserve">was </w:t>
      </w:r>
      <w:r w:rsidRPr="000D2E4D">
        <w:rPr>
          <w:rFonts w:ascii="Times New Roman" w:hAnsi="Times New Roman" w:cs="Times New Roman"/>
          <w:sz w:val="24"/>
          <w:szCs w:val="24"/>
        </w:rPr>
        <w:t>formally adopted. Therefore, recognizing the importance of national statistical systems and the coordinating role of national statistical institutes. The HLG-PCCB include</w:t>
      </w:r>
      <w:r>
        <w:rPr>
          <w:rFonts w:ascii="Times New Roman" w:hAnsi="Times New Roman" w:cs="Times New Roman"/>
          <w:sz w:val="24"/>
          <w:szCs w:val="24"/>
        </w:rPr>
        <w:t>s</w:t>
      </w:r>
      <w:r w:rsidRPr="000D2E4D">
        <w:rPr>
          <w:rFonts w:ascii="Times New Roman" w:hAnsi="Times New Roman" w:cs="Times New Roman"/>
          <w:sz w:val="24"/>
          <w:szCs w:val="24"/>
        </w:rPr>
        <w:t xml:space="preserve"> a discussion of the implementation plan for the Cape Town Global Action Plan with attention to capacity building for the implementation of the CTGAP. This plan describes the measures needed to modernize and strengthen statistical systems, especially regarding the building of infrastructure and the development of national and global statistical capabilities.</w:t>
      </w:r>
    </w:p>
    <w:p w14:paraId="71A5C5FB"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sz w:val="24"/>
          <w:szCs w:val="24"/>
        </w:rPr>
      </w:pPr>
    </w:p>
    <w:p w14:paraId="7FA923D1"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Periodically, the HLG-PCCB shall review and, if necessary, update this Plan to maintain its effectiveness. Additionally, the group shall develop an annual implementation programme featuring milestones as a means to measure the Plan’s progress. The HLG-PCCB shall report its progress assessment regularly to the UN Statistical Commission, and, as appropriate, to other relevant bodies, such as the High-level Political Forum on Sustainable Development and the UN World Data Forum. </w:t>
      </w:r>
    </w:p>
    <w:p w14:paraId="16D01006" w14:textId="77777777" w:rsidR="00FB1314" w:rsidRPr="000D2E4D" w:rsidRDefault="00FB1314" w:rsidP="00FB1314">
      <w:pPr>
        <w:pStyle w:val="NormalWeb"/>
        <w:spacing w:before="0" w:beforeAutospacing="0" w:after="0" w:afterAutospacing="0"/>
        <w:jc w:val="both"/>
        <w:rPr>
          <w:rFonts w:eastAsia="Calibri"/>
        </w:rPr>
      </w:pPr>
    </w:p>
    <w:p w14:paraId="47037CD6"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The Dubai Declaration:</w:t>
      </w:r>
    </w:p>
    <w:p w14:paraId="6BD90298" w14:textId="77777777" w:rsidR="00FB1314" w:rsidRDefault="00FB1314" w:rsidP="00FB1314">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The Dubai Declaration was announced at the 2</w:t>
      </w:r>
      <w:r w:rsidRPr="006131C7">
        <w:rPr>
          <w:rFonts w:ascii="Times New Roman" w:hAnsi="Times New Roman" w:cs="Times New Roman"/>
          <w:sz w:val="24"/>
          <w:szCs w:val="24"/>
          <w:vertAlign w:val="superscript"/>
        </w:rPr>
        <w:t>nd</w:t>
      </w:r>
      <w:r w:rsidRPr="000D2E4D">
        <w:rPr>
          <w:rFonts w:ascii="Times New Roman" w:hAnsi="Times New Roman" w:cs="Times New Roman"/>
          <w:sz w:val="24"/>
          <w:szCs w:val="24"/>
        </w:rPr>
        <w:t xml:space="preserve">UN World Data Forum October 2018 in Dubai, and endorsed by the United Nations Statistical Commission at its 50th session in March 2019. </w:t>
      </w:r>
      <w:r w:rsidRPr="00F809B5">
        <w:rPr>
          <w:rFonts w:ascii="Times New Roman" w:hAnsi="Times New Roman" w:cs="Times New Roman"/>
          <w:sz w:val="24"/>
          <w:szCs w:val="24"/>
        </w:rPr>
        <w:t>The Dubai Declaration called for the establishment of an innovative funding mechanism open to all stakeholders, which aim</w:t>
      </w:r>
      <w:r>
        <w:rPr>
          <w:rFonts w:ascii="Times New Roman" w:hAnsi="Times New Roman" w:cs="Times New Roman"/>
          <w:sz w:val="24"/>
          <w:szCs w:val="24"/>
        </w:rPr>
        <w:t>s</w:t>
      </w:r>
      <w:r w:rsidRPr="00F809B5">
        <w:rPr>
          <w:rFonts w:ascii="Times New Roman" w:hAnsi="Times New Roman" w:cs="Times New Roman"/>
          <w:sz w:val="24"/>
          <w:szCs w:val="24"/>
        </w:rPr>
        <w:t xml:space="preserve"> to mobilize both domestic and international funds, and to activate partnerships and funding opportunities to strengthen the capacity of national data and statistical systems. The funding mechanism was created under the guidance of representatives of statistical systems and </w:t>
      </w:r>
      <w:r>
        <w:rPr>
          <w:rFonts w:ascii="Times New Roman" w:hAnsi="Times New Roman" w:cs="Times New Roman"/>
          <w:sz w:val="24"/>
          <w:szCs w:val="24"/>
        </w:rPr>
        <w:t>various</w:t>
      </w:r>
      <w:r w:rsidRPr="00F809B5">
        <w:rPr>
          <w:rFonts w:ascii="Times New Roman" w:hAnsi="Times New Roman" w:cs="Times New Roman"/>
          <w:sz w:val="24"/>
          <w:szCs w:val="24"/>
        </w:rPr>
        <w:t xml:space="preserve"> data and donor communities and </w:t>
      </w:r>
      <w:r>
        <w:rPr>
          <w:rFonts w:ascii="Times New Roman" w:hAnsi="Times New Roman" w:cs="Times New Roman"/>
          <w:sz w:val="24"/>
          <w:szCs w:val="24"/>
        </w:rPr>
        <w:t xml:space="preserve">was endorsed at the Third UNWDF- Bern. </w:t>
      </w:r>
    </w:p>
    <w:p w14:paraId="7F456DC9"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lastRenderedPageBreak/>
        <w:t xml:space="preserve">The Third UNWDF – Bern, Switzerland: </w:t>
      </w:r>
    </w:p>
    <w:p w14:paraId="2591BFDE"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The third UN World Data Forum 202</w:t>
      </w:r>
      <w:r>
        <w:rPr>
          <w:rFonts w:ascii="Times New Roman" w:hAnsi="Times New Roman" w:cs="Times New Roman"/>
          <w:sz w:val="24"/>
          <w:szCs w:val="24"/>
        </w:rPr>
        <w:t>1was</w:t>
      </w:r>
      <w:r w:rsidRPr="000D2E4D">
        <w:rPr>
          <w:rFonts w:ascii="Times New Roman" w:hAnsi="Times New Roman" w:cs="Times New Roman"/>
          <w:sz w:val="24"/>
          <w:szCs w:val="24"/>
        </w:rPr>
        <w:t xml:space="preserve"> hosted by the Federal Statistics Office of Switzerland October </w:t>
      </w:r>
      <w:r>
        <w:rPr>
          <w:rFonts w:ascii="Times New Roman" w:hAnsi="Times New Roman" w:cs="Times New Roman"/>
          <w:sz w:val="24"/>
          <w:szCs w:val="24"/>
        </w:rPr>
        <w:t>3-6, 2021</w:t>
      </w:r>
      <w:r w:rsidRPr="000D2E4D">
        <w:rPr>
          <w:rFonts w:ascii="Times New Roman" w:hAnsi="Times New Roman" w:cs="Times New Roman"/>
          <w:sz w:val="24"/>
          <w:szCs w:val="24"/>
        </w:rPr>
        <w:t xml:space="preserve"> with support from the </w:t>
      </w:r>
      <w:hyperlink r:id="rId33" w:tgtFrame="_blank" w:history="1">
        <w:r w:rsidRPr="000D2E4D">
          <w:rPr>
            <w:rFonts w:ascii="Times New Roman" w:hAnsi="Times New Roman" w:cs="Times New Roman"/>
            <w:sz w:val="24"/>
            <w:szCs w:val="24"/>
          </w:rPr>
          <w:t>Statistics Division</w:t>
        </w:r>
      </w:hyperlink>
      <w:r w:rsidRPr="000D2E4D">
        <w:rPr>
          <w:rFonts w:ascii="Times New Roman" w:hAnsi="Times New Roman" w:cs="Times New Roman"/>
          <w:sz w:val="24"/>
          <w:szCs w:val="24"/>
        </w:rPr>
        <w:t> of the UN Department of Economic and Social Affairs and under the guidance of the </w:t>
      </w:r>
      <w:hyperlink r:id="rId34" w:tgtFrame="_blank" w:history="1">
        <w:r w:rsidRPr="000D2E4D">
          <w:rPr>
            <w:rFonts w:ascii="Times New Roman" w:hAnsi="Times New Roman" w:cs="Times New Roman"/>
            <w:sz w:val="24"/>
            <w:szCs w:val="24"/>
          </w:rPr>
          <w:t>United Nations Statistical Commission</w:t>
        </w:r>
      </w:hyperlink>
      <w:r w:rsidRPr="000D2E4D">
        <w:rPr>
          <w:rFonts w:ascii="Times New Roman" w:hAnsi="Times New Roman" w:cs="Times New Roman"/>
          <w:sz w:val="24"/>
          <w:szCs w:val="24"/>
        </w:rPr>
        <w:t> and the </w:t>
      </w:r>
      <w:hyperlink r:id="rId35" w:tgtFrame="_blank" w:history="1">
        <w:r w:rsidRPr="000D2E4D">
          <w:rPr>
            <w:rFonts w:ascii="Times New Roman" w:hAnsi="Times New Roman" w:cs="Times New Roman"/>
            <w:sz w:val="24"/>
            <w:szCs w:val="24"/>
          </w:rPr>
          <w:t>High-level Group for Partnership, Coordination and Capacity-Building for Statistics</w:t>
        </w:r>
      </w:hyperlink>
      <w:r w:rsidRPr="000D2E4D">
        <w:rPr>
          <w:rFonts w:ascii="Times New Roman" w:hAnsi="Times New Roman" w:cs="Times New Roman"/>
          <w:sz w:val="24"/>
          <w:szCs w:val="24"/>
        </w:rPr>
        <w:t> for the </w:t>
      </w:r>
      <w:hyperlink r:id="rId36" w:tgtFrame="_blank" w:history="1">
        <w:r w:rsidRPr="000D2E4D">
          <w:rPr>
            <w:rFonts w:ascii="Times New Roman" w:hAnsi="Times New Roman" w:cs="Times New Roman"/>
            <w:sz w:val="24"/>
            <w:szCs w:val="24"/>
          </w:rPr>
          <w:t>2030 Agenda for Sustainable Development</w:t>
        </w:r>
      </w:hyperlink>
      <w:r w:rsidRPr="000D2E4D">
        <w:rPr>
          <w:rFonts w:ascii="Times New Roman" w:hAnsi="Times New Roman" w:cs="Times New Roman"/>
          <w:sz w:val="24"/>
          <w:szCs w:val="24"/>
        </w:rPr>
        <w:t>.</w:t>
      </w:r>
    </w:p>
    <w:p w14:paraId="637A6743" w14:textId="77777777" w:rsidR="00FB1314" w:rsidRDefault="00FB1314" w:rsidP="00FB1314">
      <w:pPr>
        <w:autoSpaceDE w:val="0"/>
        <w:autoSpaceDN w:val="0"/>
        <w:bidi w:val="0"/>
        <w:adjustRightInd w:val="0"/>
        <w:spacing w:after="0" w:line="240" w:lineRule="auto"/>
        <w:jc w:val="both"/>
        <w:rPr>
          <w:rFonts w:ascii="Times New Roman" w:hAnsi="Times New Roman" w:cs="Times New Roman"/>
          <w:b/>
          <w:bCs/>
          <w:color w:val="000000"/>
          <w:sz w:val="28"/>
          <w:szCs w:val="28"/>
        </w:rPr>
      </w:pPr>
      <w:r w:rsidRPr="000D2E4D">
        <w:rPr>
          <w:rFonts w:ascii="Times New Roman" w:hAnsi="Times New Roman" w:cs="Times New Roman"/>
          <w:sz w:val="24"/>
          <w:szCs w:val="24"/>
        </w:rPr>
        <w:t>PCBS is also a member of the subgroup, which was created in the latest 15th HLG meeting, held in Budapest to work on the preparation of the outcome document for the third UNWDF 202</w:t>
      </w:r>
      <w:r>
        <w:rPr>
          <w:rFonts w:ascii="Times New Roman" w:hAnsi="Times New Roman" w:cs="Times New Roman"/>
          <w:sz w:val="24"/>
          <w:szCs w:val="24"/>
        </w:rPr>
        <w:t>1</w:t>
      </w:r>
      <w:r w:rsidRPr="000D2E4D">
        <w:rPr>
          <w:rFonts w:ascii="Times New Roman" w:hAnsi="Times New Roman" w:cs="Times New Roman"/>
          <w:sz w:val="24"/>
          <w:szCs w:val="24"/>
        </w:rPr>
        <w:t>.</w:t>
      </w:r>
    </w:p>
    <w:p w14:paraId="69D85758" w14:textId="77777777" w:rsidR="00FB1314" w:rsidRDefault="00FB1314" w:rsidP="00FB1314">
      <w:pPr>
        <w:pStyle w:val="Header"/>
        <w:tabs>
          <w:tab w:val="left" w:pos="720"/>
        </w:tabs>
        <w:bidi w:val="0"/>
        <w:spacing w:after="120"/>
        <w:rPr>
          <w:rFonts w:ascii="Times New Roman" w:hAnsi="Times New Roman" w:cs="Times New Roman"/>
          <w:b/>
          <w:bCs/>
          <w:color w:val="000000"/>
          <w:sz w:val="28"/>
          <w:szCs w:val="28"/>
        </w:rPr>
      </w:pPr>
    </w:p>
    <w:p w14:paraId="2B9BBB4A"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106CC414"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7AADD9A"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1042879"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07918765"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7503F492"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3CA7ECC"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7A6F3864"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17D33DD4"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1DF7BE44"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444AFEC9"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0C1D34D2"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578020EC"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697BE642"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513D5ABA"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9CE68DD"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E99B137"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9305709"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E87B5C2"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7754A3DF"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051F9E66"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90C5040"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586F6CA2"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45A76455"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41C0F6C8"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2C831B2"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752747BD"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7EF801D6"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0B6B6967"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2B7553B"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E4D96D8" w14:textId="77777777" w:rsidR="00B25DD3" w:rsidRDefault="00B25DD3">
      <w:pPr>
        <w:bidi w:val="0"/>
        <w:spacing w:after="0" w:line="240" w:lineRule="auto"/>
        <w:rPr>
          <w:rFonts w:ascii="Times New Roman" w:hAnsi="Times New Roman" w:cs="Times New Roman"/>
          <w:b/>
          <w:bCs/>
          <w:color w:val="000000"/>
          <w:sz w:val="28"/>
          <w:szCs w:val="28"/>
        </w:rPr>
      </w:pPr>
      <w:r>
        <w:rPr>
          <w:rFonts w:ascii="Times New Roman" w:hAnsi="Times New Roman" w:cs="Times New Roman"/>
          <w:b/>
          <w:bCs/>
          <w:color w:val="000000"/>
          <w:sz w:val="28"/>
          <w:szCs w:val="28"/>
        </w:rPr>
        <w:br w:type="page"/>
      </w:r>
    </w:p>
    <w:p w14:paraId="41A0B136" w14:textId="77777777" w:rsidR="007D39B6" w:rsidRDefault="00A909BD" w:rsidP="00FB1314">
      <w:pPr>
        <w:pStyle w:val="Header"/>
        <w:tabs>
          <w:tab w:val="left" w:pos="720"/>
        </w:tabs>
        <w:bidi w:val="0"/>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lastRenderedPageBreak/>
        <w:t xml:space="preserve">Chapter </w:t>
      </w:r>
      <w:r w:rsidR="0042485F">
        <w:rPr>
          <w:rFonts w:ascii="Times New Roman" w:hAnsi="Times New Roman" w:cs="Times New Roman"/>
          <w:b/>
          <w:bCs/>
          <w:color w:val="000000"/>
          <w:sz w:val="28"/>
          <w:szCs w:val="28"/>
        </w:rPr>
        <w:t>3</w:t>
      </w:r>
    </w:p>
    <w:p w14:paraId="4CBB4F2A" w14:textId="77777777" w:rsidR="00F219BE" w:rsidRDefault="00F219BE" w:rsidP="00F219BE">
      <w:pPr>
        <w:pStyle w:val="Header"/>
        <w:tabs>
          <w:tab w:val="left" w:pos="720"/>
        </w:tabs>
        <w:bidi w:val="0"/>
        <w:jc w:val="center"/>
        <w:rPr>
          <w:rFonts w:asciiTheme="majorBidi" w:hAnsiTheme="majorBidi" w:cstheme="majorBidi"/>
          <w:sz w:val="24"/>
          <w:szCs w:val="24"/>
          <w:lang w:eastAsia="zh-CN"/>
        </w:rPr>
      </w:pPr>
      <w:r w:rsidRPr="00F219BE">
        <w:rPr>
          <w:rFonts w:ascii="Times New Roman" w:hAnsi="Times New Roman" w:cs="Times New Roman"/>
          <w:b/>
          <w:bCs/>
          <w:color w:val="000000"/>
          <w:sz w:val="28"/>
          <w:szCs w:val="28"/>
        </w:rPr>
        <w:t xml:space="preserve">Analysis of </w:t>
      </w:r>
      <w:r w:rsidR="00946E1D">
        <w:rPr>
          <w:rFonts w:ascii="Times New Roman" w:hAnsi="Times New Roman" w:cs="Times New Roman"/>
          <w:b/>
          <w:bCs/>
          <w:color w:val="000000"/>
          <w:sz w:val="28"/>
          <w:szCs w:val="28"/>
        </w:rPr>
        <w:t>S</w:t>
      </w:r>
      <w:r w:rsidRPr="00F219BE">
        <w:rPr>
          <w:rFonts w:ascii="Times New Roman" w:hAnsi="Times New Roman" w:cs="Times New Roman"/>
          <w:b/>
          <w:bCs/>
          <w:color w:val="000000"/>
          <w:sz w:val="28"/>
          <w:szCs w:val="28"/>
        </w:rPr>
        <w:t xml:space="preserve">tatistical </w:t>
      </w:r>
      <w:r w:rsidR="00946E1D">
        <w:rPr>
          <w:rFonts w:ascii="Times New Roman" w:hAnsi="Times New Roman" w:cs="Times New Roman"/>
          <w:b/>
          <w:bCs/>
          <w:color w:val="000000"/>
          <w:sz w:val="28"/>
          <w:szCs w:val="28"/>
        </w:rPr>
        <w:t>M</w:t>
      </w:r>
      <w:r w:rsidRPr="00F219BE">
        <w:rPr>
          <w:rFonts w:ascii="Times New Roman" w:hAnsi="Times New Roman" w:cs="Times New Roman"/>
          <w:b/>
          <w:bCs/>
          <w:color w:val="000000"/>
          <w:sz w:val="28"/>
          <w:szCs w:val="28"/>
        </w:rPr>
        <w:t>easures by Goal</w:t>
      </w:r>
    </w:p>
    <w:p w14:paraId="48D8E356" w14:textId="77777777" w:rsidR="00F219BE" w:rsidRDefault="00F219BE" w:rsidP="00F219BE">
      <w:pPr>
        <w:pStyle w:val="Header"/>
        <w:tabs>
          <w:tab w:val="left" w:pos="720"/>
        </w:tabs>
        <w:bidi w:val="0"/>
        <w:jc w:val="center"/>
        <w:rPr>
          <w:rFonts w:asciiTheme="majorBidi" w:hAnsiTheme="majorBidi" w:cstheme="majorBidi"/>
          <w:sz w:val="24"/>
          <w:szCs w:val="24"/>
          <w:lang w:eastAsia="zh-CN"/>
        </w:rPr>
      </w:pPr>
    </w:p>
    <w:p w14:paraId="4396355B" w14:textId="77777777" w:rsidR="00F219BE" w:rsidRPr="008A4E00" w:rsidRDefault="00F219BE" w:rsidP="00F219BE">
      <w:pPr>
        <w:pStyle w:val="Header"/>
        <w:tabs>
          <w:tab w:val="left" w:pos="720"/>
        </w:tabs>
        <w:bidi w:val="0"/>
        <w:jc w:val="center"/>
        <w:rPr>
          <w:rFonts w:asciiTheme="majorBidi" w:hAnsiTheme="majorBidi" w:cstheme="majorBidi"/>
          <w:sz w:val="24"/>
          <w:szCs w:val="24"/>
        </w:rPr>
      </w:pPr>
    </w:p>
    <w:tbl>
      <w:tblPr>
        <w:tblW w:w="9453" w:type="dxa"/>
        <w:tblBorders>
          <w:top w:val="thinThickSmallGap" w:sz="24" w:space="0" w:color="E33332"/>
          <w:left w:val="thinThickSmallGap" w:sz="24" w:space="0" w:color="E33332"/>
          <w:bottom w:val="thinThickSmallGap" w:sz="24" w:space="0" w:color="E33332"/>
          <w:right w:val="thinThickSmallGap" w:sz="24" w:space="0" w:color="E33332"/>
          <w:insideH w:val="single" w:sz="6" w:space="0" w:color="auto"/>
        </w:tblBorders>
        <w:tblLook w:val="04A0" w:firstRow="1" w:lastRow="0" w:firstColumn="1" w:lastColumn="0" w:noHBand="0" w:noVBand="1"/>
      </w:tblPr>
      <w:tblGrid>
        <w:gridCol w:w="2081"/>
        <w:gridCol w:w="7372"/>
      </w:tblGrid>
      <w:tr w:rsidR="007D39B6" w:rsidRPr="008A4E00" w14:paraId="222CFB9C" w14:textId="77777777" w:rsidTr="006D4766">
        <w:tc>
          <w:tcPr>
            <w:tcW w:w="2081" w:type="dxa"/>
            <w:shd w:val="clear" w:color="auto" w:fill="auto"/>
            <w:vAlign w:val="center"/>
          </w:tcPr>
          <w:p w14:paraId="7489B919" w14:textId="77777777" w:rsidR="007D39B6" w:rsidRPr="008A4E00" w:rsidRDefault="007D39B6" w:rsidP="008C6258">
            <w:pPr>
              <w:pStyle w:val="Header"/>
              <w:tabs>
                <w:tab w:val="left" w:pos="720"/>
              </w:tabs>
              <w:bidi w:val="0"/>
              <w:jc w:val="center"/>
              <w:rPr>
                <w:rFonts w:ascii="Times New Roman" w:hAnsi="Times New Roman" w:cs="Times New Roman"/>
                <w:b/>
                <w:bCs/>
                <w:sz w:val="24"/>
                <w:szCs w:val="24"/>
                <w:lang w:val="it-IT"/>
              </w:rPr>
            </w:pPr>
            <w:r w:rsidRPr="008A4E00">
              <w:rPr>
                <w:noProof/>
              </w:rPr>
              <w:drawing>
                <wp:inline distT="0" distB="0" distL="0" distR="0" wp14:anchorId="167A2C9A" wp14:editId="680DC990">
                  <wp:extent cx="1089025" cy="1081405"/>
                  <wp:effectExtent l="19050" t="0" r="0" b="0"/>
                  <wp:docPr id="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4" cstate="print"/>
                          <a:srcRect/>
                          <a:stretch>
                            <a:fillRect/>
                          </a:stretch>
                        </pic:blipFill>
                        <pic:spPr bwMode="auto">
                          <a:xfrm>
                            <a:off x="0" y="0"/>
                            <a:ext cx="1089025" cy="1081405"/>
                          </a:xfrm>
                          <a:prstGeom prst="rect">
                            <a:avLst/>
                          </a:prstGeom>
                          <a:noFill/>
                          <a:ln w="9525">
                            <a:noFill/>
                            <a:miter lim="800000"/>
                            <a:headEnd/>
                            <a:tailEnd/>
                          </a:ln>
                        </pic:spPr>
                      </pic:pic>
                    </a:graphicData>
                  </a:graphic>
                </wp:inline>
              </w:drawing>
            </w:r>
          </w:p>
        </w:tc>
        <w:tc>
          <w:tcPr>
            <w:tcW w:w="7372" w:type="dxa"/>
            <w:shd w:val="clear" w:color="auto" w:fill="auto"/>
            <w:vAlign w:val="center"/>
          </w:tcPr>
          <w:p w14:paraId="628EFA80" w14:textId="77777777" w:rsidR="007D39B6" w:rsidRPr="008A4E00" w:rsidRDefault="007D39B6" w:rsidP="008C6258">
            <w:pPr>
              <w:pStyle w:val="Header"/>
              <w:tabs>
                <w:tab w:val="left" w:pos="720"/>
              </w:tabs>
              <w:bidi w:val="0"/>
              <w:rPr>
                <w:rFonts w:ascii="Times New Roman" w:hAnsi="Times New Roman" w:cs="Times New Roman"/>
                <w:b/>
                <w:bCs/>
                <w:sz w:val="24"/>
                <w:szCs w:val="24"/>
              </w:rPr>
            </w:pPr>
            <w:r w:rsidRPr="008A4E00">
              <w:rPr>
                <w:rFonts w:ascii="Times New Roman" w:hAnsi="Times New Roman" w:cs="Times New Roman"/>
                <w:b/>
                <w:sz w:val="28"/>
                <w:szCs w:val="28"/>
              </w:rPr>
              <w:t>GOAL 1 – End Poverty In All Its Forms Everywhere</w:t>
            </w:r>
          </w:p>
        </w:tc>
      </w:tr>
    </w:tbl>
    <w:p w14:paraId="32BD53DC" w14:textId="77777777" w:rsidR="007D39B6" w:rsidRPr="00722FC2" w:rsidRDefault="007D39B6" w:rsidP="008C6258">
      <w:pPr>
        <w:bidi w:val="0"/>
        <w:spacing w:after="0" w:line="240" w:lineRule="auto"/>
        <w:ind w:right="-334"/>
        <w:jc w:val="both"/>
        <w:rPr>
          <w:rFonts w:ascii="Times New Roman" w:hAnsi="Times New Roman" w:cs="Times New Roman"/>
          <w:b/>
          <w:bCs/>
          <w:sz w:val="16"/>
          <w:szCs w:val="16"/>
        </w:rPr>
      </w:pPr>
    </w:p>
    <w:p w14:paraId="2446DDA4" w14:textId="77777777" w:rsidR="00F13199" w:rsidRDefault="00F13199" w:rsidP="008C6258">
      <w:pPr>
        <w:bidi w:val="0"/>
        <w:spacing w:after="0" w:line="240" w:lineRule="auto"/>
        <w:ind w:right="-334"/>
        <w:jc w:val="both"/>
        <w:rPr>
          <w:rFonts w:ascii="Times New Roman" w:hAnsi="Times New Roman" w:cs="Times New Roman"/>
          <w:b/>
          <w:bCs/>
          <w:sz w:val="24"/>
          <w:szCs w:val="24"/>
          <w:lang w:eastAsia="ar-SA"/>
        </w:rPr>
      </w:pPr>
    </w:p>
    <w:p w14:paraId="4DB19154" w14:textId="77777777" w:rsidR="007D39B6" w:rsidRPr="008A4E00" w:rsidRDefault="007D39B6" w:rsidP="00F13199">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Introduction to the Goal</w:t>
      </w:r>
    </w:p>
    <w:p w14:paraId="3021188F" w14:textId="77777777" w:rsidR="007D39B6" w:rsidRDefault="007D39B6" w:rsidP="0041063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Ending poverty, in all its manifestations including its most extreme forms, through interconnected strategies, is the theme of the Goal 1. Providing people in every part of the world w</w:t>
      </w:r>
      <w:r w:rsidR="00611C35">
        <w:rPr>
          <w:rFonts w:ascii="Times New Roman" w:hAnsi="Times New Roman" w:cs="Times New Roman"/>
          <w:sz w:val="24"/>
          <w:szCs w:val="24"/>
          <w:lang w:eastAsia="ar-SA"/>
        </w:rPr>
        <w:t xml:space="preserve">ith the support they need, </w:t>
      </w:r>
      <w:r w:rsidR="00611C35" w:rsidRPr="00611C35">
        <w:rPr>
          <w:rFonts w:ascii="Times New Roman" w:hAnsi="Times New Roman" w:cs="Times New Roman"/>
          <w:sz w:val="24"/>
          <w:szCs w:val="24"/>
          <w:lang w:eastAsia="ar-SA"/>
        </w:rPr>
        <w:t>even though</w:t>
      </w:r>
      <w:r w:rsidRPr="008A4E00">
        <w:rPr>
          <w:rFonts w:ascii="Times New Roman" w:hAnsi="Times New Roman" w:cs="Times New Roman"/>
          <w:sz w:val="24"/>
          <w:szCs w:val="24"/>
          <w:lang w:eastAsia="ar-SA"/>
        </w:rPr>
        <w:t xml:space="preserve"> promoting social protection systems, in fact, is the very essence of sustainable development.</w:t>
      </w:r>
    </w:p>
    <w:p w14:paraId="00B80603" w14:textId="77777777" w:rsidR="008C6258" w:rsidRPr="008A4E00" w:rsidRDefault="008C6258" w:rsidP="008C6258">
      <w:pPr>
        <w:bidi w:val="0"/>
        <w:spacing w:after="0" w:line="240" w:lineRule="auto"/>
        <w:ind w:right="-334"/>
        <w:jc w:val="both"/>
        <w:rPr>
          <w:rFonts w:ascii="Times New Roman" w:hAnsi="Times New Roman" w:cs="Times New Roman"/>
          <w:sz w:val="24"/>
          <w:szCs w:val="24"/>
          <w:lang w:eastAsia="ar-SA"/>
        </w:rPr>
      </w:pPr>
    </w:p>
    <w:p w14:paraId="2ECB4F52"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To allow people to get out of poverty it is necessary to guarantee equal rights, to have access to economic</w:t>
      </w:r>
      <w:r w:rsidR="00946E1D">
        <w:rPr>
          <w:rFonts w:ascii="Times New Roman" w:hAnsi="Times New Roman" w:cs="Times New Roman"/>
          <w:sz w:val="24"/>
          <w:szCs w:val="24"/>
          <w:lang w:eastAsia="ar-SA"/>
        </w:rPr>
        <w:t>,</w:t>
      </w:r>
      <w:r w:rsidRPr="008A4E00">
        <w:rPr>
          <w:rFonts w:ascii="Times New Roman" w:hAnsi="Times New Roman" w:cs="Times New Roman"/>
          <w:sz w:val="24"/>
          <w:szCs w:val="24"/>
          <w:lang w:eastAsia="ar-SA"/>
        </w:rPr>
        <w:t>natural ,</w:t>
      </w:r>
      <w:r w:rsidR="00946E1D">
        <w:rPr>
          <w:rFonts w:ascii="Times New Roman" w:hAnsi="Times New Roman" w:cs="Times New Roman"/>
          <w:sz w:val="24"/>
          <w:szCs w:val="24"/>
          <w:lang w:eastAsia="ar-SA"/>
        </w:rPr>
        <w:t xml:space="preserve">and </w:t>
      </w:r>
      <w:r w:rsidRPr="008A4E00">
        <w:rPr>
          <w:rFonts w:ascii="Times New Roman" w:hAnsi="Times New Roman" w:cs="Times New Roman"/>
          <w:sz w:val="24"/>
          <w:szCs w:val="24"/>
          <w:lang w:eastAsia="ar-SA"/>
        </w:rPr>
        <w:t xml:space="preserve">technological resources </w:t>
      </w:r>
      <w:r w:rsidR="00946E1D">
        <w:rPr>
          <w:rFonts w:ascii="Times New Roman" w:hAnsi="Times New Roman" w:cs="Times New Roman"/>
          <w:sz w:val="24"/>
          <w:szCs w:val="24"/>
          <w:lang w:eastAsia="ar-SA"/>
        </w:rPr>
        <w:t xml:space="preserve">as well as </w:t>
      </w:r>
      <w:r w:rsidRPr="008A4E00">
        <w:rPr>
          <w:rFonts w:ascii="Times New Roman" w:hAnsi="Times New Roman" w:cs="Times New Roman"/>
          <w:sz w:val="24"/>
          <w:szCs w:val="24"/>
          <w:lang w:eastAsia="ar-SA"/>
        </w:rPr>
        <w:t>property and basic services. Furthermore, all necessary aid must be guaranteed to the communities affected by climate-related disasters. In 2015, with the signing of the 2030 Agenda, governments around the world pledged to end poverty over the next years so that all people, anywhere in the world, can enjoy a</w:t>
      </w:r>
      <w:r w:rsidR="00946E1D">
        <w:rPr>
          <w:rFonts w:ascii="Times New Roman" w:hAnsi="Times New Roman" w:cs="Times New Roman"/>
          <w:sz w:val="24"/>
          <w:szCs w:val="24"/>
          <w:lang w:eastAsia="ar-SA"/>
        </w:rPr>
        <w:t>n adequate</w:t>
      </w:r>
      <w:r w:rsidRPr="008A4E00">
        <w:rPr>
          <w:rFonts w:ascii="Times New Roman" w:hAnsi="Times New Roman" w:cs="Times New Roman"/>
          <w:sz w:val="24"/>
          <w:szCs w:val="24"/>
          <w:lang w:eastAsia="ar-SA"/>
        </w:rPr>
        <w:t xml:space="preserve"> standard of living and have opportunities to reach their full potential.</w:t>
      </w:r>
    </w:p>
    <w:p w14:paraId="48AED967"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p>
    <w:p w14:paraId="76D716E0"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Targets</w:t>
      </w:r>
    </w:p>
    <w:p w14:paraId="3495786D"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Goal 1 is broken down into </w:t>
      </w:r>
      <w:r w:rsidR="00F3201C">
        <w:rPr>
          <w:rFonts w:ascii="Times New Roman" w:hAnsi="Times New Roman" w:cs="Times New Roman"/>
          <w:sz w:val="24"/>
          <w:szCs w:val="24"/>
          <w:lang w:eastAsia="ar-SA"/>
        </w:rPr>
        <w:t>sevent</w:t>
      </w:r>
      <w:r w:rsidRPr="008A4E00">
        <w:rPr>
          <w:rFonts w:ascii="Times New Roman" w:hAnsi="Times New Roman" w:cs="Times New Roman"/>
          <w:sz w:val="24"/>
          <w:szCs w:val="24"/>
          <w:lang w:eastAsia="ar-SA"/>
        </w:rPr>
        <w:t xml:space="preserve">argets, of which the last </w:t>
      </w:r>
      <w:r w:rsidR="00F3201C">
        <w:rPr>
          <w:rFonts w:ascii="Times New Roman" w:hAnsi="Times New Roman" w:cs="Times New Roman"/>
          <w:sz w:val="24"/>
          <w:szCs w:val="24"/>
          <w:lang w:eastAsia="ar-SA"/>
        </w:rPr>
        <w:t>two</w:t>
      </w:r>
      <w:r w:rsidRPr="008A4E00">
        <w:rPr>
          <w:rFonts w:ascii="Times New Roman" w:hAnsi="Times New Roman" w:cs="Times New Roman"/>
          <w:sz w:val="24"/>
          <w:szCs w:val="24"/>
          <w:lang w:eastAsia="ar-SA"/>
        </w:rPr>
        <w:t xml:space="preserve"> refer to means of implementation: </w:t>
      </w:r>
    </w:p>
    <w:p w14:paraId="6539BA8C"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1.1</w:t>
      </w:r>
    </w:p>
    <w:p w14:paraId="72B67B9A"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eradicate extreme poverty for all people everywhere, currently measured as people living on less than $1.25 a day.</w:t>
      </w:r>
    </w:p>
    <w:p w14:paraId="5DB0AE9E"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5E27BDFC"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1.2</w:t>
      </w:r>
    </w:p>
    <w:p w14:paraId="35B05D8A"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reduce at least by half the proportion of men, women</w:t>
      </w:r>
      <w:r w:rsidR="006C31EC">
        <w:rPr>
          <w:rFonts w:ascii="Times New Roman" w:hAnsi="Times New Roman" w:cs="Times New Roman"/>
          <w:sz w:val="24"/>
          <w:szCs w:val="24"/>
          <w:lang w:eastAsia="ar-SA"/>
        </w:rPr>
        <w:t>,</w:t>
      </w:r>
      <w:r w:rsidRPr="008A4E00">
        <w:rPr>
          <w:rFonts w:ascii="Times New Roman" w:hAnsi="Times New Roman" w:cs="Times New Roman"/>
          <w:sz w:val="24"/>
          <w:szCs w:val="24"/>
          <w:lang w:eastAsia="ar-SA"/>
        </w:rPr>
        <w:t xml:space="preserve"> and children of all ages living in poverty in all its dimensions according to national definitions.</w:t>
      </w:r>
    </w:p>
    <w:p w14:paraId="4A014DAD"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2F0DB7D2"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1.3</w:t>
      </w:r>
    </w:p>
    <w:p w14:paraId="3C51C230"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Implement nationally appropriate social protection systems and measures for all, including floors, and by 2030 achieve substantial coverage of the poor and vulnerable.</w:t>
      </w:r>
    </w:p>
    <w:p w14:paraId="27938F8B"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62F694BF"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1.4</w:t>
      </w:r>
    </w:p>
    <w:p w14:paraId="28B547A4"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ensure that all men and women, particular</w:t>
      </w:r>
      <w:r w:rsidR="00F3201C">
        <w:rPr>
          <w:rFonts w:ascii="Times New Roman" w:hAnsi="Times New Roman" w:cs="Times New Roman"/>
          <w:sz w:val="24"/>
          <w:szCs w:val="24"/>
          <w:lang w:eastAsia="ar-SA"/>
        </w:rPr>
        <w:t>ly</w:t>
      </w:r>
      <w:r w:rsidRPr="008A4E00">
        <w:rPr>
          <w:rFonts w:ascii="Times New Roman" w:hAnsi="Times New Roman" w:cs="Times New Roman"/>
          <w:sz w:val="24"/>
          <w:szCs w:val="24"/>
          <w:lang w:eastAsia="ar-SA"/>
        </w:rPr>
        <w:t xml:space="preserve"> the poor and the vulnerable, have equal rights to economic resources, as well as access to basic services, ownership and control over land and other forms of property, inheritance, natural resources, appropriate new technology</w:t>
      </w:r>
      <w:r w:rsidR="004E44B3">
        <w:rPr>
          <w:rFonts w:ascii="Times New Roman" w:hAnsi="Times New Roman" w:cs="Times New Roman"/>
          <w:sz w:val="24"/>
          <w:szCs w:val="24"/>
          <w:lang w:eastAsia="ar-SA"/>
        </w:rPr>
        <w:t>,</w:t>
      </w:r>
      <w:r w:rsidRPr="008A4E00">
        <w:rPr>
          <w:rFonts w:ascii="Times New Roman" w:hAnsi="Times New Roman" w:cs="Times New Roman"/>
          <w:sz w:val="24"/>
          <w:szCs w:val="24"/>
          <w:lang w:eastAsia="ar-SA"/>
        </w:rPr>
        <w:t xml:space="preserve"> and financial services including microfinance.</w:t>
      </w:r>
    </w:p>
    <w:p w14:paraId="4D8A39C4"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4AD6F037"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1.5</w:t>
      </w:r>
    </w:p>
    <w:p w14:paraId="32CA49EB"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build the resilience of the poor and those in vulnerable situations and reduce their exposure and vulnerability to climate-related extreme events and other economic, social and environmental shocks</w:t>
      </w:r>
      <w:r w:rsidR="004E44B3">
        <w:rPr>
          <w:rFonts w:ascii="Times New Roman" w:hAnsi="Times New Roman" w:cs="Times New Roman"/>
          <w:sz w:val="24"/>
          <w:szCs w:val="24"/>
          <w:lang w:eastAsia="ar-SA"/>
        </w:rPr>
        <w:t>,</w:t>
      </w:r>
      <w:r w:rsidRPr="008A4E00">
        <w:rPr>
          <w:rFonts w:ascii="Times New Roman" w:hAnsi="Times New Roman" w:cs="Times New Roman"/>
          <w:sz w:val="24"/>
          <w:szCs w:val="24"/>
          <w:lang w:eastAsia="ar-SA"/>
        </w:rPr>
        <w:t xml:space="preserve"> and disasters.</w:t>
      </w:r>
    </w:p>
    <w:p w14:paraId="15829158"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4D0E8FB2" w14:textId="77777777" w:rsidR="001F12C6" w:rsidRDefault="001F12C6" w:rsidP="008C6258">
      <w:pPr>
        <w:bidi w:val="0"/>
        <w:spacing w:after="0" w:line="240" w:lineRule="auto"/>
        <w:ind w:right="-334"/>
        <w:jc w:val="both"/>
        <w:rPr>
          <w:rFonts w:ascii="Times New Roman" w:hAnsi="Times New Roman" w:cs="Times New Roman"/>
          <w:b/>
          <w:bCs/>
          <w:sz w:val="24"/>
          <w:szCs w:val="24"/>
          <w:lang w:eastAsia="ar-SA"/>
        </w:rPr>
      </w:pPr>
    </w:p>
    <w:p w14:paraId="42AB7861" w14:textId="77777777" w:rsidR="001F12C6" w:rsidRDefault="001F12C6" w:rsidP="001F12C6">
      <w:pPr>
        <w:bidi w:val="0"/>
        <w:spacing w:after="0" w:line="240" w:lineRule="auto"/>
        <w:ind w:right="-334"/>
        <w:jc w:val="both"/>
        <w:rPr>
          <w:rFonts w:ascii="Times New Roman" w:hAnsi="Times New Roman" w:cs="Times New Roman"/>
          <w:b/>
          <w:bCs/>
          <w:sz w:val="24"/>
          <w:szCs w:val="24"/>
          <w:lang w:eastAsia="ar-SA"/>
        </w:rPr>
      </w:pPr>
    </w:p>
    <w:p w14:paraId="4735FD7A" w14:textId="77777777" w:rsidR="007D39B6" w:rsidRPr="008A4E00" w:rsidRDefault="007D39B6" w:rsidP="001F12C6">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lastRenderedPageBreak/>
        <w:t>1.a</w:t>
      </w:r>
    </w:p>
    <w:p w14:paraId="7D49FBCC"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Ensure significant mobilization of resources from a variety of sources, including through enhanced development cooperation in order to provide adequate and predictable means for developing countries, in particular least developed countries, to implement programmes and policies to end poverty in all its dimensions.</w:t>
      </w:r>
    </w:p>
    <w:p w14:paraId="1A4DB015"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3168C98E"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1.b</w:t>
      </w:r>
    </w:p>
    <w:p w14:paraId="1C0921B5"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Create sound policy frameworks at the national, regional and international levels, based on pro-poor and gender-sensitive development strategies to support accelerated investment in poverty eradication actions.</w:t>
      </w:r>
    </w:p>
    <w:p w14:paraId="255EDD6B" w14:textId="77777777" w:rsidR="00D53899" w:rsidRPr="008A4E00" w:rsidRDefault="00D53899" w:rsidP="00D53899">
      <w:pPr>
        <w:bidi w:val="0"/>
        <w:spacing w:after="0" w:line="240" w:lineRule="auto"/>
        <w:ind w:right="-334"/>
        <w:jc w:val="both"/>
        <w:rPr>
          <w:rFonts w:ascii="Times New Roman" w:hAnsi="Times New Roman" w:cs="Times New Roman"/>
          <w:sz w:val="24"/>
          <w:szCs w:val="24"/>
          <w:lang w:eastAsia="ar-SA"/>
        </w:rPr>
      </w:pPr>
    </w:p>
    <w:p w14:paraId="43612258" w14:textId="77777777" w:rsidR="007D39B6" w:rsidRPr="00444566" w:rsidRDefault="007D39B6" w:rsidP="008C6258">
      <w:pPr>
        <w:bidi w:val="0"/>
        <w:spacing w:after="0" w:line="240" w:lineRule="auto"/>
        <w:ind w:right="-334"/>
        <w:jc w:val="both"/>
        <w:rPr>
          <w:rFonts w:ascii="Times New Roman" w:hAnsi="Times New Roman" w:cs="Times New Roman"/>
          <w:sz w:val="10"/>
          <w:szCs w:val="10"/>
          <w:lang w:eastAsia="ar-SA"/>
        </w:rPr>
      </w:pPr>
    </w:p>
    <w:p w14:paraId="006F66F5" w14:textId="77777777" w:rsidR="007D39B6" w:rsidRPr="00B25DD3" w:rsidRDefault="007D39B6" w:rsidP="00FB1314">
      <w:pPr>
        <w:pStyle w:val="ListParagraph"/>
        <w:numPr>
          <w:ilvl w:val="0"/>
          <w:numId w:val="9"/>
        </w:numPr>
        <w:spacing w:after="0" w:line="240" w:lineRule="auto"/>
        <w:ind w:right="-334"/>
        <w:jc w:val="both"/>
        <w:rPr>
          <w:rFonts w:ascii="Times New Roman" w:hAnsi="Times New Roman" w:cs="Times New Roman"/>
          <w:b/>
          <w:bCs/>
          <w:sz w:val="24"/>
          <w:szCs w:val="24"/>
          <w:lang w:eastAsia="ar-SA"/>
        </w:rPr>
      </w:pPr>
      <w:r w:rsidRPr="00B25DD3">
        <w:rPr>
          <w:rFonts w:ascii="Times New Roman" w:hAnsi="Times New Roman" w:cs="Times New Roman"/>
          <w:b/>
          <w:bCs/>
          <w:sz w:val="24"/>
          <w:szCs w:val="24"/>
          <w:lang w:eastAsia="ar-SA"/>
        </w:rPr>
        <w:t>Indicators released by PCBS</w:t>
      </w:r>
    </w:p>
    <w:p w14:paraId="4CCD8870" w14:textId="77777777" w:rsidR="006E7DFE" w:rsidRPr="00B25DD3" w:rsidRDefault="006E7DFE" w:rsidP="00851381">
      <w:pPr>
        <w:bidi w:val="0"/>
        <w:spacing w:after="0" w:line="240" w:lineRule="auto"/>
        <w:ind w:right="-334"/>
        <w:jc w:val="both"/>
        <w:rPr>
          <w:rFonts w:ascii="Times New Roman" w:hAnsi="Times New Roman" w:cs="Times New Roman"/>
          <w:sz w:val="24"/>
          <w:szCs w:val="24"/>
          <w:lang w:eastAsia="ar-SA"/>
        </w:rPr>
      </w:pPr>
      <w:r w:rsidRPr="00B25DD3">
        <w:rPr>
          <w:rFonts w:ascii="Times New Roman" w:hAnsi="Times New Roman" w:cs="Times New Roman"/>
          <w:sz w:val="24"/>
          <w:szCs w:val="24"/>
          <w:lang w:eastAsia="ar-SA"/>
        </w:rPr>
        <w:t xml:space="preserve">There are </w:t>
      </w:r>
      <w:r w:rsidR="003E299D" w:rsidRPr="00B25DD3">
        <w:rPr>
          <w:rFonts w:ascii="Times New Roman" w:hAnsi="Times New Roman" w:cs="Times New Roman"/>
          <w:sz w:val="24"/>
          <w:szCs w:val="24"/>
          <w:lang w:eastAsia="ar-SA"/>
        </w:rPr>
        <w:t>seven</w:t>
      </w:r>
      <w:r w:rsidRPr="00B25DD3">
        <w:rPr>
          <w:rFonts w:ascii="Times New Roman" w:hAnsi="Times New Roman" w:cs="Times New Roman"/>
          <w:sz w:val="24"/>
          <w:szCs w:val="24"/>
          <w:lang w:eastAsia="ar-SA"/>
        </w:rPr>
        <w:t xml:space="preserve"> indicators released by PCBS for Goal 1, represent</w:t>
      </w:r>
      <w:r w:rsidR="003E299D" w:rsidRPr="00B25DD3">
        <w:rPr>
          <w:rFonts w:ascii="Times New Roman" w:hAnsi="Times New Roman" w:cs="Times New Roman"/>
          <w:sz w:val="24"/>
          <w:szCs w:val="24"/>
          <w:lang w:eastAsia="ar-SA"/>
        </w:rPr>
        <w:t>ing</w:t>
      </w:r>
      <w:r w:rsidRPr="00B25DD3">
        <w:rPr>
          <w:rFonts w:ascii="Times New Roman" w:hAnsi="Times New Roman" w:cs="Times New Roman" w:hint="cs"/>
          <w:sz w:val="24"/>
          <w:szCs w:val="24"/>
          <w:rtl/>
          <w:lang w:eastAsia="ar-SA"/>
        </w:rPr>
        <w:t>12</w:t>
      </w:r>
      <w:r w:rsidRPr="00B25DD3">
        <w:rPr>
          <w:rFonts w:ascii="Times New Roman" w:hAnsi="Times New Roman" w:cs="Times New Roman"/>
          <w:sz w:val="24"/>
          <w:szCs w:val="24"/>
          <w:lang w:eastAsia="ar-SA"/>
        </w:rPr>
        <w:t xml:space="preserve"> data point</w:t>
      </w:r>
      <w:r w:rsidR="003E299D" w:rsidRPr="00B25DD3">
        <w:rPr>
          <w:rFonts w:ascii="Times New Roman" w:hAnsi="Times New Roman" w:cs="Times New Roman"/>
          <w:sz w:val="24"/>
          <w:szCs w:val="24"/>
          <w:lang w:eastAsia="ar-SA"/>
        </w:rPr>
        <w:t>s</w:t>
      </w:r>
      <w:r w:rsidRPr="00B25DD3">
        <w:rPr>
          <w:rFonts w:ascii="Times New Roman" w:hAnsi="Times New Roman" w:cs="Times New Roman"/>
          <w:sz w:val="24"/>
          <w:szCs w:val="24"/>
          <w:lang w:eastAsia="ar-SA"/>
        </w:rPr>
        <w:t xml:space="preserve">, referring to </w:t>
      </w:r>
      <w:r w:rsidR="00851381" w:rsidRPr="00B25DD3">
        <w:rPr>
          <w:rFonts w:ascii="Times New Roman" w:hAnsi="Times New Roman" w:cs="Times New Roman"/>
          <w:sz w:val="24"/>
          <w:szCs w:val="24"/>
          <w:lang w:eastAsia="ar-SA"/>
        </w:rPr>
        <w:t>Three</w:t>
      </w:r>
      <w:r w:rsidRPr="00B25DD3">
        <w:rPr>
          <w:rFonts w:ascii="Times New Roman" w:hAnsi="Times New Roman" w:cs="Times New Roman"/>
          <w:sz w:val="24"/>
          <w:szCs w:val="24"/>
          <w:lang w:eastAsia="ar-SA"/>
        </w:rPr>
        <w:t xml:space="preserve"> of the </w:t>
      </w:r>
      <w:r w:rsidR="003E299D" w:rsidRPr="00B25DD3">
        <w:rPr>
          <w:rFonts w:ascii="Times New Roman" w:hAnsi="Times New Roman" w:cs="Times New Roman"/>
          <w:sz w:val="24"/>
          <w:szCs w:val="24"/>
          <w:lang w:eastAsia="ar-SA"/>
        </w:rPr>
        <w:t>seven</w:t>
      </w:r>
      <w:r w:rsidRPr="00B25DD3">
        <w:rPr>
          <w:rFonts w:ascii="Times New Roman" w:hAnsi="Times New Roman" w:cs="Times New Roman"/>
          <w:sz w:val="24"/>
          <w:szCs w:val="24"/>
          <w:lang w:eastAsia="ar-SA"/>
        </w:rPr>
        <w:t xml:space="preserve"> targets.</w:t>
      </w:r>
    </w:p>
    <w:p w14:paraId="03F81CD0" w14:textId="77777777" w:rsidR="008C6258" w:rsidRPr="00B25DD3" w:rsidRDefault="008C6258" w:rsidP="008C6258">
      <w:pPr>
        <w:bidi w:val="0"/>
        <w:spacing w:after="0" w:line="240" w:lineRule="auto"/>
        <w:ind w:right="-334"/>
        <w:jc w:val="both"/>
        <w:rPr>
          <w:rFonts w:ascii="Times New Roman" w:hAnsi="Times New Roman" w:cs="Times New Roman"/>
          <w:sz w:val="10"/>
          <w:szCs w:val="10"/>
          <w:lang w:eastAsia="ar-SA"/>
        </w:rPr>
      </w:pPr>
    </w:p>
    <w:p w14:paraId="60761A9F" w14:textId="77777777" w:rsidR="007D39B6" w:rsidRPr="00B25DD3" w:rsidRDefault="007D39B6" w:rsidP="008C6258">
      <w:pPr>
        <w:bidi w:val="0"/>
        <w:spacing w:after="0" w:line="240" w:lineRule="auto"/>
        <w:jc w:val="center"/>
        <w:rPr>
          <w:rFonts w:ascii="Times New Roman" w:hAnsi="Times New Roman" w:cs="Times New Roman"/>
          <w:sz w:val="24"/>
          <w:szCs w:val="24"/>
          <w:lang w:eastAsia="ar-SA"/>
        </w:rPr>
      </w:pPr>
      <w:r w:rsidRPr="00B25DD3">
        <w:rPr>
          <w:rFonts w:ascii="Arial" w:hAnsi="Arial"/>
          <w:b/>
          <w:bCs/>
          <w:lang w:eastAsia="ar-SA"/>
        </w:rPr>
        <w:t>Table1.1: List of SDGs Indicators Released by PCBS</w:t>
      </w:r>
    </w:p>
    <w:p w14:paraId="2DE83568" w14:textId="77777777" w:rsidR="007D39B6" w:rsidRPr="00B25DD3" w:rsidRDefault="007D39B6" w:rsidP="008C6258">
      <w:pPr>
        <w:pStyle w:val="Bodytext1"/>
        <w:shd w:val="clear" w:color="auto" w:fill="auto"/>
        <w:spacing w:before="0" w:after="0" w:line="240" w:lineRule="auto"/>
        <w:ind w:firstLine="0"/>
        <w:rPr>
          <w:rStyle w:val="Bodytext8pt"/>
          <w:rFonts w:ascii="Arial" w:hAnsi="Arial" w:cs="Arial"/>
          <w:color w:val="auto"/>
          <w:sz w:val="12"/>
          <w:szCs w:val="12"/>
          <w:rtl/>
        </w:rPr>
      </w:pPr>
    </w:p>
    <w:tbl>
      <w:tblPr>
        <w:tblW w:w="9694" w:type="dxa"/>
        <w:jc w:val="center"/>
        <w:tblLook w:val="04A0" w:firstRow="1" w:lastRow="0" w:firstColumn="1" w:lastColumn="0" w:noHBand="0" w:noVBand="1"/>
      </w:tblPr>
      <w:tblGrid>
        <w:gridCol w:w="4390"/>
        <w:gridCol w:w="1275"/>
        <w:gridCol w:w="1293"/>
        <w:gridCol w:w="1401"/>
        <w:gridCol w:w="1335"/>
      </w:tblGrid>
      <w:tr w:rsidR="007D39B6" w:rsidRPr="00B25DD3" w14:paraId="4CC3AB3B" w14:textId="77777777" w:rsidTr="00F71DD3">
        <w:trPr>
          <w:trHeight w:val="504"/>
          <w:tblHeader/>
          <w:jc w:val="center"/>
        </w:trPr>
        <w:tc>
          <w:tcPr>
            <w:tcW w:w="4390" w:type="dxa"/>
            <w:tcBorders>
              <w:top w:val="single" w:sz="4" w:space="0" w:color="auto"/>
              <w:left w:val="single" w:sz="4" w:space="0" w:color="auto"/>
              <w:bottom w:val="nil"/>
              <w:right w:val="single" w:sz="4" w:space="0" w:color="auto"/>
            </w:tcBorders>
            <w:shd w:val="clear" w:color="auto" w:fill="auto"/>
            <w:noWrap/>
            <w:vAlign w:val="center"/>
            <w:hideMark/>
          </w:tcPr>
          <w:p w14:paraId="4055A2FC" w14:textId="77777777" w:rsidR="007D39B6" w:rsidRPr="00B25DD3" w:rsidRDefault="007D39B6" w:rsidP="00F71DD3">
            <w:pPr>
              <w:bidi w:val="0"/>
              <w:spacing w:after="0" w:line="240" w:lineRule="auto"/>
              <w:ind w:left="60"/>
              <w:jc w:val="center"/>
              <w:rPr>
                <w:rFonts w:ascii="Arial" w:hAnsi="Arial"/>
                <w:b/>
                <w:bCs/>
                <w:sz w:val="18"/>
                <w:szCs w:val="18"/>
              </w:rPr>
            </w:pPr>
            <w:r w:rsidRPr="00B25DD3">
              <w:rPr>
                <w:rFonts w:ascii="Arial" w:hAnsi="Arial"/>
                <w:b/>
                <w:bCs/>
                <w:sz w:val="18"/>
                <w:szCs w:val="18"/>
              </w:rPr>
              <w:t>Indicators</w:t>
            </w:r>
          </w:p>
        </w:tc>
        <w:tc>
          <w:tcPr>
            <w:tcW w:w="1275" w:type="dxa"/>
            <w:tcBorders>
              <w:top w:val="single" w:sz="4" w:space="0" w:color="auto"/>
              <w:left w:val="nil"/>
              <w:bottom w:val="nil"/>
              <w:right w:val="single" w:sz="4" w:space="0" w:color="auto"/>
            </w:tcBorders>
            <w:shd w:val="clear" w:color="auto" w:fill="auto"/>
            <w:noWrap/>
            <w:vAlign w:val="center"/>
            <w:hideMark/>
          </w:tcPr>
          <w:p w14:paraId="305A6CF9" w14:textId="77777777" w:rsidR="007D39B6" w:rsidRPr="00B25DD3" w:rsidRDefault="007D39B6" w:rsidP="00F71DD3">
            <w:pPr>
              <w:bidi w:val="0"/>
              <w:spacing w:after="0" w:line="240" w:lineRule="auto"/>
              <w:jc w:val="center"/>
              <w:rPr>
                <w:rFonts w:ascii="Arial" w:hAnsi="Arial"/>
                <w:b/>
                <w:bCs/>
                <w:sz w:val="18"/>
                <w:szCs w:val="18"/>
              </w:rPr>
            </w:pPr>
            <w:r w:rsidRPr="00B25DD3">
              <w:rPr>
                <w:rFonts w:ascii="Arial" w:hAnsi="Arial"/>
                <w:b/>
                <w:bCs/>
                <w:sz w:val="18"/>
                <w:szCs w:val="18"/>
              </w:rPr>
              <w:t xml:space="preserve">Referring to the SDG </w:t>
            </w:r>
            <w:r w:rsidR="003E299D" w:rsidRPr="00B25DD3">
              <w:rPr>
                <w:rFonts w:ascii="Arial" w:hAnsi="Arial"/>
                <w:b/>
                <w:bCs/>
                <w:sz w:val="18"/>
                <w:szCs w:val="18"/>
              </w:rPr>
              <w:t>i</w:t>
            </w:r>
            <w:r w:rsidRPr="00B25DD3">
              <w:rPr>
                <w:rFonts w:ascii="Arial" w:hAnsi="Arial"/>
                <w:b/>
                <w:bCs/>
                <w:sz w:val="18"/>
                <w:szCs w:val="18"/>
              </w:rPr>
              <w:t>ndicator</w:t>
            </w:r>
          </w:p>
        </w:tc>
        <w:tc>
          <w:tcPr>
            <w:tcW w:w="1293" w:type="dxa"/>
            <w:tcBorders>
              <w:top w:val="single" w:sz="4" w:space="0" w:color="auto"/>
              <w:left w:val="nil"/>
              <w:bottom w:val="nil"/>
              <w:right w:val="single" w:sz="4" w:space="0" w:color="auto"/>
            </w:tcBorders>
          </w:tcPr>
          <w:p w14:paraId="1813549E" w14:textId="77777777" w:rsidR="007D39B6" w:rsidRPr="00B25DD3" w:rsidRDefault="007D39B6" w:rsidP="00F71DD3">
            <w:pPr>
              <w:bidi w:val="0"/>
              <w:spacing w:after="0" w:line="240" w:lineRule="auto"/>
              <w:jc w:val="center"/>
              <w:rPr>
                <w:rFonts w:ascii="Arial" w:hAnsi="Arial"/>
                <w:b/>
                <w:bCs/>
                <w:sz w:val="18"/>
                <w:szCs w:val="18"/>
              </w:rPr>
            </w:pPr>
            <w:r w:rsidRPr="00B25DD3">
              <w:rPr>
                <w:rFonts w:ascii="Arial" w:hAnsi="Arial"/>
                <w:b/>
                <w:bCs/>
                <w:sz w:val="18"/>
                <w:szCs w:val="18"/>
              </w:rPr>
              <w:t>Previous data point</w:t>
            </w:r>
          </w:p>
        </w:tc>
        <w:tc>
          <w:tcPr>
            <w:tcW w:w="1401" w:type="dxa"/>
            <w:tcBorders>
              <w:top w:val="single" w:sz="4" w:space="0" w:color="auto"/>
              <w:left w:val="single" w:sz="4" w:space="0" w:color="auto"/>
              <w:bottom w:val="nil"/>
              <w:right w:val="single" w:sz="4" w:space="0" w:color="auto"/>
            </w:tcBorders>
            <w:shd w:val="clear" w:color="auto" w:fill="auto"/>
            <w:noWrap/>
            <w:vAlign w:val="center"/>
            <w:hideMark/>
          </w:tcPr>
          <w:p w14:paraId="38A1E1CE" w14:textId="77777777" w:rsidR="007D39B6" w:rsidRPr="00B25DD3" w:rsidRDefault="007D39B6" w:rsidP="00F71DD3">
            <w:pPr>
              <w:bidi w:val="0"/>
              <w:spacing w:after="0" w:line="240" w:lineRule="auto"/>
              <w:jc w:val="center"/>
              <w:rPr>
                <w:rFonts w:ascii="Arial" w:hAnsi="Arial"/>
                <w:b/>
                <w:bCs/>
                <w:sz w:val="18"/>
                <w:szCs w:val="18"/>
              </w:rPr>
            </w:pPr>
            <w:r w:rsidRPr="00B25DD3">
              <w:rPr>
                <w:rFonts w:ascii="Arial" w:hAnsi="Arial"/>
                <w:b/>
                <w:bCs/>
                <w:sz w:val="18"/>
                <w:szCs w:val="18"/>
              </w:rPr>
              <w:t xml:space="preserve">Last </w:t>
            </w:r>
            <w:r w:rsidR="003E299D" w:rsidRPr="00B25DD3">
              <w:rPr>
                <w:rFonts w:ascii="Arial" w:hAnsi="Arial"/>
                <w:b/>
                <w:bCs/>
                <w:sz w:val="18"/>
                <w:szCs w:val="18"/>
              </w:rPr>
              <w:t>a</w:t>
            </w:r>
            <w:r w:rsidRPr="00B25DD3">
              <w:rPr>
                <w:rFonts w:ascii="Arial" w:hAnsi="Arial"/>
                <w:b/>
                <w:bCs/>
                <w:sz w:val="18"/>
                <w:szCs w:val="18"/>
              </w:rPr>
              <w:t xml:space="preserve">vailable </w:t>
            </w:r>
            <w:r w:rsidR="003E299D" w:rsidRPr="00B25DD3">
              <w:rPr>
                <w:rFonts w:ascii="Arial" w:hAnsi="Arial"/>
                <w:b/>
                <w:bCs/>
                <w:sz w:val="18"/>
                <w:szCs w:val="18"/>
              </w:rPr>
              <w:t>v</w:t>
            </w:r>
            <w:r w:rsidRPr="00B25DD3">
              <w:rPr>
                <w:rFonts w:ascii="Arial" w:hAnsi="Arial"/>
                <w:b/>
                <w:bCs/>
                <w:sz w:val="18"/>
                <w:szCs w:val="18"/>
              </w:rPr>
              <w:t>alue</w:t>
            </w:r>
          </w:p>
        </w:tc>
        <w:tc>
          <w:tcPr>
            <w:tcW w:w="1335" w:type="dxa"/>
            <w:tcBorders>
              <w:top w:val="single" w:sz="4" w:space="0" w:color="auto"/>
              <w:left w:val="single" w:sz="4" w:space="0" w:color="auto"/>
              <w:bottom w:val="nil"/>
              <w:right w:val="single" w:sz="4" w:space="0" w:color="auto"/>
            </w:tcBorders>
          </w:tcPr>
          <w:p w14:paraId="35605C5A" w14:textId="77777777" w:rsidR="007D39B6" w:rsidRPr="00B25DD3" w:rsidRDefault="007D39B6" w:rsidP="00F71DD3">
            <w:pPr>
              <w:bidi w:val="0"/>
              <w:spacing w:after="0" w:line="240" w:lineRule="auto"/>
              <w:jc w:val="center"/>
              <w:rPr>
                <w:rFonts w:ascii="Arial" w:hAnsi="Arial"/>
                <w:b/>
                <w:bCs/>
                <w:sz w:val="18"/>
                <w:szCs w:val="18"/>
              </w:rPr>
            </w:pPr>
            <w:r w:rsidRPr="00B25DD3">
              <w:rPr>
                <w:rFonts w:ascii="Arial" w:hAnsi="Arial"/>
                <w:b/>
                <w:bCs/>
                <w:sz w:val="18"/>
                <w:szCs w:val="18"/>
              </w:rPr>
              <w:t>Compared to the previous data point</w:t>
            </w:r>
          </w:p>
        </w:tc>
      </w:tr>
      <w:tr w:rsidR="007D39B6" w:rsidRPr="00B25DD3" w14:paraId="5E3E517A" w14:textId="77777777" w:rsidTr="00F71DD3">
        <w:trPr>
          <w:trHeight w:val="389"/>
          <w:jc w:val="center"/>
        </w:trPr>
        <w:tc>
          <w:tcPr>
            <w:tcW w:w="4390" w:type="dxa"/>
            <w:tcBorders>
              <w:top w:val="single" w:sz="4" w:space="0" w:color="auto"/>
              <w:left w:val="single" w:sz="4" w:space="0" w:color="auto"/>
              <w:right w:val="single" w:sz="4" w:space="0" w:color="auto"/>
            </w:tcBorders>
            <w:shd w:val="clear" w:color="auto" w:fill="auto"/>
            <w:noWrap/>
            <w:vAlign w:val="center"/>
            <w:hideMark/>
          </w:tcPr>
          <w:p w14:paraId="098CDBAA" w14:textId="77777777" w:rsidR="007D39B6" w:rsidRPr="00B25DD3" w:rsidRDefault="007D39B6" w:rsidP="00F71DD3">
            <w:pPr>
              <w:tabs>
                <w:tab w:val="left" w:pos="9072"/>
              </w:tabs>
              <w:bidi w:val="0"/>
              <w:spacing w:after="0" w:line="240" w:lineRule="auto"/>
              <w:ind w:left="60"/>
              <w:rPr>
                <w:rFonts w:ascii="Arial" w:hAnsi="Arial"/>
                <w:sz w:val="18"/>
                <w:szCs w:val="18"/>
              </w:rPr>
            </w:pPr>
            <w:r w:rsidRPr="00B25DD3">
              <w:rPr>
                <w:rFonts w:ascii="Arial" w:hAnsi="Arial"/>
                <w:b/>
                <w:sz w:val="18"/>
                <w:szCs w:val="18"/>
              </w:rPr>
              <w:t>Indicator1.2.1</w:t>
            </w:r>
            <w:r w:rsidRPr="00B25DD3">
              <w:rPr>
                <w:rFonts w:ascii="Arial" w:hAnsi="Arial"/>
                <w:sz w:val="18"/>
                <w:szCs w:val="18"/>
              </w:rPr>
              <w:t xml:space="preserve"> Proportion of population living below the national poverty line, by sex and age</w:t>
            </w:r>
          </w:p>
        </w:tc>
        <w:tc>
          <w:tcPr>
            <w:tcW w:w="1275" w:type="dxa"/>
            <w:tcBorders>
              <w:top w:val="single" w:sz="4" w:space="0" w:color="auto"/>
              <w:left w:val="nil"/>
              <w:right w:val="single" w:sz="4" w:space="0" w:color="auto"/>
            </w:tcBorders>
            <w:shd w:val="clear" w:color="auto" w:fill="auto"/>
            <w:noWrap/>
          </w:tcPr>
          <w:p w14:paraId="7BD3CB71" w14:textId="77777777" w:rsidR="007D39B6" w:rsidRPr="00B25DD3" w:rsidRDefault="007D39B6" w:rsidP="00F71DD3">
            <w:pPr>
              <w:tabs>
                <w:tab w:val="left" w:pos="9072"/>
              </w:tabs>
              <w:bidi w:val="0"/>
              <w:spacing w:after="0" w:line="240" w:lineRule="auto"/>
              <w:jc w:val="center"/>
              <w:rPr>
                <w:rFonts w:ascii="Arial" w:hAnsi="Arial"/>
                <w:sz w:val="18"/>
                <w:szCs w:val="18"/>
              </w:rPr>
            </w:pPr>
          </w:p>
        </w:tc>
        <w:tc>
          <w:tcPr>
            <w:tcW w:w="1293" w:type="dxa"/>
            <w:tcBorders>
              <w:top w:val="single" w:sz="4" w:space="0" w:color="auto"/>
              <w:left w:val="nil"/>
              <w:right w:val="single" w:sz="4" w:space="0" w:color="auto"/>
            </w:tcBorders>
          </w:tcPr>
          <w:p w14:paraId="0730A138" w14:textId="77777777" w:rsidR="007D39B6" w:rsidRPr="00B25DD3" w:rsidRDefault="007D39B6" w:rsidP="00F71DD3">
            <w:pPr>
              <w:tabs>
                <w:tab w:val="left" w:pos="9072"/>
              </w:tabs>
              <w:spacing w:after="0" w:line="240" w:lineRule="auto"/>
              <w:ind w:right="113"/>
              <w:rPr>
                <w:rFonts w:ascii="Arial" w:hAnsi="Arial"/>
                <w:sz w:val="18"/>
                <w:szCs w:val="18"/>
                <w:rtl/>
              </w:rPr>
            </w:pPr>
          </w:p>
        </w:tc>
        <w:tc>
          <w:tcPr>
            <w:tcW w:w="1401" w:type="dxa"/>
            <w:tcBorders>
              <w:top w:val="single" w:sz="4" w:space="0" w:color="auto"/>
              <w:left w:val="single" w:sz="4" w:space="0" w:color="auto"/>
              <w:right w:val="single" w:sz="4" w:space="0" w:color="auto"/>
            </w:tcBorders>
            <w:shd w:val="clear" w:color="auto" w:fill="auto"/>
            <w:noWrap/>
          </w:tcPr>
          <w:p w14:paraId="6FA59BDC" w14:textId="77777777" w:rsidR="007D39B6" w:rsidRPr="00B25DD3" w:rsidRDefault="007D39B6" w:rsidP="00F71DD3">
            <w:pPr>
              <w:tabs>
                <w:tab w:val="left" w:pos="9072"/>
              </w:tabs>
              <w:spacing w:after="0" w:line="240" w:lineRule="auto"/>
              <w:ind w:left="113" w:right="113"/>
              <w:jc w:val="center"/>
              <w:rPr>
                <w:rFonts w:ascii="Arial" w:hAnsi="Arial"/>
                <w:sz w:val="18"/>
                <w:szCs w:val="18"/>
                <w:rtl/>
              </w:rPr>
            </w:pPr>
          </w:p>
        </w:tc>
        <w:tc>
          <w:tcPr>
            <w:tcW w:w="1335" w:type="dxa"/>
            <w:tcBorders>
              <w:top w:val="single" w:sz="4" w:space="0" w:color="auto"/>
              <w:left w:val="single" w:sz="4" w:space="0" w:color="auto"/>
              <w:right w:val="single" w:sz="4" w:space="0" w:color="auto"/>
            </w:tcBorders>
          </w:tcPr>
          <w:p w14:paraId="3F5941CE" w14:textId="77777777" w:rsidR="007D39B6" w:rsidRPr="00B25DD3" w:rsidRDefault="007D39B6" w:rsidP="00F71DD3">
            <w:pPr>
              <w:tabs>
                <w:tab w:val="left" w:pos="9072"/>
              </w:tabs>
              <w:spacing w:after="0" w:line="240" w:lineRule="auto"/>
              <w:ind w:left="113" w:right="113"/>
              <w:jc w:val="center"/>
              <w:rPr>
                <w:rFonts w:ascii="Arial" w:hAnsi="Arial"/>
                <w:sz w:val="18"/>
                <w:szCs w:val="18"/>
                <w:rtl/>
              </w:rPr>
            </w:pPr>
          </w:p>
        </w:tc>
      </w:tr>
      <w:tr w:rsidR="007D39B6" w:rsidRPr="00B25DD3" w14:paraId="77DCEDA3" w14:textId="77777777" w:rsidTr="00F71DD3">
        <w:trPr>
          <w:trHeight w:val="389"/>
          <w:jc w:val="center"/>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17C8A6C4" w14:textId="77777777" w:rsidR="008C6258" w:rsidRPr="00B25DD3" w:rsidRDefault="007D39B6" w:rsidP="00F71DD3">
            <w:pPr>
              <w:tabs>
                <w:tab w:val="left" w:pos="9072"/>
              </w:tabs>
              <w:bidi w:val="0"/>
              <w:spacing w:after="0" w:line="240" w:lineRule="auto"/>
              <w:ind w:left="60"/>
              <w:jc w:val="both"/>
              <w:rPr>
                <w:rFonts w:ascii="Arial" w:hAnsi="Arial"/>
                <w:sz w:val="18"/>
                <w:szCs w:val="18"/>
              </w:rPr>
            </w:pPr>
            <w:r w:rsidRPr="00B25DD3">
              <w:rPr>
                <w:rFonts w:ascii="Arial" w:hAnsi="Arial"/>
                <w:sz w:val="18"/>
                <w:szCs w:val="18"/>
              </w:rPr>
              <w:t xml:space="preserve">National poverty (PCBS, 2017, </w:t>
            </w:r>
            <w:r w:rsidR="004E44B3" w:rsidRPr="00B25DD3">
              <w:rPr>
                <w:rFonts w:ascii="Arial" w:hAnsi="Arial"/>
                <w:sz w:val="18"/>
                <w:szCs w:val="18"/>
              </w:rPr>
              <w:t>p</w:t>
            </w:r>
            <w:r w:rsidRPr="00B25DD3">
              <w:rPr>
                <w:rFonts w:ascii="Arial" w:hAnsi="Arial"/>
                <w:sz w:val="18"/>
                <w:szCs w:val="18"/>
              </w:rPr>
              <w:t>ercentage)</w:t>
            </w:r>
          </w:p>
        </w:tc>
        <w:tc>
          <w:tcPr>
            <w:tcW w:w="1275" w:type="dxa"/>
            <w:tcBorders>
              <w:left w:val="nil"/>
              <w:bottom w:val="single" w:sz="4" w:space="0" w:color="auto"/>
              <w:right w:val="single" w:sz="4" w:space="0" w:color="auto"/>
            </w:tcBorders>
            <w:shd w:val="clear" w:color="auto" w:fill="auto"/>
            <w:noWrap/>
            <w:hideMark/>
          </w:tcPr>
          <w:p w14:paraId="07B260D5" w14:textId="77777777" w:rsidR="007D39B6" w:rsidRPr="00B25DD3" w:rsidRDefault="007D39B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tc>
        <w:tc>
          <w:tcPr>
            <w:tcW w:w="1293" w:type="dxa"/>
            <w:tcBorders>
              <w:left w:val="nil"/>
              <w:bottom w:val="single" w:sz="4" w:space="0" w:color="auto"/>
              <w:right w:val="single" w:sz="4" w:space="0" w:color="auto"/>
            </w:tcBorders>
          </w:tcPr>
          <w:p w14:paraId="6139849F" w14:textId="77777777" w:rsidR="007D39B6" w:rsidRPr="00B25DD3" w:rsidRDefault="007D39B6" w:rsidP="00F71DD3">
            <w:pPr>
              <w:tabs>
                <w:tab w:val="left" w:pos="9072"/>
              </w:tabs>
              <w:spacing w:after="0" w:line="240" w:lineRule="auto"/>
              <w:ind w:right="113"/>
              <w:rPr>
                <w:rFonts w:ascii="Arial" w:hAnsi="Arial"/>
                <w:sz w:val="18"/>
                <w:szCs w:val="18"/>
                <w:rtl/>
              </w:rPr>
            </w:pPr>
            <w:r w:rsidRPr="00B25DD3">
              <w:rPr>
                <w:rFonts w:ascii="Arial" w:hAnsi="Arial"/>
                <w:sz w:val="18"/>
                <w:szCs w:val="18"/>
              </w:rPr>
              <w:t>25.8 (2011)</w:t>
            </w:r>
          </w:p>
        </w:tc>
        <w:tc>
          <w:tcPr>
            <w:tcW w:w="1401" w:type="dxa"/>
            <w:tcBorders>
              <w:left w:val="single" w:sz="4" w:space="0" w:color="auto"/>
              <w:bottom w:val="single" w:sz="4" w:space="0" w:color="auto"/>
              <w:right w:val="single" w:sz="4" w:space="0" w:color="auto"/>
            </w:tcBorders>
            <w:shd w:val="clear" w:color="auto" w:fill="auto"/>
            <w:hideMark/>
          </w:tcPr>
          <w:p w14:paraId="76A1BF45" w14:textId="77777777" w:rsidR="007D39B6" w:rsidRPr="00B25DD3" w:rsidRDefault="007D39B6" w:rsidP="00F71DD3">
            <w:pPr>
              <w:tabs>
                <w:tab w:val="left" w:pos="9072"/>
              </w:tabs>
              <w:spacing w:after="0" w:line="240" w:lineRule="auto"/>
              <w:ind w:left="113" w:right="113"/>
              <w:jc w:val="center"/>
              <w:rPr>
                <w:rFonts w:ascii="Arial" w:hAnsi="Arial"/>
                <w:sz w:val="18"/>
                <w:szCs w:val="18"/>
                <w:rtl/>
              </w:rPr>
            </w:pPr>
            <w:r w:rsidRPr="00B25DD3">
              <w:rPr>
                <w:rFonts w:ascii="Arial" w:hAnsi="Arial"/>
                <w:sz w:val="18"/>
                <w:szCs w:val="18"/>
                <w:rtl/>
              </w:rPr>
              <w:t>29.2</w:t>
            </w:r>
          </w:p>
        </w:tc>
        <w:tc>
          <w:tcPr>
            <w:tcW w:w="1335" w:type="dxa"/>
            <w:tcBorders>
              <w:left w:val="single" w:sz="4" w:space="0" w:color="auto"/>
              <w:bottom w:val="single" w:sz="4" w:space="0" w:color="auto"/>
              <w:right w:val="single" w:sz="4" w:space="0" w:color="auto"/>
            </w:tcBorders>
          </w:tcPr>
          <w:p w14:paraId="3633AF68" w14:textId="77777777" w:rsidR="007D39B6" w:rsidRPr="00B25DD3" w:rsidRDefault="003E299D" w:rsidP="00F71DD3">
            <w:pPr>
              <w:tabs>
                <w:tab w:val="left" w:pos="9072"/>
              </w:tabs>
              <w:spacing w:after="0" w:line="240" w:lineRule="auto"/>
              <w:ind w:left="113" w:right="113"/>
              <w:jc w:val="center"/>
              <w:rPr>
                <w:rFonts w:ascii="Arial" w:hAnsi="Arial"/>
                <w:sz w:val="18"/>
                <w:szCs w:val="18"/>
              </w:rPr>
            </w:pPr>
            <w:r w:rsidRPr="00B25DD3">
              <w:rPr>
                <w:rFonts w:ascii="Arial" w:hAnsi="Arial"/>
                <w:sz w:val="18"/>
                <w:szCs w:val="18"/>
              </w:rPr>
              <w:t>D</w:t>
            </w:r>
            <w:r w:rsidR="00C5198F" w:rsidRPr="00B25DD3">
              <w:rPr>
                <w:rFonts w:ascii="Arial" w:hAnsi="Arial"/>
                <w:sz w:val="18"/>
                <w:szCs w:val="18"/>
              </w:rPr>
              <w:t>e</w:t>
            </w:r>
            <w:r w:rsidR="007D39B6" w:rsidRPr="00B25DD3">
              <w:rPr>
                <w:rFonts w:ascii="Arial" w:hAnsi="Arial"/>
                <w:sz w:val="18"/>
                <w:szCs w:val="18"/>
              </w:rPr>
              <w:t>crease</w:t>
            </w:r>
          </w:p>
        </w:tc>
      </w:tr>
      <w:tr w:rsidR="007D39B6" w:rsidRPr="00B25DD3" w14:paraId="75004D76" w14:textId="77777777" w:rsidTr="00F71DD3">
        <w:trPr>
          <w:trHeight w:val="389"/>
          <w:jc w:val="center"/>
        </w:trPr>
        <w:tc>
          <w:tcPr>
            <w:tcW w:w="4390" w:type="dxa"/>
            <w:tcBorders>
              <w:top w:val="single" w:sz="4" w:space="0" w:color="auto"/>
              <w:left w:val="single" w:sz="4" w:space="0" w:color="auto"/>
              <w:right w:val="single" w:sz="4" w:space="0" w:color="auto"/>
            </w:tcBorders>
            <w:shd w:val="clear" w:color="auto" w:fill="auto"/>
            <w:noWrap/>
            <w:vAlign w:val="center"/>
          </w:tcPr>
          <w:p w14:paraId="719583A4" w14:textId="77777777" w:rsidR="007D39B6" w:rsidRPr="00B25DD3" w:rsidRDefault="007D39B6" w:rsidP="00F71DD3">
            <w:pPr>
              <w:tabs>
                <w:tab w:val="left" w:pos="9072"/>
              </w:tabs>
              <w:bidi w:val="0"/>
              <w:spacing w:after="0" w:line="240" w:lineRule="auto"/>
              <w:ind w:left="60"/>
              <w:rPr>
                <w:rFonts w:ascii="Arial" w:hAnsi="Arial"/>
                <w:bCs/>
                <w:sz w:val="18"/>
                <w:szCs w:val="18"/>
              </w:rPr>
            </w:pPr>
            <w:r w:rsidRPr="00B25DD3">
              <w:rPr>
                <w:rFonts w:ascii="Arial" w:hAnsi="Arial"/>
                <w:b/>
                <w:sz w:val="18"/>
                <w:szCs w:val="18"/>
              </w:rPr>
              <w:t>Indicator 1.2.2</w:t>
            </w:r>
            <w:r w:rsidRPr="00B25DD3">
              <w:rPr>
                <w:rFonts w:ascii="Arial" w:hAnsi="Arial"/>
                <w:bCs/>
                <w:sz w:val="18"/>
                <w:szCs w:val="18"/>
              </w:rPr>
              <w:t xml:space="preserve"> Proportion of population living in multidimensional poverty</w:t>
            </w:r>
          </w:p>
        </w:tc>
        <w:tc>
          <w:tcPr>
            <w:tcW w:w="1275" w:type="dxa"/>
            <w:tcBorders>
              <w:top w:val="single" w:sz="4" w:space="0" w:color="auto"/>
              <w:left w:val="single" w:sz="4" w:space="0" w:color="auto"/>
              <w:right w:val="single" w:sz="4" w:space="0" w:color="auto"/>
            </w:tcBorders>
            <w:shd w:val="clear" w:color="auto" w:fill="auto"/>
            <w:noWrap/>
          </w:tcPr>
          <w:p w14:paraId="0FE82D7B" w14:textId="77777777" w:rsidR="007D39B6" w:rsidRPr="00B25DD3" w:rsidRDefault="007D39B6" w:rsidP="00F71DD3">
            <w:pPr>
              <w:tabs>
                <w:tab w:val="left" w:pos="9072"/>
              </w:tabs>
              <w:bidi w:val="0"/>
              <w:spacing w:after="0" w:line="240" w:lineRule="auto"/>
              <w:rPr>
                <w:rFonts w:ascii="Arial" w:hAnsi="Arial"/>
                <w:sz w:val="18"/>
                <w:szCs w:val="18"/>
              </w:rPr>
            </w:pPr>
          </w:p>
        </w:tc>
        <w:tc>
          <w:tcPr>
            <w:tcW w:w="1293" w:type="dxa"/>
            <w:tcBorders>
              <w:top w:val="single" w:sz="4" w:space="0" w:color="auto"/>
              <w:left w:val="single" w:sz="4" w:space="0" w:color="auto"/>
              <w:right w:val="single" w:sz="4" w:space="0" w:color="auto"/>
            </w:tcBorders>
          </w:tcPr>
          <w:p w14:paraId="592587BF" w14:textId="77777777" w:rsidR="007D39B6" w:rsidRPr="00B25DD3" w:rsidRDefault="007D39B6" w:rsidP="00F71DD3">
            <w:pPr>
              <w:tabs>
                <w:tab w:val="left" w:pos="9072"/>
              </w:tabs>
              <w:spacing w:after="0" w:line="240" w:lineRule="auto"/>
              <w:ind w:left="113" w:right="113"/>
              <w:rPr>
                <w:rFonts w:ascii="Arial" w:hAnsi="Arial"/>
                <w:sz w:val="18"/>
                <w:szCs w:val="18"/>
                <w:rtl/>
              </w:rPr>
            </w:pPr>
          </w:p>
        </w:tc>
        <w:tc>
          <w:tcPr>
            <w:tcW w:w="1401" w:type="dxa"/>
            <w:tcBorders>
              <w:top w:val="single" w:sz="4" w:space="0" w:color="auto"/>
              <w:left w:val="single" w:sz="4" w:space="0" w:color="auto"/>
              <w:right w:val="single" w:sz="4" w:space="0" w:color="auto"/>
            </w:tcBorders>
            <w:shd w:val="clear" w:color="auto" w:fill="auto"/>
            <w:vAlign w:val="center"/>
          </w:tcPr>
          <w:p w14:paraId="0FD58FD8" w14:textId="77777777" w:rsidR="007D39B6" w:rsidRPr="00B25DD3" w:rsidRDefault="007D39B6" w:rsidP="00F71DD3">
            <w:pPr>
              <w:tabs>
                <w:tab w:val="left" w:pos="9072"/>
              </w:tabs>
              <w:spacing w:after="0" w:line="240" w:lineRule="auto"/>
              <w:ind w:left="113" w:right="113"/>
              <w:rPr>
                <w:rFonts w:ascii="Arial" w:hAnsi="Arial"/>
                <w:sz w:val="18"/>
                <w:szCs w:val="18"/>
                <w:rtl/>
              </w:rPr>
            </w:pPr>
          </w:p>
        </w:tc>
        <w:tc>
          <w:tcPr>
            <w:tcW w:w="1335" w:type="dxa"/>
            <w:tcBorders>
              <w:top w:val="single" w:sz="4" w:space="0" w:color="auto"/>
              <w:left w:val="single" w:sz="4" w:space="0" w:color="auto"/>
              <w:right w:val="single" w:sz="4" w:space="0" w:color="auto"/>
            </w:tcBorders>
          </w:tcPr>
          <w:p w14:paraId="0EFC02B3" w14:textId="77777777" w:rsidR="007D39B6" w:rsidRPr="00B25DD3" w:rsidRDefault="007D39B6" w:rsidP="00F71DD3">
            <w:pPr>
              <w:tabs>
                <w:tab w:val="left" w:pos="9072"/>
              </w:tabs>
              <w:spacing w:after="0" w:line="240" w:lineRule="auto"/>
              <w:ind w:left="113" w:right="113"/>
              <w:rPr>
                <w:rFonts w:ascii="Arial" w:hAnsi="Arial"/>
                <w:sz w:val="18"/>
                <w:szCs w:val="18"/>
                <w:rtl/>
              </w:rPr>
            </w:pPr>
          </w:p>
        </w:tc>
      </w:tr>
      <w:tr w:rsidR="00040FC6" w:rsidRPr="00B25DD3" w14:paraId="725B6597"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27A8B02A" w14:textId="77777777" w:rsidR="00040FC6" w:rsidRPr="00B25DD3" w:rsidRDefault="00040FC6" w:rsidP="00F71DD3">
            <w:pPr>
              <w:tabs>
                <w:tab w:val="left" w:pos="9072"/>
              </w:tabs>
              <w:bidi w:val="0"/>
              <w:spacing w:after="0" w:line="240" w:lineRule="auto"/>
              <w:ind w:left="60"/>
              <w:rPr>
                <w:rFonts w:ascii="Arial" w:hAnsi="Arial"/>
                <w:bCs/>
                <w:sz w:val="18"/>
                <w:szCs w:val="18"/>
              </w:rPr>
            </w:pPr>
            <w:r w:rsidRPr="00B25DD3">
              <w:rPr>
                <w:rFonts w:ascii="Arial" w:hAnsi="Arial"/>
                <w:bCs/>
                <w:sz w:val="18"/>
                <w:szCs w:val="18"/>
              </w:rPr>
              <w:t xml:space="preserve">Proportion of population living in multidimensional poverty (PCBS, 2017, </w:t>
            </w:r>
            <w:r w:rsidR="004E44B3" w:rsidRPr="00B25DD3">
              <w:rPr>
                <w:rFonts w:ascii="Arial" w:hAnsi="Arial"/>
                <w:bCs/>
                <w:sz w:val="18"/>
                <w:szCs w:val="18"/>
              </w:rPr>
              <w:t>p</w:t>
            </w:r>
            <w:r w:rsidRPr="00B25DD3">
              <w:rPr>
                <w:rFonts w:ascii="Arial" w:hAnsi="Arial"/>
                <w:bCs/>
                <w:sz w:val="18"/>
                <w:szCs w:val="18"/>
              </w:rPr>
              <w:t>ercentage)</w:t>
            </w:r>
          </w:p>
        </w:tc>
        <w:tc>
          <w:tcPr>
            <w:tcW w:w="1275" w:type="dxa"/>
            <w:tcBorders>
              <w:left w:val="nil"/>
              <w:right w:val="single" w:sz="4" w:space="0" w:color="auto"/>
            </w:tcBorders>
            <w:shd w:val="clear" w:color="auto" w:fill="auto"/>
            <w:noWrap/>
          </w:tcPr>
          <w:p w14:paraId="0D7AFE52" w14:textId="77777777" w:rsidR="00040FC6" w:rsidRPr="00B25DD3" w:rsidRDefault="00040FC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p w14:paraId="427B5912" w14:textId="77777777" w:rsidR="00040FC6" w:rsidRPr="00B25DD3" w:rsidRDefault="00040FC6" w:rsidP="00F71DD3">
            <w:pPr>
              <w:tabs>
                <w:tab w:val="left" w:pos="9072"/>
              </w:tabs>
              <w:bidi w:val="0"/>
              <w:spacing w:after="0" w:line="240" w:lineRule="auto"/>
              <w:jc w:val="center"/>
              <w:rPr>
                <w:rFonts w:ascii="Arial" w:hAnsi="Arial"/>
                <w:sz w:val="18"/>
                <w:szCs w:val="18"/>
              </w:rPr>
            </w:pPr>
          </w:p>
        </w:tc>
        <w:tc>
          <w:tcPr>
            <w:tcW w:w="1293" w:type="dxa"/>
            <w:tcBorders>
              <w:left w:val="nil"/>
              <w:right w:val="single" w:sz="4" w:space="0" w:color="auto"/>
            </w:tcBorders>
          </w:tcPr>
          <w:p w14:paraId="1114D3BF" w14:textId="77777777" w:rsidR="00040FC6" w:rsidRPr="00B25DD3" w:rsidRDefault="00040FC6" w:rsidP="00F71DD3">
            <w:pPr>
              <w:tabs>
                <w:tab w:val="left" w:pos="9072"/>
              </w:tabs>
              <w:spacing w:after="0" w:line="240" w:lineRule="auto"/>
              <w:ind w:left="113" w:right="113"/>
              <w:rPr>
                <w:rFonts w:ascii="Arial" w:hAnsi="Arial"/>
                <w:sz w:val="18"/>
                <w:szCs w:val="18"/>
                <w:rtl/>
              </w:rPr>
            </w:pPr>
          </w:p>
        </w:tc>
        <w:tc>
          <w:tcPr>
            <w:tcW w:w="1401" w:type="dxa"/>
            <w:tcBorders>
              <w:left w:val="single" w:sz="4" w:space="0" w:color="auto"/>
              <w:right w:val="single" w:sz="4" w:space="0" w:color="auto"/>
            </w:tcBorders>
            <w:shd w:val="clear" w:color="auto" w:fill="auto"/>
            <w:vAlign w:val="center"/>
          </w:tcPr>
          <w:p w14:paraId="670BEF72" w14:textId="77777777" w:rsidR="00040FC6" w:rsidRPr="00B25DD3" w:rsidRDefault="00040FC6" w:rsidP="00F71DD3">
            <w:pPr>
              <w:tabs>
                <w:tab w:val="left" w:pos="9072"/>
              </w:tabs>
              <w:spacing w:after="0" w:line="240" w:lineRule="auto"/>
              <w:ind w:left="113" w:right="113"/>
              <w:jc w:val="center"/>
              <w:rPr>
                <w:rFonts w:ascii="Arial" w:hAnsi="Arial"/>
                <w:sz w:val="18"/>
                <w:szCs w:val="18"/>
                <w:rtl/>
              </w:rPr>
            </w:pPr>
            <w:r w:rsidRPr="00B25DD3">
              <w:rPr>
                <w:rFonts w:ascii="Arial" w:hAnsi="Arial"/>
                <w:sz w:val="18"/>
                <w:szCs w:val="18"/>
                <w:rtl/>
              </w:rPr>
              <w:t>42.4</w:t>
            </w:r>
          </w:p>
        </w:tc>
        <w:tc>
          <w:tcPr>
            <w:tcW w:w="1335" w:type="dxa"/>
            <w:tcBorders>
              <w:left w:val="single" w:sz="4" w:space="0" w:color="auto"/>
              <w:right w:val="single" w:sz="4" w:space="0" w:color="auto"/>
            </w:tcBorders>
          </w:tcPr>
          <w:p w14:paraId="4FEDD6EF" w14:textId="77777777" w:rsidR="00040FC6" w:rsidRPr="00B25DD3" w:rsidRDefault="00040FC6" w:rsidP="00F71DD3">
            <w:pPr>
              <w:tabs>
                <w:tab w:val="left" w:pos="9072"/>
              </w:tabs>
              <w:spacing w:after="0" w:line="240" w:lineRule="auto"/>
              <w:ind w:left="113" w:right="113"/>
              <w:jc w:val="center"/>
              <w:rPr>
                <w:rFonts w:ascii="Arial" w:hAnsi="Arial"/>
                <w:sz w:val="18"/>
                <w:szCs w:val="18"/>
                <w:rtl/>
              </w:rPr>
            </w:pPr>
          </w:p>
        </w:tc>
      </w:tr>
      <w:tr w:rsidR="00040FC6" w:rsidRPr="00B25DD3" w14:paraId="42A58A27"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375538BC" w14:textId="77777777" w:rsidR="00040FC6" w:rsidRPr="00B25DD3" w:rsidRDefault="00040FC6" w:rsidP="00F71DD3">
            <w:pPr>
              <w:tabs>
                <w:tab w:val="left" w:pos="9072"/>
              </w:tabs>
              <w:bidi w:val="0"/>
              <w:spacing w:after="0" w:line="240" w:lineRule="auto"/>
              <w:ind w:left="60"/>
              <w:rPr>
                <w:rFonts w:ascii="Arial" w:hAnsi="Arial"/>
                <w:bCs/>
                <w:sz w:val="18"/>
                <w:szCs w:val="18"/>
              </w:rPr>
            </w:pPr>
            <w:r w:rsidRPr="00B25DD3">
              <w:rPr>
                <w:rFonts w:ascii="Arial" w:hAnsi="Arial"/>
                <w:bCs/>
                <w:sz w:val="18"/>
                <w:szCs w:val="18"/>
              </w:rPr>
              <w:t xml:space="preserve">Average proportion of deprivations for people multidimensional poverty (PCBS, 2017, </w:t>
            </w:r>
            <w:r w:rsidR="004E44B3" w:rsidRPr="00B25DD3">
              <w:rPr>
                <w:rFonts w:ascii="Arial" w:hAnsi="Arial"/>
                <w:bCs/>
                <w:sz w:val="18"/>
                <w:szCs w:val="18"/>
              </w:rPr>
              <w:t>p</w:t>
            </w:r>
            <w:r w:rsidRPr="00B25DD3">
              <w:rPr>
                <w:rFonts w:ascii="Arial" w:hAnsi="Arial"/>
                <w:bCs/>
                <w:sz w:val="18"/>
                <w:szCs w:val="18"/>
              </w:rPr>
              <w:t>ercentage)</w:t>
            </w:r>
          </w:p>
        </w:tc>
        <w:tc>
          <w:tcPr>
            <w:tcW w:w="1275" w:type="dxa"/>
            <w:tcBorders>
              <w:left w:val="nil"/>
              <w:right w:val="single" w:sz="4" w:space="0" w:color="auto"/>
            </w:tcBorders>
            <w:shd w:val="clear" w:color="auto" w:fill="auto"/>
            <w:noWrap/>
          </w:tcPr>
          <w:p w14:paraId="5B6E46E8" w14:textId="77777777" w:rsidR="00040FC6" w:rsidRPr="00B25DD3" w:rsidRDefault="00040FC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p w14:paraId="30A31E7B" w14:textId="77777777" w:rsidR="00040FC6" w:rsidRPr="00B25DD3" w:rsidRDefault="00040FC6" w:rsidP="00F71DD3">
            <w:pPr>
              <w:tabs>
                <w:tab w:val="left" w:pos="9072"/>
              </w:tabs>
              <w:bidi w:val="0"/>
              <w:spacing w:after="0" w:line="240" w:lineRule="auto"/>
              <w:jc w:val="center"/>
              <w:rPr>
                <w:rFonts w:ascii="Arial" w:hAnsi="Arial"/>
                <w:sz w:val="18"/>
                <w:szCs w:val="18"/>
              </w:rPr>
            </w:pPr>
          </w:p>
        </w:tc>
        <w:tc>
          <w:tcPr>
            <w:tcW w:w="1293" w:type="dxa"/>
            <w:tcBorders>
              <w:left w:val="nil"/>
              <w:right w:val="single" w:sz="4" w:space="0" w:color="auto"/>
            </w:tcBorders>
          </w:tcPr>
          <w:p w14:paraId="7CD5133F" w14:textId="77777777" w:rsidR="00040FC6" w:rsidRPr="00B25DD3" w:rsidRDefault="00040FC6" w:rsidP="00F71DD3">
            <w:pPr>
              <w:tabs>
                <w:tab w:val="left" w:pos="9072"/>
              </w:tabs>
              <w:spacing w:after="0" w:line="240" w:lineRule="auto"/>
              <w:ind w:left="113" w:right="113"/>
              <w:rPr>
                <w:rFonts w:ascii="Arial" w:hAnsi="Arial"/>
                <w:sz w:val="18"/>
                <w:szCs w:val="18"/>
                <w:rtl/>
              </w:rPr>
            </w:pPr>
          </w:p>
        </w:tc>
        <w:tc>
          <w:tcPr>
            <w:tcW w:w="1401" w:type="dxa"/>
            <w:tcBorders>
              <w:left w:val="single" w:sz="4" w:space="0" w:color="auto"/>
              <w:right w:val="single" w:sz="4" w:space="0" w:color="auto"/>
            </w:tcBorders>
            <w:shd w:val="clear" w:color="auto" w:fill="auto"/>
            <w:vAlign w:val="center"/>
          </w:tcPr>
          <w:p w14:paraId="15504B6E" w14:textId="77777777" w:rsidR="00040FC6" w:rsidRPr="00B25DD3" w:rsidRDefault="00040FC6" w:rsidP="00F71DD3">
            <w:pPr>
              <w:tabs>
                <w:tab w:val="left" w:pos="9072"/>
              </w:tabs>
              <w:spacing w:after="0" w:line="240" w:lineRule="auto"/>
              <w:ind w:left="113" w:right="113"/>
              <w:jc w:val="center"/>
              <w:rPr>
                <w:rFonts w:ascii="Arial" w:hAnsi="Arial"/>
                <w:sz w:val="18"/>
                <w:szCs w:val="18"/>
                <w:rtl/>
              </w:rPr>
            </w:pPr>
            <w:r w:rsidRPr="00B25DD3">
              <w:rPr>
                <w:rFonts w:ascii="Arial" w:hAnsi="Arial"/>
                <w:sz w:val="18"/>
                <w:szCs w:val="18"/>
                <w:rtl/>
              </w:rPr>
              <w:t>26.0</w:t>
            </w:r>
          </w:p>
        </w:tc>
        <w:tc>
          <w:tcPr>
            <w:tcW w:w="1335" w:type="dxa"/>
            <w:tcBorders>
              <w:left w:val="single" w:sz="4" w:space="0" w:color="auto"/>
              <w:right w:val="single" w:sz="4" w:space="0" w:color="auto"/>
            </w:tcBorders>
          </w:tcPr>
          <w:p w14:paraId="446A7209" w14:textId="77777777" w:rsidR="00040FC6" w:rsidRPr="00B25DD3" w:rsidRDefault="00040FC6" w:rsidP="00F71DD3">
            <w:pPr>
              <w:tabs>
                <w:tab w:val="left" w:pos="9072"/>
              </w:tabs>
              <w:spacing w:after="0" w:line="240" w:lineRule="auto"/>
              <w:ind w:left="113" w:right="113"/>
              <w:jc w:val="center"/>
              <w:rPr>
                <w:rFonts w:ascii="Arial" w:hAnsi="Arial"/>
                <w:sz w:val="18"/>
                <w:szCs w:val="18"/>
                <w:rtl/>
              </w:rPr>
            </w:pPr>
          </w:p>
        </w:tc>
      </w:tr>
      <w:tr w:rsidR="00040FC6" w:rsidRPr="00B25DD3" w14:paraId="4886AF07"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63B1CD90" w14:textId="77777777" w:rsidR="00040FC6" w:rsidRPr="00B25DD3" w:rsidRDefault="00040FC6" w:rsidP="00F71DD3">
            <w:pPr>
              <w:tabs>
                <w:tab w:val="left" w:pos="9072"/>
              </w:tabs>
              <w:bidi w:val="0"/>
              <w:spacing w:after="0" w:line="240" w:lineRule="auto"/>
              <w:ind w:left="60"/>
              <w:rPr>
                <w:rFonts w:ascii="Arial" w:hAnsi="Arial"/>
                <w:bCs/>
                <w:sz w:val="18"/>
                <w:szCs w:val="18"/>
              </w:rPr>
            </w:pPr>
            <w:r w:rsidRPr="00B25DD3">
              <w:rPr>
                <w:rFonts w:ascii="Arial" w:hAnsi="Arial"/>
                <w:bCs/>
                <w:sz w:val="18"/>
                <w:szCs w:val="18"/>
              </w:rPr>
              <w:t xml:space="preserve">Average proportion of deprivation for children. </w:t>
            </w:r>
            <w:r w:rsidR="003E299D" w:rsidRPr="00B25DD3">
              <w:rPr>
                <w:rFonts w:ascii="Arial" w:hAnsi="Arial"/>
                <w:bCs/>
                <w:sz w:val="18"/>
                <w:szCs w:val="18"/>
              </w:rPr>
              <w:t>M</w:t>
            </w:r>
            <w:r w:rsidRPr="00B25DD3">
              <w:rPr>
                <w:rFonts w:ascii="Arial" w:hAnsi="Arial"/>
                <w:bCs/>
                <w:sz w:val="18"/>
                <w:szCs w:val="18"/>
              </w:rPr>
              <w:t xml:space="preserve">ultidimensional poverty (PCBS, 2017, </w:t>
            </w:r>
            <w:r w:rsidR="004E44B3" w:rsidRPr="00B25DD3">
              <w:rPr>
                <w:rFonts w:ascii="Arial" w:hAnsi="Arial"/>
                <w:bCs/>
                <w:sz w:val="18"/>
                <w:szCs w:val="18"/>
              </w:rPr>
              <w:t>p</w:t>
            </w:r>
            <w:r w:rsidRPr="00B25DD3">
              <w:rPr>
                <w:rFonts w:ascii="Arial" w:hAnsi="Arial"/>
                <w:bCs/>
                <w:sz w:val="18"/>
                <w:szCs w:val="18"/>
              </w:rPr>
              <w:t>ercentage)</w:t>
            </w:r>
          </w:p>
        </w:tc>
        <w:tc>
          <w:tcPr>
            <w:tcW w:w="1275" w:type="dxa"/>
            <w:tcBorders>
              <w:left w:val="nil"/>
              <w:right w:val="single" w:sz="4" w:space="0" w:color="auto"/>
            </w:tcBorders>
            <w:shd w:val="clear" w:color="auto" w:fill="auto"/>
            <w:noWrap/>
          </w:tcPr>
          <w:p w14:paraId="3727ED85" w14:textId="77777777" w:rsidR="00040FC6" w:rsidRPr="00B25DD3" w:rsidRDefault="00040FC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p w14:paraId="11CFE9DA" w14:textId="77777777" w:rsidR="00040FC6" w:rsidRPr="00B25DD3" w:rsidRDefault="00040FC6" w:rsidP="00F71DD3">
            <w:pPr>
              <w:tabs>
                <w:tab w:val="left" w:pos="9072"/>
              </w:tabs>
              <w:bidi w:val="0"/>
              <w:spacing w:after="0" w:line="240" w:lineRule="auto"/>
              <w:jc w:val="center"/>
              <w:rPr>
                <w:rFonts w:ascii="Arial" w:hAnsi="Arial"/>
                <w:sz w:val="18"/>
                <w:szCs w:val="18"/>
              </w:rPr>
            </w:pPr>
          </w:p>
        </w:tc>
        <w:tc>
          <w:tcPr>
            <w:tcW w:w="1293" w:type="dxa"/>
            <w:tcBorders>
              <w:left w:val="nil"/>
              <w:right w:val="single" w:sz="4" w:space="0" w:color="auto"/>
            </w:tcBorders>
          </w:tcPr>
          <w:p w14:paraId="704AFE33" w14:textId="77777777" w:rsidR="00040FC6" w:rsidRPr="00B25DD3" w:rsidRDefault="00040FC6" w:rsidP="00F71DD3">
            <w:pPr>
              <w:tabs>
                <w:tab w:val="left" w:pos="9072"/>
              </w:tabs>
              <w:spacing w:after="0" w:line="240" w:lineRule="auto"/>
              <w:ind w:left="113" w:right="113"/>
              <w:rPr>
                <w:rFonts w:ascii="Arial" w:hAnsi="Arial"/>
                <w:sz w:val="18"/>
                <w:szCs w:val="18"/>
                <w:rtl/>
              </w:rPr>
            </w:pPr>
          </w:p>
        </w:tc>
        <w:tc>
          <w:tcPr>
            <w:tcW w:w="1401" w:type="dxa"/>
            <w:tcBorders>
              <w:left w:val="single" w:sz="4" w:space="0" w:color="auto"/>
              <w:right w:val="single" w:sz="4" w:space="0" w:color="auto"/>
            </w:tcBorders>
            <w:shd w:val="clear" w:color="auto" w:fill="auto"/>
            <w:vAlign w:val="center"/>
          </w:tcPr>
          <w:p w14:paraId="0806D89A" w14:textId="77777777" w:rsidR="00040FC6" w:rsidRPr="00B25DD3" w:rsidRDefault="00040FC6" w:rsidP="00F71DD3">
            <w:pPr>
              <w:tabs>
                <w:tab w:val="left" w:pos="9072"/>
              </w:tabs>
              <w:spacing w:after="0" w:line="240" w:lineRule="auto"/>
              <w:ind w:left="113" w:right="113"/>
              <w:jc w:val="center"/>
              <w:rPr>
                <w:rFonts w:ascii="Arial" w:hAnsi="Arial"/>
                <w:sz w:val="18"/>
                <w:szCs w:val="18"/>
                <w:rtl/>
              </w:rPr>
            </w:pPr>
            <w:r w:rsidRPr="00B25DD3">
              <w:rPr>
                <w:rFonts w:ascii="Arial" w:hAnsi="Arial"/>
                <w:sz w:val="18"/>
                <w:szCs w:val="18"/>
                <w:rtl/>
              </w:rPr>
              <w:t>18.4</w:t>
            </w:r>
          </w:p>
        </w:tc>
        <w:tc>
          <w:tcPr>
            <w:tcW w:w="1335" w:type="dxa"/>
            <w:tcBorders>
              <w:left w:val="single" w:sz="4" w:space="0" w:color="auto"/>
              <w:right w:val="single" w:sz="4" w:space="0" w:color="auto"/>
            </w:tcBorders>
          </w:tcPr>
          <w:p w14:paraId="09B038FB" w14:textId="77777777" w:rsidR="00040FC6" w:rsidRPr="00B25DD3" w:rsidRDefault="00040FC6" w:rsidP="00F71DD3">
            <w:pPr>
              <w:tabs>
                <w:tab w:val="left" w:pos="9072"/>
              </w:tabs>
              <w:spacing w:after="0" w:line="240" w:lineRule="auto"/>
              <w:ind w:left="113" w:right="113"/>
              <w:jc w:val="center"/>
              <w:rPr>
                <w:rFonts w:ascii="Arial" w:hAnsi="Arial"/>
                <w:sz w:val="18"/>
                <w:szCs w:val="18"/>
                <w:rtl/>
              </w:rPr>
            </w:pPr>
          </w:p>
        </w:tc>
      </w:tr>
      <w:tr w:rsidR="007D39B6" w:rsidRPr="00B25DD3" w14:paraId="2B93DD70" w14:textId="77777777" w:rsidTr="00F71DD3">
        <w:trPr>
          <w:trHeight w:val="389"/>
          <w:jc w:val="center"/>
        </w:trPr>
        <w:tc>
          <w:tcPr>
            <w:tcW w:w="4390" w:type="dxa"/>
            <w:tcBorders>
              <w:left w:val="single" w:sz="4" w:space="0" w:color="auto"/>
              <w:bottom w:val="single" w:sz="4" w:space="0" w:color="auto"/>
              <w:right w:val="single" w:sz="4" w:space="0" w:color="auto"/>
            </w:tcBorders>
            <w:shd w:val="clear" w:color="auto" w:fill="auto"/>
            <w:noWrap/>
            <w:vAlign w:val="center"/>
          </w:tcPr>
          <w:p w14:paraId="71F58212" w14:textId="77777777" w:rsidR="008C6258" w:rsidRPr="00B25DD3" w:rsidRDefault="007D39B6" w:rsidP="00F71DD3">
            <w:pPr>
              <w:tabs>
                <w:tab w:val="left" w:pos="9072"/>
              </w:tabs>
              <w:bidi w:val="0"/>
              <w:spacing w:after="0" w:line="240" w:lineRule="auto"/>
              <w:ind w:left="60"/>
              <w:rPr>
                <w:rFonts w:ascii="Arial" w:hAnsi="Arial"/>
                <w:b/>
                <w:sz w:val="18"/>
                <w:szCs w:val="18"/>
                <w:rtl/>
              </w:rPr>
            </w:pPr>
            <w:r w:rsidRPr="00B25DD3">
              <w:rPr>
                <w:rFonts w:ascii="Arial" w:hAnsi="Arial"/>
                <w:bCs/>
                <w:sz w:val="18"/>
                <w:szCs w:val="18"/>
              </w:rPr>
              <w:t xml:space="preserve">Proportion of households living in multidimensional poverty  (PCBS, 2017, </w:t>
            </w:r>
            <w:r w:rsidR="004E44B3" w:rsidRPr="00B25DD3">
              <w:rPr>
                <w:rFonts w:ascii="Arial" w:hAnsi="Arial"/>
                <w:bCs/>
                <w:sz w:val="18"/>
                <w:szCs w:val="18"/>
              </w:rPr>
              <w:t>p</w:t>
            </w:r>
            <w:r w:rsidRPr="00B25DD3">
              <w:rPr>
                <w:rFonts w:ascii="Arial" w:hAnsi="Arial"/>
                <w:bCs/>
                <w:sz w:val="18"/>
                <w:szCs w:val="18"/>
              </w:rPr>
              <w:t xml:space="preserve">ercentage) </w:t>
            </w:r>
          </w:p>
        </w:tc>
        <w:tc>
          <w:tcPr>
            <w:tcW w:w="1275" w:type="dxa"/>
            <w:tcBorders>
              <w:left w:val="nil"/>
              <w:bottom w:val="single" w:sz="4" w:space="0" w:color="auto"/>
              <w:right w:val="single" w:sz="4" w:space="0" w:color="auto"/>
            </w:tcBorders>
            <w:shd w:val="clear" w:color="auto" w:fill="auto"/>
            <w:noWrap/>
          </w:tcPr>
          <w:p w14:paraId="728BE745" w14:textId="77777777" w:rsidR="007D39B6" w:rsidRPr="00B25DD3" w:rsidRDefault="007D39B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p w14:paraId="7C343048" w14:textId="77777777" w:rsidR="007D39B6" w:rsidRPr="00B25DD3" w:rsidRDefault="007D39B6" w:rsidP="00F71DD3">
            <w:pPr>
              <w:tabs>
                <w:tab w:val="left" w:pos="9072"/>
              </w:tabs>
              <w:bidi w:val="0"/>
              <w:spacing w:after="0" w:line="240" w:lineRule="auto"/>
              <w:jc w:val="center"/>
              <w:rPr>
                <w:rFonts w:ascii="Arial" w:hAnsi="Arial"/>
                <w:sz w:val="18"/>
                <w:szCs w:val="18"/>
              </w:rPr>
            </w:pPr>
          </w:p>
        </w:tc>
        <w:tc>
          <w:tcPr>
            <w:tcW w:w="1293" w:type="dxa"/>
            <w:tcBorders>
              <w:left w:val="nil"/>
              <w:bottom w:val="single" w:sz="4" w:space="0" w:color="auto"/>
              <w:right w:val="single" w:sz="4" w:space="0" w:color="auto"/>
            </w:tcBorders>
          </w:tcPr>
          <w:p w14:paraId="792D41D9" w14:textId="77777777" w:rsidR="007D39B6" w:rsidRPr="00B25DD3" w:rsidRDefault="007D39B6" w:rsidP="00F71DD3">
            <w:pPr>
              <w:tabs>
                <w:tab w:val="left" w:pos="9072"/>
              </w:tabs>
              <w:spacing w:after="0" w:line="240" w:lineRule="auto"/>
              <w:ind w:left="113" w:right="113"/>
              <w:rPr>
                <w:rFonts w:ascii="Arial" w:hAnsi="Arial"/>
                <w:sz w:val="18"/>
                <w:szCs w:val="18"/>
                <w:rtl/>
              </w:rPr>
            </w:pPr>
          </w:p>
        </w:tc>
        <w:tc>
          <w:tcPr>
            <w:tcW w:w="1401" w:type="dxa"/>
            <w:tcBorders>
              <w:left w:val="single" w:sz="4" w:space="0" w:color="auto"/>
              <w:bottom w:val="single" w:sz="4" w:space="0" w:color="auto"/>
              <w:right w:val="single" w:sz="4" w:space="0" w:color="auto"/>
            </w:tcBorders>
            <w:shd w:val="clear" w:color="auto" w:fill="auto"/>
            <w:vAlign w:val="center"/>
          </w:tcPr>
          <w:p w14:paraId="5844203C" w14:textId="77777777" w:rsidR="007D39B6" w:rsidRPr="00B25DD3" w:rsidRDefault="00040FC6" w:rsidP="00F71DD3">
            <w:pPr>
              <w:tabs>
                <w:tab w:val="left" w:pos="9072"/>
              </w:tabs>
              <w:spacing w:after="0" w:line="240" w:lineRule="auto"/>
              <w:ind w:left="113" w:right="113"/>
              <w:jc w:val="center"/>
              <w:rPr>
                <w:rFonts w:ascii="Arial" w:hAnsi="Arial"/>
                <w:sz w:val="18"/>
                <w:szCs w:val="18"/>
                <w:rtl/>
              </w:rPr>
            </w:pPr>
            <w:r w:rsidRPr="00B25DD3">
              <w:rPr>
                <w:rFonts w:ascii="Arial" w:hAnsi="Arial"/>
                <w:sz w:val="18"/>
                <w:szCs w:val="18"/>
                <w:rtl/>
              </w:rPr>
              <w:t>24.0</w:t>
            </w:r>
          </w:p>
        </w:tc>
        <w:tc>
          <w:tcPr>
            <w:tcW w:w="1335" w:type="dxa"/>
            <w:tcBorders>
              <w:left w:val="single" w:sz="4" w:space="0" w:color="auto"/>
              <w:bottom w:val="single" w:sz="4" w:space="0" w:color="auto"/>
              <w:right w:val="single" w:sz="4" w:space="0" w:color="auto"/>
            </w:tcBorders>
          </w:tcPr>
          <w:p w14:paraId="4895881F" w14:textId="77777777" w:rsidR="007D39B6" w:rsidRPr="00B25DD3" w:rsidRDefault="007D39B6" w:rsidP="00F71DD3">
            <w:pPr>
              <w:tabs>
                <w:tab w:val="left" w:pos="9072"/>
              </w:tabs>
              <w:spacing w:after="0" w:line="240" w:lineRule="auto"/>
              <w:ind w:left="113" w:right="113"/>
              <w:jc w:val="center"/>
              <w:rPr>
                <w:rFonts w:ascii="Arial" w:hAnsi="Arial"/>
                <w:sz w:val="18"/>
                <w:szCs w:val="18"/>
                <w:rtl/>
              </w:rPr>
            </w:pPr>
          </w:p>
        </w:tc>
      </w:tr>
      <w:tr w:rsidR="007D39B6" w:rsidRPr="00B25DD3" w14:paraId="5C16E5DC" w14:textId="77777777" w:rsidTr="00F71DD3">
        <w:trPr>
          <w:trHeight w:val="389"/>
          <w:jc w:val="center"/>
        </w:trPr>
        <w:tc>
          <w:tcPr>
            <w:tcW w:w="4390" w:type="dxa"/>
            <w:tcBorders>
              <w:top w:val="single" w:sz="4" w:space="0" w:color="auto"/>
              <w:left w:val="single" w:sz="4" w:space="0" w:color="auto"/>
              <w:right w:val="single" w:sz="4" w:space="0" w:color="auto"/>
            </w:tcBorders>
            <w:shd w:val="clear" w:color="auto" w:fill="auto"/>
            <w:noWrap/>
            <w:vAlign w:val="center"/>
          </w:tcPr>
          <w:p w14:paraId="62A2D2CC" w14:textId="77777777" w:rsidR="007D39B6" w:rsidRPr="00B25DD3" w:rsidRDefault="007D39B6" w:rsidP="00F71DD3">
            <w:pPr>
              <w:tabs>
                <w:tab w:val="left" w:pos="9072"/>
              </w:tabs>
              <w:bidi w:val="0"/>
              <w:spacing w:after="0" w:line="240" w:lineRule="auto"/>
              <w:ind w:left="60"/>
              <w:rPr>
                <w:rFonts w:ascii="Arial" w:hAnsi="Arial"/>
                <w:sz w:val="18"/>
                <w:szCs w:val="18"/>
              </w:rPr>
            </w:pPr>
            <w:r w:rsidRPr="00B25DD3">
              <w:rPr>
                <w:rFonts w:ascii="Arial" w:hAnsi="Arial"/>
                <w:b/>
                <w:sz w:val="18"/>
                <w:szCs w:val="18"/>
              </w:rPr>
              <w:t>Indicator 1.5.1</w:t>
            </w:r>
            <w:r w:rsidRPr="00B25DD3">
              <w:rPr>
                <w:rFonts w:ascii="Arial" w:hAnsi="Arial"/>
                <w:sz w:val="18"/>
                <w:szCs w:val="18"/>
              </w:rPr>
              <w:t xml:space="preserve"> Number of deaths, missing persons and directly affected persons attributed to disasters per 100,000 </w:t>
            </w:r>
            <w:r w:rsidR="004E44B3" w:rsidRPr="00B25DD3">
              <w:rPr>
                <w:rFonts w:ascii="Arial" w:hAnsi="Arial"/>
                <w:sz w:val="18"/>
                <w:szCs w:val="18"/>
              </w:rPr>
              <w:t xml:space="preserve">of </w:t>
            </w:r>
            <w:r w:rsidRPr="00B25DD3">
              <w:rPr>
                <w:rFonts w:ascii="Arial" w:hAnsi="Arial"/>
                <w:sz w:val="18"/>
                <w:szCs w:val="18"/>
              </w:rPr>
              <w:t>population</w:t>
            </w:r>
            <w:r w:rsidRPr="00B25DD3">
              <w:rPr>
                <w:rFonts w:ascii="Arial" w:hAnsi="Arial"/>
                <w:b/>
                <w:bCs/>
                <w:sz w:val="18"/>
                <w:szCs w:val="18"/>
              </w:rPr>
              <w:t xml:space="preserve"> (repeated with indicators: 11.5.1 and 13.1.1)</w:t>
            </w:r>
          </w:p>
        </w:tc>
        <w:tc>
          <w:tcPr>
            <w:tcW w:w="1275" w:type="dxa"/>
            <w:tcBorders>
              <w:top w:val="single" w:sz="4" w:space="0" w:color="auto"/>
              <w:left w:val="nil"/>
              <w:right w:val="single" w:sz="4" w:space="0" w:color="auto"/>
            </w:tcBorders>
            <w:shd w:val="clear" w:color="auto" w:fill="auto"/>
            <w:noWrap/>
            <w:vAlign w:val="center"/>
          </w:tcPr>
          <w:p w14:paraId="1B7DD665" w14:textId="77777777" w:rsidR="007D39B6" w:rsidRPr="00B25DD3" w:rsidRDefault="007D39B6" w:rsidP="00F71DD3">
            <w:pPr>
              <w:tabs>
                <w:tab w:val="left" w:pos="9072"/>
              </w:tabs>
              <w:bidi w:val="0"/>
              <w:spacing w:after="0" w:line="240" w:lineRule="auto"/>
              <w:jc w:val="center"/>
              <w:rPr>
                <w:rFonts w:ascii="Arial" w:hAnsi="Arial"/>
                <w:sz w:val="18"/>
                <w:szCs w:val="18"/>
              </w:rPr>
            </w:pPr>
          </w:p>
        </w:tc>
        <w:tc>
          <w:tcPr>
            <w:tcW w:w="1293" w:type="dxa"/>
            <w:tcBorders>
              <w:top w:val="single" w:sz="4" w:space="0" w:color="auto"/>
              <w:left w:val="nil"/>
              <w:right w:val="single" w:sz="4" w:space="0" w:color="auto"/>
            </w:tcBorders>
          </w:tcPr>
          <w:p w14:paraId="4596A4F3" w14:textId="77777777" w:rsidR="007D39B6" w:rsidRPr="00B25DD3" w:rsidRDefault="007D39B6" w:rsidP="00F71DD3">
            <w:pPr>
              <w:tabs>
                <w:tab w:val="left" w:pos="9072"/>
              </w:tabs>
              <w:spacing w:after="0" w:line="240" w:lineRule="auto"/>
              <w:ind w:left="113" w:right="113"/>
              <w:rPr>
                <w:rFonts w:ascii="Arial" w:hAnsi="Arial"/>
                <w:sz w:val="18"/>
                <w:szCs w:val="18"/>
                <w:rtl/>
              </w:rPr>
            </w:pPr>
          </w:p>
        </w:tc>
        <w:tc>
          <w:tcPr>
            <w:tcW w:w="1401" w:type="dxa"/>
            <w:tcBorders>
              <w:top w:val="single" w:sz="4" w:space="0" w:color="auto"/>
              <w:left w:val="single" w:sz="4" w:space="0" w:color="auto"/>
              <w:right w:val="single" w:sz="4" w:space="0" w:color="auto"/>
            </w:tcBorders>
            <w:shd w:val="clear" w:color="auto" w:fill="auto"/>
            <w:vAlign w:val="center"/>
          </w:tcPr>
          <w:p w14:paraId="3F42EA53" w14:textId="77777777" w:rsidR="007D39B6" w:rsidRPr="00B25DD3" w:rsidRDefault="007D39B6" w:rsidP="00F71DD3">
            <w:pPr>
              <w:tabs>
                <w:tab w:val="left" w:pos="9072"/>
              </w:tabs>
              <w:spacing w:after="0" w:line="240" w:lineRule="auto"/>
              <w:ind w:left="113" w:right="113"/>
              <w:rPr>
                <w:rFonts w:ascii="Arial" w:hAnsi="Arial"/>
                <w:sz w:val="18"/>
                <w:szCs w:val="18"/>
                <w:rtl/>
              </w:rPr>
            </w:pPr>
          </w:p>
        </w:tc>
        <w:tc>
          <w:tcPr>
            <w:tcW w:w="1335" w:type="dxa"/>
            <w:tcBorders>
              <w:top w:val="single" w:sz="4" w:space="0" w:color="auto"/>
              <w:left w:val="single" w:sz="4" w:space="0" w:color="auto"/>
              <w:right w:val="single" w:sz="4" w:space="0" w:color="auto"/>
            </w:tcBorders>
          </w:tcPr>
          <w:p w14:paraId="05244926" w14:textId="77777777" w:rsidR="007D39B6" w:rsidRPr="00B25DD3" w:rsidRDefault="007D39B6" w:rsidP="00F71DD3">
            <w:pPr>
              <w:tabs>
                <w:tab w:val="left" w:pos="9072"/>
              </w:tabs>
              <w:spacing w:after="0" w:line="240" w:lineRule="auto"/>
              <w:ind w:left="113" w:right="113"/>
              <w:rPr>
                <w:rFonts w:ascii="Arial" w:hAnsi="Arial"/>
                <w:sz w:val="18"/>
                <w:szCs w:val="18"/>
                <w:rtl/>
              </w:rPr>
            </w:pPr>
          </w:p>
        </w:tc>
      </w:tr>
      <w:tr w:rsidR="007D39B6" w:rsidRPr="00B25DD3" w14:paraId="08A2C093"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757D0575" w14:textId="77777777" w:rsidR="007D39B6" w:rsidRPr="00B25DD3" w:rsidRDefault="007D39B6" w:rsidP="00F71DD3">
            <w:pPr>
              <w:tabs>
                <w:tab w:val="left" w:pos="9072"/>
              </w:tabs>
              <w:bidi w:val="0"/>
              <w:spacing w:after="0" w:line="240" w:lineRule="auto"/>
              <w:ind w:left="60"/>
              <w:jc w:val="both"/>
              <w:rPr>
                <w:rFonts w:ascii="Arial" w:hAnsi="Arial"/>
                <w:sz w:val="18"/>
                <w:szCs w:val="18"/>
              </w:rPr>
            </w:pPr>
            <w:r w:rsidRPr="00B25DD3">
              <w:rPr>
                <w:rFonts w:ascii="Arial" w:hAnsi="Arial"/>
                <w:sz w:val="18"/>
                <w:szCs w:val="18"/>
              </w:rPr>
              <w:t xml:space="preserve">Number of deaths attributed to disasters per 100,000 population (UNSD,2018, </w:t>
            </w:r>
            <w:r w:rsidR="003E299D" w:rsidRPr="00B25DD3">
              <w:rPr>
                <w:rFonts w:ascii="Arial" w:hAnsi="Arial"/>
                <w:sz w:val="18"/>
                <w:szCs w:val="18"/>
              </w:rPr>
              <w:t>p</w:t>
            </w:r>
            <w:r w:rsidRPr="00B25DD3">
              <w:rPr>
                <w:rFonts w:ascii="Arial" w:hAnsi="Arial"/>
                <w:sz w:val="18"/>
                <w:szCs w:val="18"/>
              </w:rPr>
              <w:t>er 100,000 population)</w:t>
            </w:r>
          </w:p>
        </w:tc>
        <w:tc>
          <w:tcPr>
            <w:tcW w:w="1275" w:type="dxa"/>
            <w:tcBorders>
              <w:left w:val="nil"/>
              <w:right w:val="single" w:sz="4" w:space="0" w:color="auto"/>
            </w:tcBorders>
            <w:shd w:val="clear" w:color="auto" w:fill="auto"/>
            <w:noWrap/>
          </w:tcPr>
          <w:p w14:paraId="58473FDB" w14:textId="77777777" w:rsidR="007D39B6" w:rsidRPr="00B25DD3" w:rsidRDefault="007D39B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tc>
        <w:tc>
          <w:tcPr>
            <w:tcW w:w="1293" w:type="dxa"/>
            <w:tcBorders>
              <w:left w:val="nil"/>
              <w:right w:val="single" w:sz="4" w:space="0" w:color="auto"/>
            </w:tcBorders>
          </w:tcPr>
          <w:p w14:paraId="40699331" w14:textId="77777777" w:rsidR="007D39B6" w:rsidRPr="00B25DD3" w:rsidRDefault="007D39B6" w:rsidP="00F71DD3">
            <w:pPr>
              <w:tabs>
                <w:tab w:val="left" w:pos="9072"/>
              </w:tabs>
              <w:spacing w:after="0" w:line="240" w:lineRule="auto"/>
              <w:ind w:left="113" w:right="113"/>
              <w:jc w:val="center"/>
              <w:rPr>
                <w:rFonts w:ascii="Arial" w:hAnsi="Arial"/>
                <w:sz w:val="18"/>
                <w:szCs w:val="18"/>
                <w:rtl/>
              </w:rPr>
            </w:pPr>
            <w:r w:rsidRPr="00B25DD3">
              <w:rPr>
                <w:rFonts w:ascii="Arial" w:hAnsi="Arial"/>
                <w:sz w:val="18"/>
                <w:szCs w:val="18"/>
              </w:rPr>
              <w:t>1.42 (2017)</w:t>
            </w:r>
          </w:p>
        </w:tc>
        <w:tc>
          <w:tcPr>
            <w:tcW w:w="1401" w:type="dxa"/>
            <w:tcBorders>
              <w:left w:val="single" w:sz="4" w:space="0" w:color="auto"/>
              <w:right w:val="single" w:sz="4" w:space="0" w:color="auto"/>
            </w:tcBorders>
            <w:shd w:val="clear" w:color="auto" w:fill="auto"/>
          </w:tcPr>
          <w:p w14:paraId="2D40A873" w14:textId="77777777" w:rsidR="007D39B6" w:rsidRPr="00B25DD3" w:rsidRDefault="007D39B6" w:rsidP="00F71DD3">
            <w:pPr>
              <w:tabs>
                <w:tab w:val="left" w:pos="9072"/>
              </w:tabs>
              <w:spacing w:after="0" w:line="240" w:lineRule="auto"/>
              <w:ind w:left="113" w:right="113"/>
              <w:jc w:val="center"/>
              <w:rPr>
                <w:rFonts w:ascii="Arial" w:hAnsi="Arial"/>
                <w:sz w:val="18"/>
                <w:szCs w:val="18"/>
                <w:rtl/>
              </w:rPr>
            </w:pPr>
            <w:r w:rsidRPr="00B25DD3">
              <w:rPr>
                <w:rFonts w:ascii="Arial" w:hAnsi="Arial"/>
                <w:sz w:val="18"/>
                <w:szCs w:val="18"/>
              </w:rPr>
              <w:t>0.0</w:t>
            </w:r>
            <w:r w:rsidR="00ED0822" w:rsidRPr="00B25DD3">
              <w:rPr>
                <w:rFonts w:ascii="Arial" w:hAnsi="Arial"/>
                <w:sz w:val="18"/>
                <w:szCs w:val="18"/>
              </w:rPr>
              <w:t>2</w:t>
            </w:r>
          </w:p>
        </w:tc>
        <w:tc>
          <w:tcPr>
            <w:tcW w:w="1335" w:type="dxa"/>
            <w:tcBorders>
              <w:left w:val="single" w:sz="4" w:space="0" w:color="auto"/>
              <w:right w:val="single" w:sz="4" w:space="0" w:color="auto"/>
            </w:tcBorders>
          </w:tcPr>
          <w:p w14:paraId="248B21F7" w14:textId="77777777" w:rsidR="007D39B6" w:rsidRPr="00B25DD3" w:rsidRDefault="003E299D" w:rsidP="00C5198F">
            <w:pPr>
              <w:tabs>
                <w:tab w:val="left" w:pos="9072"/>
              </w:tabs>
              <w:spacing w:after="0" w:line="240" w:lineRule="auto"/>
              <w:ind w:left="113" w:right="113"/>
              <w:jc w:val="center"/>
              <w:rPr>
                <w:rFonts w:ascii="Arial" w:hAnsi="Arial"/>
                <w:color w:val="008000"/>
                <w:sz w:val="18"/>
                <w:szCs w:val="18"/>
              </w:rPr>
            </w:pPr>
            <w:r w:rsidRPr="00B25DD3">
              <w:rPr>
                <w:rFonts w:ascii="Arial" w:hAnsi="Arial"/>
                <w:sz w:val="18"/>
                <w:szCs w:val="18"/>
              </w:rPr>
              <w:t>I</w:t>
            </w:r>
            <w:r w:rsidR="00C5198F" w:rsidRPr="00B25DD3">
              <w:rPr>
                <w:rFonts w:ascii="Arial" w:hAnsi="Arial"/>
                <w:sz w:val="18"/>
                <w:szCs w:val="18"/>
              </w:rPr>
              <w:t>nc</w:t>
            </w:r>
            <w:r w:rsidR="007D39B6" w:rsidRPr="00B25DD3">
              <w:rPr>
                <w:rFonts w:ascii="Arial" w:hAnsi="Arial"/>
                <w:sz w:val="18"/>
                <w:szCs w:val="18"/>
              </w:rPr>
              <w:t>rease</w:t>
            </w:r>
          </w:p>
        </w:tc>
      </w:tr>
      <w:tr w:rsidR="007D39B6" w:rsidRPr="00B25DD3" w14:paraId="660A8AE8"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66C27196" w14:textId="77777777" w:rsidR="007D39B6" w:rsidRPr="00B25DD3" w:rsidRDefault="007D39B6" w:rsidP="00F71DD3">
            <w:pPr>
              <w:tabs>
                <w:tab w:val="left" w:pos="9072"/>
              </w:tabs>
              <w:bidi w:val="0"/>
              <w:spacing w:after="0" w:line="240" w:lineRule="auto"/>
              <w:ind w:left="60"/>
              <w:jc w:val="both"/>
              <w:rPr>
                <w:rFonts w:ascii="Arial" w:hAnsi="Arial"/>
                <w:sz w:val="18"/>
                <w:szCs w:val="18"/>
              </w:rPr>
            </w:pPr>
            <w:r w:rsidRPr="00B25DD3">
              <w:rPr>
                <w:rFonts w:ascii="Arial" w:hAnsi="Arial"/>
                <w:sz w:val="18"/>
                <w:szCs w:val="18"/>
              </w:rPr>
              <w:t xml:space="preserve">Number of  missing persons  attributed to disasters per 100,000 population (UNSD, 2018, </w:t>
            </w:r>
            <w:r w:rsidR="000278A3" w:rsidRPr="00B25DD3">
              <w:rPr>
                <w:rFonts w:ascii="Arial" w:hAnsi="Arial"/>
                <w:sz w:val="18"/>
                <w:szCs w:val="18"/>
              </w:rPr>
              <w:t>p</w:t>
            </w:r>
            <w:r w:rsidRPr="00B25DD3">
              <w:rPr>
                <w:rFonts w:ascii="Arial" w:hAnsi="Arial"/>
                <w:sz w:val="18"/>
                <w:szCs w:val="18"/>
              </w:rPr>
              <w:t>er 100,000 population)</w:t>
            </w:r>
          </w:p>
        </w:tc>
        <w:tc>
          <w:tcPr>
            <w:tcW w:w="1275" w:type="dxa"/>
            <w:tcBorders>
              <w:left w:val="nil"/>
              <w:right w:val="single" w:sz="4" w:space="0" w:color="auto"/>
            </w:tcBorders>
            <w:shd w:val="clear" w:color="auto" w:fill="auto"/>
            <w:noWrap/>
          </w:tcPr>
          <w:p w14:paraId="4C8C6B72" w14:textId="77777777" w:rsidR="007D39B6" w:rsidRPr="00B25DD3" w:rsidRDefault="007D39B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tc>
        <w:tc>
          <w:tcPr>
            <w:tcW w:w="1293" w:type="dxa"/>
            <w:tcBorders>
              <w:left w:val="nil"/>
              <w:right w:val="single" w:sz="4" w:space="0" w:color="auto"/>
            </w:tcBorders>
          </w:tcPr>
          <w:p w14:paraId="4202DA18" w14:textId="77777777" w:rsidR="007D39B6" w:rsidRPr="00B25DD3" w:rsidRDefault="007D39B6" w:rsidP="00F71DD3">
            <w:pPr>
              <w:tabs>
                <w:tab w:val="left" w:pos="9072"/>
              </w:tabs>
              <w:spacing w:after="0" w:line="240" w:lineRule="auto"/>
              <w:ind w:left="113" w:right="113"/>
              <w:jc w:val="center"/>
              <w:rPr>
                <w:rFonts w:ascii="Arial" w:hAnsi="Arial"/>
                <w:sz w:val="18"/>
                <w:szCs w:val="18"/>
              </w:rPr>
            </w:pPr>
            <w:r w:rsidRPr="00B25DD3">
              <w:rPr>
                <w:rFonts w:ascii="Arial" w:hAnsi="Arial"/>
                <w:sz w:val="18"/>
                <w:szCs w:val="18"/>
              </w:rPr>
              <w:t xml:space="preserve"> 0.0 (2017)</w:t>
            </w:r>
          </w:p>
        </w:tc>
        <w:tc>
          <w:tcPr>
            <w:tcW w:w="1401" w:type="dxa"/>
            <w:tcBorders>
              <w:left w:val="single" w:sz="4" w:space="0" w:color="auto"/>
              <w:right w:val="single" w:sz="4" w:space="0" w:color="auto"/>
            </w:tcBorders>
            <w:shd w:val="clear" w:color="auto" w:fill="auto"/>
          </w:tcPr>
          <w:p w14:paraId="027590DB" w14:textId="77777777" w:rsidR="007D39B6" w:rsidRPr="00B25DD3" w:rsidRDefault="007D39B6" w:rsidP="00F71DD3">
            <w:pPr>
              <w:tabs>
                <w:tab w:val="left" w:pos="9072"/>
              </w:tabs>
              <w:spacing w:after="0" w:line="240" w:lineRule="auto"/>
              <w:ind w:left="113" w:right="113"/>
              <w:jc w:val="center"/>
              <w:rPr>
                <w:rFonts w:ascii="Arial" w:hAnsi="Arial"/>
                <w:sz w:val="18"/>
                <w:szCs w:val="18"/>
              </w:rPr>
            </w:pPr>
            <w:r w:rsidRPr="00B25DD3">
              <w:rPr>
                <w:rFonts w:ascii="Arial" w:hAnsi="Arial"/>
                <w:sz w:val="18"/>
                <w:szCs w:val="18"/>
              </w:rPr>
              <w:t>0.0</w:t>
            </w:r>
          </w:p>
        </w:tc>
        <w:tc>
          <w:tcPr>
            <w:tcW w:w="1335" w:type="dxa"/>
            <w:tcBorders>
              <w:left w:val="single" w:sz="4" w:space="0" w:color="auto"/>
              <w:right w:val="single" w:sz="4" w:space="0" w:color="auto"/>
            </w:tcBorders>
          </w:tcPr>
          <w:p w14:paraId="7342D5A2" w14:textId="77777777" w:rsidR="007D39B6" w:rsidRPr="00B25DD3" w:rsidRDefault="007D39B6" w:rsidP="00F71DD3">
            <w:pPr>
              <w:tabs>
                <w:tab w:val="left" w:pos="9072"/>
              </w:tabs>
              <w:spacing w:after="0" w:line="240" w:lineRule="auto"/>
              <w:ind w:left="113" w:right="113"/>
              <w:jc w:val="center"/>
              <w:rPr>
                <w:rFonts w:ascii="Arial" w:hAnsi="Arial"/>
                <w:sz w:val="18"/>
                <w:szCs w:val="18"/>
              </w:rPr>
            </w:pPr>
            <w:r w:rsidRPr="00B25DD3">
              <w:rPr>
                <w:rFonts w:ascii="Arial" w:hAnsi="Arial"/>
                <w:sz w:val="18"/>
                <w:szCs w:val="18"/>
              </w:rPr>
              <w:t>No change</w:t>
            </w:r>
          </w:p>
        </w:tc>
      </w:tr>
      <w:tr w:rsidR="007D39B6" w:rsidRPr="00B25DD3" w14:paraId="45789E8D" w14:textId="77777777" w:rsidTr="00F71DD3">
        <w:trPr>
          <w:trHeight w:val="389"/>
          <w:jc w:val="center"/>
        </w:trPr>
        <w:tc>
          <w:tcPr>
            <w:tcW w:w="4390" w:type="dxa"/>
            <w:tcBorders>
              <w:left w:val="single" w:sz="4" w:space="0" w:color="auto"/>
              <w:bottom w:val="single" w:sz="4" w:space="0" w:color="auto"/>
              <w:right w:val="single" w:sz="4" w:space="0" w:color="auto"/>
            </w:tcBorders>
            <w:shd w:val="clear" w:color="auto" w:fill="auto"/>
            <w:noWrap/>
            <w:vAlign w:val="center"/>
          </w:tcPr>
          <w:p w14:paraId="3D7FDC25" w14:textId="77777777" w:rsidR="008C6258" w:rsidRPr="00B25DD3" w:rsidRDefault="007D39B6" w:rsidP="00F71DD3">
            <w:pPr>
              <w:tabs>
                <w:tab w:val="left" w:pos="9072"/>
              </w:tabs>
              <w:bidi w:val="0"/>
              <w:spacing w:after="0" w:line="240" w:lineRule="auto"/>
              <w:ind w:left="60"/>
              <w:jc w:val="both"/>
              <w:rPr>
                <w:rFonts w:ascii="Arial" w:hAnsi="Arial"/>
                <w:sz w:val="18"/>
                <w:szCs w:val="18"/>
              </w:rPr>
            </w:pPr>
            <w:r w:rsidRPr="00B25DD3">
              <w:rPr>
                <w:rFonts w:ascii="Arial" w:hAnsi="Arial"/>
                <w:sz w:val="18"/>
                <w:szCs w:val="18"/>
              </w:rPr>
              <w:t xml:space="preserve">Number of directly affected persons attributed to disasters per 100,000 population (UNSD, 2018, </w:t>
            </w:r>
            <w:r w:rsidR="000278A3" w:rsidRPr="00B25DD3">
              <w:rPr>
                <w:rFonts w:ascii="Arial" w:hAnsi="Arial"/>
                <w:sz w:val="18"/>
                <w:szCs w:val="18"/>
              </w:rPr>
              <w:t>p</w:t>
            </w:r>
            <w:r w:rsidRPr="00B25DD3">
              <w:rPr>
                <w:rFonts w:ascii="Arial" w:hAnsi="Arial"/>
                <w:sz w:val="18"/>
                <w:szCs w:val="18"/>
              </w:rPr>
              <w:t>er 100,000 population)</w:t>
            </w:r>
          </w:p>
        </w:tc>
        <w:tc>
          <w:tcPr>
            <w:tcW w:w="1275" w:type="dxa"/>
            <w:tcBorders>
              <w:left w:val="nil"/>
              <w:bottom w:val="single" w:sz="4" w:space="0" w:color="auto"/>
              <w:right w:val="single" w:sz="4" w:space="0" w:color="auto"/>
            </w:tcBorders>
            <w:shd w:val="clear" w:color="auto" w:fill="auto"/>
            <w:noWrap/>
          </w:tcPr>
          <w:p w14:paraId="6D2D4690" w14:textId="77777777" w:rsidR="007D39B6" w:rsidRPr="00B25DD3" w:rsidRDefault="007D39B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tc>
        <w:tc>
          <w:tcPr>
            <w:tcW w:w="1293" w:type="dxa"/>
            <w:tcBorders>
              <w:left w:val="nil"/>
              <w:bottom w:val="single" w:sz="4" w:space="0" w:color="auto"/>
              <w:right w:val="single" w:sz="4" w:space="0" w:color="auto"/>
            </w:tcBorders>
          </w:tcPr>
          <w:p w14:paraId="7CF8FB51" w14:textId="77777777" w:rsidR="007D39B6" w:rsidRPr="00B25DD3" w:rsidRDefault="007D39B6" w:rsidP="00F71DD3">
            <w:pPr>
              <w:tabs>
                <w:tab w:val="left" w:pos="9072"/>
              </w:tabs>
              <w:spacing w:after="0" w:line="240" w:lineRule="auto"/>
              <w:ind w:left="113" w:right="113"/>
              <w:jc w:val="center"/>
              <w:rPr>
                <w:rFonts w:ascii="Arial" w:hAnsi="Arial"/>
                <w:sz w:val="18"/>
                <w:szCs w:val="18"/>
                <w:rtl/>
              </w:rPr>
            </w:pPr>
            <w:r w:rsidRPr="00B25DD3">
              <w:rPr>
                <w:rFonts w:ascii="Arial" w:hAnsi="Arial"/>
                <w:sz w:val="18"/>
                <w:szCs w:val="18"/>
              </w:rPr>
              <w:t>42.0 (2017)</w:t>
            </w:r>
          </w:p>
        </w:tc>
        <w:tc>
          <w:tcPr>
            <w:tcW w:w="1401" w:type="dxa"/>
            <w:tcBorders>
              <w:left w:val="single" w:sz="4" w:space="0" w:color="auto"/>
              <w:bottom w:val="single" w:sz="4" w:space="0" w:color="auto"/>
              <w:right w:val="single" w:sz="4" w:space="0" w:color="auto"/>
            </w:tcBorders>
            <w:shd w:val="clear" w:color="auto" w:fill="auto"/>
          </w:tcPr>
          <w:p w14:paraId="76CE601D" w14:textId="77777777" w:rsidR="007D39B6" w:rsidRPr="00B25DD3" w:rsidRDefault="007D39B6" w:rsidP="00F71DD3">
            <w:pPr>
              <w:tabs>
                <w:tab w:val="left" w:pos="9072"/>
              </w:tabs>
              <w:spacing w:after="0" w:line="240" w:lineRule="auto"/>
              <w:ind w:left="113" w:right="113"/>
              <w:jc w:val="center"/>
              <w:rPr>
                <w:rFonts w:ascii="Arial" w:hAnsi="Arial"/>
                <w:sz w:val="18"/>
                <w:szCs w:val="18"/>
                <w:rtl/>
              </w:rPr>
            </w:pPr>
            <w:r w:rsidRPr="00B25DD3">
              <w:rPr>
                <w:rFonts w:ascii="Arial" w:hAnsi="Arial"/>
                <w:sz w:val="18"/>
                <w:szCs w:val="18"/>
              </w:rPr>
              <w:t>6.3</w:t>
            </w:r>
          </w:p>
        </w:tc>
        <w:tc>
          <w:tcPr>
            <w:tcW w:w="1335" w:type="dxa"/>
            <w:tcBorders>
              <w:left w:val="single" w:sz="4" w:space="0" w:color="auto"/>
              <w:bottom w:val="single" w:sz="4" w:space="0" w:color="auto"/>
              <w:right w:val="single" w:sz="4" w:space="0" w:color="auto"/>
            </w:tcBorders>
          </w:tcPr>
          <w:p w14:paraId="664A24F4" w14:textId="77777777" w:rsidR="007D39B6" w:rsidRPr="00B25DD3" w:rsidRDefault="000278A3" w:rsidP="00F71DD3">
            <w:pPr>
              <w:tabs>
                <w:tab w:val="left" w:pos="9072"/>
              </w:tabs>
              <w:spacing w:after="0" w:line="240" w:lineRule="auto"/>
              <w:ind w:left="113" w:right="113"/>
              <w:jc w:val="center"/>
              <w:rPr>
                <w:rFonts w:ascii="Arial" w:hAnsi="Arial"/>
                <w:color w:val="008000"/>
                <w:sz w:val="18"/>
                <w:szCs w:val="18"/>
              </w:rPr>
            </w:pPr>
            <w:r w:rsidRPr="00B25DD3">
              <w:rPr>
                <w:rFonts w:ascii="Arial" w:hAnsi="Arial"/>
                <w:sz w:val="18"/>
                <w:szCs w:val="18"/>
              </w:rPr>
              <w:t>I</w:t>
            </w:r>
            <w:r w:rsidR="00C5198F" w:rsidRPr="00B25DD3">
              <w:rPr>
                <w:rFonts w:ascii="Arial" w:hAnsi="Arial"/>
                <w:sz w:val="18"/>
                <w:szCs w:val="18"/>
              </w:rPr>
              <w:t>n</w:t>
            </w:r>
            <w:r w:rsidR="007D39B6" w:rsidRPr="00B25DD3">
              <w:rPr>
                <w:rFonts w:ascii="Arial" w:hAnsi="Arial"/>
                <w:sz w:val="18"/>
                <w:szCs w:val="18"/>
              </w:rPr>
              <w:t>crease</w:t>
            </w:r>
          </w:p>
        </w:tc>
      </w:tr>
      <w:tr w:rsidR="009B6D43" w:rsidRPr="00B25DD3" w14:paraId="2A955D54" w14:textId="77777777" w:rsidTr="00F71DD3">
        <w:trPr>
          <w:trHeight w:val="389"/>
          <w:jc w:val="center"/>
        </w:trPr>
        <w:tc>
          <w:tcPr>
            <w:tcW w:w="4390" w:type="dxa"/>
            <w:tcBorders>
              <w:top w:val="single" w:sz="4" w:space="0" w:color="auto"/>
              <w:left w:val="single" w:sz="4" w:space="0" w:color="auto"/>
              <w:right w:val="single" w:sz="4" w:space="0" w:color="auto"/>
            </w:tcBorders>
            <w:shd w:val="clear" w:color="auto" w:fill="auto"/>
            <w:noWrap/>
            <w:vAlign w:val="center"/>
          </w:tcPr>
          <w:p w14:paraId="3F674F01" w14:textId="77777777" w:rsidR="009B6D43" w:rsidRPr="00B25DD3" w:rsidRDefault="009B6D43" w:rsidP="00F71DD3">
            <w:pPr>
              <w:tabs>
                <w:tab w:val="left" w:pos="9072"/>
              </w:tabs>
              <w:bidi w:val="0"/>
              <w:spacing w:after="0" w:line="240" w:lineRule="auto"/>
              <w:ind w:left="60"/>
              <w:rPr>
                <w:rFonts w:ascii="Arial" w:hAnsi="Arial"/>
                <w:sz w:val="18"/>
                <w:szCs w:val="18"/>
              </w:rPr>
            </w:pPr>
            <w:r w:rsidRPr="00B25DD3">
              <w:rPr>
                <w:rFonts w:ascii="Arial" w:hAnsi="Arial"/>
                <w:b/>
                <w:sz w:val="18"/>
                <w:szCs w:val="18"/>
              </w:rPr>
              <w:t xml:space="preserve">Indicator 1.5.2 </w:t>
            </w:r>
            <w:r w:rsidRPr="00B25DD3">
              <w:rPr>
                <w:rFonts w:ascii="Arial" w:hAnsi="Arial"/>
                <w:sz w:val="18"/>
                <w:szCs w:val="18"/>
              </w:rPr>
              <w:t xml:space="preserve">Direct economic loss in relation to global GDP, damage to critical infrastructure and number of disruptions to basic services, attributed to disasters(UNSD, 2018, USD) </w:t>
            </w:r>
            <w:r w:rsidRPr="00B25DD3">
              <w:rPr>
                <w:rFonts w:ascii="Arial" w:hAnsi="Arial"/>
                <w:b/>
                <w:bCs/>
                <w:sz w:val="18"/>
                <w:szCs w:val="18"/>
              </w:rPr>
              <w:t>(repeated with indicator 11.5.2)</w:t>
            </w:r>
          </w:p>
        </w:tc>
        <w:tc>
          <w:tcPr>
            <w:tcW w:w="1275" w:type="dxa"/>
            <w:tcBorders>
              <w:top w:val="single" w:sz="4" w:space="0" w:color="auto"/>
              <w:left w:val="nil"/>
              <w:right w:val="single" w:sz="4" w:space="0" w:color="auto"/>
            </w:tcBorders>
            <w:shd w:val="clear" w:color="auto" w:fill="auto"/>
            <w:noWrap/>
            <w:vAlign w:val="center"/>
          </w:tcPr>
          <w:p w14:paraId="794EB3A6" w14:textId="77777777" w:rsidR="009B6D43" w:rsidRPr="00B25DD3" w:rsidRDefault="009B6D43" w:rsidP="00F71DD3">
            <w:pPr>
              <w:bidi w:val="0"/>
              <w:spacing w:after="0" w:line="240" w:lineRule="auto"/>
              <w:jc w:val="center"/>
              <w:rPr>
                <w:rFonts w:ascii="Arial" w:hAnsi="Arial"/>
                <w:sz w:val="18"/>
                <w:szCs w:val="18"/>
              </w:rPr>
            </w:pPr>
            <w:r w:rsidRPr="00B25DD3">
              <w:rPr>
                <w:rFonts w:ascii="Arial" w:hAnsi="Arial"/>
                <w:sz w:val="18"/>
                <w:szCs w:val="18"/>
              </w:rPr>
              <w:t>Identical</w:t>
            </w:r>
          </w:p>
        </w:tc>
        <w:tc>
          <w:tcPr>
            <w:tcW w:w="1293" w:type="dxa"/>
            <w:tcBorders>
              <w:top w:val="single" w:sz="4" w:space="0" w:color="auto"/>
              <w:left w:val="nil"/>
              <w:right w:val="single" w:sz="4" w:space="0" w:color="auto"/>
            </w:tcBorders>
            <w:vAlign w:val="center"/>
          </w:tcPr>
          <w:p w14:paraId="5B4EE2C9" w14:textId="77777777" w:rsidR="009B6D43" w:rsidRPr="00B25DD3" w:rsidRDefault="009B6D43" w:rsidP="009B6D43">
            <w:pPr>
              <w:tabs>
                <w:tab w:val="left" w:pos="9072"/>
              </w:tabs>
              <w:spacing w:after="0" w:line="240" w:lineRule="auto"/>
              <w:ind w:left="113" w:right="113"/>
              <w:jc w:val="center"/>
              <w:rPr>
                <w:rFonts w:ascii="Arial" w:hAnsi="Arial"/>
                <w:sz w:val="18"/>
                <w:szCs w:val="18"/>
              </w:rPr>
            </w:pPr>
            <w:r w:rsidRPr="00B25DD3">
              <w:rPr>
                <w:rFonts w:ascii="Arial" w:hAnsi="Arial"/>
                <w:sz w:val="18"/>
                <w:szCs w:val="18"/>
              </w:rPr>
              <w:t>575,004</w:t>
            </w:r>
          </w:p>
          <w:p w14:paraId="7C5F200B" w14:textId="77777777" w:rsidR="009B6D43" w:rsidRPr="00B25DD3" w:rsidRDefault="009B6D43" w:rsidP="009B6D43">
            <w:pPr>
              <w:tabs>
                <w:tab w:val="left" w:pos="9072"/>
              </w:tabs>
              <w:spacing w:after="0" w:line="240" w:lineRule="auto"/>
              <w:ind w:left="113" w:right="113"/>
              <w:jc w:val="center"/>
              <w:rPr>
                <w:rFonts w:ascii="Simplified Arabic" w:hAnsi="Simplified Arabic" w:cs="Simplified Arabic"/>
                <w:sz w:val="18"/>
                <w:szCs w:val="18"/>
              </w:rPr>
            </w:pPr>
            <w:r w:rsidRPr="00B25DD3">
              <w:rPr>
                <w:rFonts w:ascii="Arial" w:hAnsi="Arial"/>
                <w:sz w:val="18"/>
                <w:szCs w:val="18"/>
              </w:rPr>
              <w:t>(2017)</w:t>
            </w:r>
          </w:p>
        </w:tc>
        <w:tc>
          <w:tcPr>
            <w:tcW w:w="1401" w:type="dxa"/>
            <w:tcBorders>
              <w:top w:val="single" w:sz="4" w:space="0" w:color="auto"/>
              <w:left w:val="single" w:sz="4" w:space="0" w:color="auto"/>
              <w:right w:val="single" w:sz="4" w:space="0" w:color="auto"/>
            </w:tcBorders>
            <w:shd w:val="clear" w:color="auto" w:fill="auto"/>
            <w:vAlign w:val="center"/>
          </w:tcPr>
          <w:p w14:paraId="685D3CD5" w14:textId="77777777" w:rsidR="009B6D43" w:rsidRPr="00B25DD3" w:rsidRDefault="009B6D43" w:rsidP="009B6D43">
            <w:pPr>
              <w:jc w:val="center"/>
              <w:rPr>
                <w:rFonts w:ascii="Simplified Arabic" w:hAnsi="Simplified Arabic" w:cs="Simplified Arabic"/>
                <w:sz w:val="18"/>
                <w:szCs w:val="18"/>
              </w:rPr>
            </w:pPr>
            <w:r w:rsidRPr="00B25DD3">
              <w:rPr>
                <w:rFonts w:ascii="Simplified Arabic" w:hAnsi="Simplified Arabic" w:cs="Simplified Arabic"/>
                <w:sz w:val="18"/>
                <w:szCs w:val="18"/>
              </w:rPr>
              <w:t>28,678,583</w:t>
            </w:r>
          </w:p>
        </w:tc>
        <w:tc>
          <w:tcPr>
            <w:tcW w:w="1335" w:type="dxa"/>
            <w:tcBorders>
              <w:top w:val="single" w:sz="4" w:space="0" w:color="auto"/>
              <w:left w:val="single" w:sz="4" w:space="0" w:color="auto"/>
              <w:right w:val="single" w:sz="4" w:space="0" w:color="auto"/>
            </w:tcBorders>
            <w:vAlign w:val="center"/>
          </w:tcPr>
          <w:p w14:paraId="5BF39483" w14:textId="77777777" w:rsidR="009B6D43" w:rsidRPr="00B25DD3" w:rsidRDefault="009B6D43" w:rsidP="009B6D43">
            <w:pPr>
              <w:spacing w:after="0" w:line="240" w:lineRule="auto"/>
              <w:ind w:left="113" w:right="113"/>
              <w:jc w:val="center"/>
              <w:rPr>
                <w:rFonts w:ascii="Arial" w:hAnsi="Arial"/>
                <w:sz w:val="18"/>
                <w:szCs w:val="18"/>
              </w:rPr>
            </w:pPr>
            <w:r w:rsidRPr="00B25DD3">
              <w:rPr>
                <w:rFonts w:ascii="Arial" w:hAnsi="Arial"/>
                <w:sz w:val="18"/>
                <w:szCs w:val="18"/>
              </w:rPr>
              <w:t>Decrease</w:t>
            </w:r>
          </w:p>
        </w:tc>
      </w:tr>
      <w:tr w:rsidR="00677243" w:rsidRPr="00B25DD3" w14:paraId="44754F13" w14:textId="77777777" w:rsidTr="00A96DF4">
        <w:trPr>
          <w:trHeight w:val="389"/>
          <w:jc w:val="cent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A1D08" w14:textId="77777777" w:rsidR="00677243" w:rsidRPr="00B25DD3" w:rsidRDefault="005C79A4" w:rsidP="00F71DD3">
            <w:pPr>
              <w:tabs>
                <w:tab w:val="left" w:pos="9072"/>
              </w:tabs>
              <w:bidi w:val="0"/>
              <w:spacing w:after="0" w:line="240" w:lineRule="auto"/>
              <w:ind w:left="60"/>
              <w:rPr>
                <w:rFonts w:ascii="Arial" w:hAnsi="Arial"/>
                <w:b/>
                <w:sz w:val="18"/>
                <w:szCs w:val="18"/>
              </w:rPr>
            </w:pPr>
            <w:r w:rsidRPr="00B25DD3">
              <w:rPr>
                <w:rFonts w:ascii="Arial" w:hAnsi="Arial"/>
                <w:b/>
                <w:sz w:val="18"/>
                <w:szCs w:val="18"/>
              </w:rPr>
              <w:t xml:space="preserve">Indicator </w:t>
            </w:r>
            <w:r w:rsidR="00677243" w:rsidRPr="00B25DD3">
              <w:rPr>
                <w:rFonts w:ascii="Arial" w:hAnsi="Arial"/>
                <w:b/>
                <w:sz w:val="18"/>
                <w:szCs w:val="18"/>
              </w:rPr>
              <w:t xml:space="preserve">1.5.3 </w:t>
            </w:r>
            <w:r w:rsidR="00677243" w:rsidRPr="00B25DD3">
              <w:rPr>
                <w:rFonts w:ascii="Arial" w:hAnsi="Arial"/>
                <w:bCs/>
                <w:sz w:val="18"/>
                <w:szCs w:val="18"/>
              </w:rPr>
              <w:t>Number of countries that adopt and implement national disaster risk reduction strategies in line with the Sendai Framework for Disaster Risk Reduction 2015-2030</w:t>
            </w:r>
            <w:r w:rsidR="0045367C" w:rsidRPr="00B25DD3">
              <w:rPr>
                <w:rFonts w:ascii="Arial" w:hAnsi="Arial"/>
                <w:bCs/>
                <w:sz w:val="18"/>
                <w:szCs w:val="18"/>
              </w:rPr>
              <w:t xml:space="preserve"> (National Disaster Risk Management Center, 2019,1=Yes/2=No)</w:t>
            </w:r>
          </w:p>
          <w:p w14:paraId="4DA89A9D" w14:textId="77777777" w:rsidR="00D53899" w:rsidRPr="00B25DD3" w:rsidRDefault="00D53899" w:rsidP="00D53899">
            <w:pPr>
              <w:tabs>
                <w:tab w:val="left" w:pos="9072"/>
              </w:tabs>
              <w:bidi w:val="0"/>
              <w:spacing w:after="0" w:line="240" w:lineRule="auto"/>
              <w:rPr>
                <w:rFonts w:ascii="Arial" w:hAnsi="Arial"/>
                <w:b/>
                <w:sz w:val="18"/>
                <w:szCs w:val="18"/>
              </w:rPr>
            </w:pPr>
          </w:p>
          <w:p w14:paraId="584069A7" w14:textId="77777777" w:rsidR="00D53899" w:rsidRPr="00B25DD3" w:rsidRDefault="00D53899" w:rsidP="00D53899">
            <w:pPr>
              <w:tabs>
                <w:tab w:val="left" w:pos="9072"/>
              </w:tabs>
              <w:bidi w:val="0"/>
              <w:spacing w:after="0" w:line="240" w:lineRule="auto"/>
              <w:rPr>
                <w:rFonts w:ascii="Arial" w:hAnsi="Arial"/>
                <w:b/>
                <w:sz w:val="18"/>
                <w:szCs w:val="18"/>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3A2205BC" w14:textId="77777777" w:rsidR="00677243" w:rsidRPr="00B25DD3" w:rsidRDefault="005C79A4"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tc>
        <w:tc>
          <w:tcPr>
            <w:tcW w:w="1293" w:type="dxa"/>
            <w:tcBorders>
              <w:top w:val="single" w:sz="4" w:space="0" w:color="auto"/>
              <w:left w:val="nil"/>
              <w:bottom w:val="single" w:sz="4" w:space="0" w:color="auto"/>
              <w:right w:val="single" w:sz="4" w:space="0" w:color="auto"/>
            </w:tcBorders>
            <w:vAlign w:val="center"/>
          </w:tcPr>
          <w:p w14:paraId="4642BD83" w14:textId="77777777" w:rsidR="00677243" w:rsidRPr="00B25DD3" w:rsidRDefault="005C79A4" w:rsidP="0013555B">
            <w:pPr>
              <w:spacing w:after="0" w:line="240" w:lineRule="auto"/>
              <w:ind w:left="113" w:right="113"/>
              <w:jc w:val="center"/>
              <w:rPr>
                <w:rFonts w:ascii="Arial" w:hAnsi="Arial"/>
                <w:sz w:val="18"/>
                <w:szCs w:val="18"/>
              </w:rPr>
            </w:pPr>
            <w:r w:rsidRPr="00B25DD3">
              <w:rPr>
                <w:rFonts w:ascii="Arial" w:hAnsi="Arial"/>
                <w:sz w:val="18"/>
                <w:szCs w:val="18"/>
              </w:rPr>
              <w:t>1 (Yes)</w:t>
            </w:r>
          </w:p>
          <w:p w14:paraId="096D179F" w14:textId="77777777" w:rsidR="005C79A4" w:rsidRPr="00B25DD3" w:rsidRDefault="005C79A4" w:rsidP="002D2CED">
            <w:pPr>
              <w:spacing w:after="0" w:line="240" w:lineRule="auto"/>
              <w:ind w:left="113" w:right="113"/>
              <w:jc w:val="center"/>
              <w:rPr>
                <w:rFonts w:ascii="Arial" w:hAnsi="Arial"/>
                <w:sz w:val="18"/>
                <w:szCs w:val="18"/>
                <w:rtl/>
              </w:rPr>
            </w:pPr>
            <w:r w:rsidRPr="00B25DD3">
              <w:rPr>
                <w:rFonts w:ascii="Arial" w:hAnsi="Arial"/>
                <w:sz w:val="18"/>
                <w:szCs w:val="18"/>
              </w:rPr>
              <w:t>(201</w:t>
            </w:r>
            <w:r w:rsidR="002D2CED" w:rsidRPr="00B25DD3">
              <w:rPr>
                <w:rFonts w:ascii="Arial" w:hAnsi="Arial"/>
                <w:sz w:val="18"/>
                <w:szCs w:val="18"/>
              </w:rPr>
              <w:t>8</w:t>
            </w:r>
            <w:r w:rsidRPr="00B25DD3">
              <w:rPr>
                <w:rFonts w:ascii="Arial" w:hAnsi="Arial"/>
                <w:sz w:val="18"/>
                <w:szCs w:val="18"/>
              </w:rPr>
              <w:t>)</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92FD7C0" w14:textId="77777777" w:rsidR="00677243" w:rsidRPr="00B25DD3" w:rsidRDefault="005C79A4" w:rsidP="00F71DD3">
            <w:pPr>
              <w:tabs>
                <w:tab w:val="left" w:pos="9072"/>
              </w:tabs>
              <w:spacing w:after="0" w:line="240" w:lineRule="auto"/>
              <w:ind w:right="113"/>
              <w:jc w:val="center"/>
              <w:rPr>
                <w:rFonts w:ascii="Arial" w:hAnsi="Arial"/>
                <w:sz w:val="18"/>
                <w:szCs w:val="18"/>
                <w:rtl/>
              </w:rPr>
            </w:pPr>
            <w:r w:rsidRPr="00B25DD3">
              <w:rPr>
                <w:rFonts w:ascii="Arial" w:hAnsi="Arial"/>
                <w:sz w:val="18"/>
                <w:szCs w:val="18"/>
              </w:rPr>
              <w:t>1 (Yes)</w:t>
            </w:r>
          </w:p>
        </w:tc>
        <w:tc>
          <w:tcPr>
            <w:tcW w:w="1335" w:type="dxa"/>
            <w:tcBorders>
              <w:top w:val="single" w:sz="4" w:space="0" w:color="auto"/>
              <w:left w:val="single" w:sz="4" w:space="0" w:color="auto"/>
              <w:bottom w:val="single" w:sz="4" w:space="0" w:color="auto"/>
              <w:right w:val="single" w:sz="4" w:space="0" w:color="auto"/>
            </w:tcBorders>
            <w:vAlign w:val="center"/>
          </w:tcPr>
          <w:p w14:paraId="7B74A1EF" w14:textId="77777777" w:rsidR="00677243" w:rsidRPr="00B25DD3" w:rsidRDefault="005C79A4" w:rsidP="00F71DD3">
            <w:pPr>
              <w:tabs>
                <w:tab w:val="left" w:pos="9072"/>
              </w:tabs>
              <w:spacing w:after="0" w:line="240" w:lineRule="auto"/>
              <w:ind w:right="113"/>
              <w:jc w:val="center"/>
              <w:rPr>
                <w:rFonts w:ascii="Arial" w:hAnsi="Arial"/>
                <w:sz w:val="18"/>
                <w:szCs w:val="18"/>
                <w:rtl/>
              </w:rPr>
            </w:pPr>
            <w:r w:rsidRPr="00B25DD3">
              <w:rPr>
                <w:rFonts w:ascii="Arial" w:hAnsi="Arial"/>
                <w:sz w:val="18"/>
                <w:szCs w:val="18"/>
              </w:rPr>
              <w:t>No change</w:t>
            </w:r>
          </w:p>
        </w:tc>
      </w:tr>
      <w:tr w:rsidR="00040FC6" w:rsidRPr="00B25DD3" w14:paraId="4BD91C00" w14:textId="77777777" w:rsidTr="00A96DF4">
        <w:trPr>
          <w:trHeight w:val="389"/>
          <w:jc w:val="cent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7727A" w14:textId="77777777" w:rsidR="00040FC6" w:rsidRPr="00B25DD3" w:rsidRDefault="00040FC6" w:rsidP="00F71DD3">
            <w:pPr>
              <w:tabs>
                <w:tab w:val="left" w:pos="9072"/>
              </w:tabs>
              <w:bidi w:val="0"/>
              <w:spacing w:after="0" w:line="240" w:lineRule="auto"/>
              <w:ind w:left="60"/>
              <w:rPr>
                <w:rFonts w:ascii="Arial" w:hAnsi="Arial"/>
                <w:sz w:val="18"/>
                <w:szCs w:val="18"/>
              </w:rPr>
            </w:pPr>
            <w:r w:rsidRPr="00B25DD3">
              <w:rPr>
                <w:rFonts w:ascii="Arial" w:hAnsi="Arial"/>
                <w:b/>
                <w:sz w:val="18"/>
                <w:szCs w:val="18"/>
              </w:rPr>
              <w:lastRenderedPageBreak/>
              <w:t>Indicator 1.5.4</w:t>
            </w:r>
            <w:r w:rsidRPr="00B25DD3">
              <w:rPr>
                <w:rFonts w:ascii="Arial" w:hAnsi="Arial"/>
                <w:sz w:val="18"/>
                <w:szCs w:val="18"/>
              </w:rPr>
              <w:t xml:space="preserve"> Proportion of local governments that adopt and implement local disaster risk reduction strategies in line with national disaster risk reduction strategies(NDRMC, 2019, </w:t>
            </w:r>
            <w:r w:rsidR="004E44B3" w:rsidRPr="00B25DD3">
              <w:rPr>
                <w:rFonts w:ascii="Arial" w:hAnsi="Arial"/>
                <w:sz w:val="18"/>
                <w:szCs w:val="18"/>
              </w:rPr>
              <w:t>p</w:t>
            </w:r>
            <w:r w:rsidRPr="00B25DD3">
              <w:rPr>
                <w:rFonts w:ascii="Arial" w:hAnsi="Arial"/>
                <w:sz w:val="18"/>
                <w:szCs w:val="18"/>
              </w:rPr>
              <w:t xml:space="preserve">ercentage) </w:t>
            </w:r>
            <w:r w:rsidRPr="00B25DD3">
              <w:rPr>
                <w:rFonts w:ascii="Arial" w:hAnsi="Arial"/>
                <w:b/>
                <w:bCs/>
                <w:sz w:val="18"/>
                <w:szCs w:val="18"/>
              </w:rPr>
              <w:t>(repeated with indicators: 11.b.2 and 13.1.3</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129FA5B7" w14:textId="77777777" w:rsidR="00040FC6" w:rsidRPr="00B25DD3" w:rsidRDefault="00040FC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tc>
        <w:tc>
          <w:tcPr>
            <w:tcW w:w="1293" w:type="dxa"/>
            <w:tcBorders>
              <w:top w:val="single" w:sz="4" w:space="0" w:color="auto"/>
              <w:left w:val="nil"/>
              <w:bottom w:val="single" w:sz="4" w:space="0" w:color="auto"/>
              <w:right w:val="single" w:sz="4" w:space="0" w:color="auto"/>
            </w:tcBorders>
            <w:vAlign w:val="center"/>
          </w:tcPr>
          <w:p w14:paraId="11A50678" w14:textId="77777777" w:rsidR="00040FC6" w:rsidRPr="00B25DD3" w:rsidRDefault="00040FC6" w:rsidP="00F71DD3">
            <w:pPr>
              <w:tabs>
                <w:tab w:val="left" w:pos="9072"/>
              </w:tabs>
              <w:spacing w:after="0" w:line="240" w:lineRule="auto"/>
              <w:ind w:right="113"/>
              <w:jc w:val="center"/>
              <w:rPr>
                <w:rFonts w:ascii="Arial" w:hAnsi="Arial"/>
                <w:sz w:val="18"/>
                <w:szCs w:val="18"/>
                <w:rtl/>
              </w:rPr>
            </w:pPr>
            <w:r w:rsidRPr="00B25DD3">
              <w:rPr>
                <w:rFonts w:ascii="Arial" w:hAnsi="Arial"/>
                <w:sz w:val="18"/>
                <w:szCs w:val="18"/>
              </w:rPr>
              <w:t>68.8* (2018)</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2F5EAC9" w14:textId="77777777" w:rsidR="00040FC6" w:rsidRPr="00B25DD3" w:rsidRDefault="00040FC6" w:rsidP="00F71DD3">
            <w:pPr>
              <w:tabs>
                <w:tab w:val="left" w:pos="9072"/>
              </w:tabs>
              <w:spacing w:after="0" w:line="240" w:lineRule="auto"/>
              <w:ind w:right="113"/>
              <w:jc w:val="center"/>
              <w:rPr>
                <w:rFonts w:ascii="Arial" w:hAnsi="Arial"/>
                <w:sz w:val="18"/>
                <w:szCs w:val="18"/>
                <w:rtl/>
              </w:rPr>
            </w:pPr>
            <w:r w:rsidRPr="00B25DD3">
              <w:rPr>
                <w:rFonts w:ascii="Arial" w:hAnsi="Arial"/>
                <w:sz w:val="18"/>
                <w:szCs w:val="18"/>
              </w:rPr>
              <w:t>68.8*</w:t>
            </w:r>
          </w:p>
        </w:tc>
        <w:tc>
          <w:tcPr>
            <w:tcW w:w="1335" w:type="dxa"/>
            <w:tcBorders>
              <w:top w:val="single" w:sz="4" w:space="0" w:color="auto"/>
              <w:left w:val="single" w:sz="4" w:space="0" w:color="auto"/>
              <w:bottom w:val="single" w:sz="4" w:space="0" w:color="auto"/>
              <w:right w:val="single" w:sz="4" w:space="0" w:color="auto"/>
            </w:tcBorders>
            <w:vAlign w:val="center"/>
          </w:tcPr>
          <w:p w14:paraId="2F3CD58C" w14:textId="77777777" w:rsidR="00040FC6" w:rsidRPr="00B25DD3" w:rsidRDefault="00040FC6" w:rsidP="00F71DD3">
            <w:pPr>
              <w:tabs>
                <w:tab w:val="left" w:pos="9072"/>
              </w:tabs>
              <w:spacing w:after="0" w:line="240" w:lineRule="auto"/>
              <w:ind w:right="113"/>
              <w:jc w:val="center"/>
              <w:rPr>
                <w:rFonts w:ascii="Arial" w:hAnsi="Arial"/>
                <w:sz w:val="18"/>
                <w:szCs w:val="18"/>
                <w:rtl/>
              </w:rPr>
            </w:pPr>
            <w:r w:rsidRPr="00B25DD3">
              <w:rPr>
                <w:rFonts w:ascii="Arial" w:hAnsi="Arial"/>
                <w:sz w:val="18"/>
                <w:szCs w:val="18"/>
              </w:rPr>
              <w:t>No change</w:t>
            </w:r>
          </w:p>
        </w:tc>
      </w:tr>
      <w:tr w:rsidR="007D39B6" w:rsidRPr="00B25DD3" w14:paraId="21D61CAF" w14:textId="77777777" w:rsidTr="00A96DF4">
        <w:trPr>
          <w:trHeight w:val="389"/>
          <w:jc w:val="cent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4090F" w14:textId="77777777" w:rsidR="007D39B6" w:rsidRPr="00B25DD3" w:rsidRDefault="007D39B6" w:rsidP="00F71DD3">
            <w:pPr>
              <w:tabs>
                <w:tab w:val="left" w:pos="9072"/>
              </w:tabs>
              <w:bidi w:val="0"/>
              <w:spacing w:after="0" w:line="240" w:lineRule="auto"/>
              <w:ind w:left="60"/>
              <w:jc w:val="both"/>
              <w:rPr>
                <w:rFonts w:ascii="Arial" w:hAnsi="Arial"/>
                <w:sz w:val="18"/>
                <w:szCs w:val="18"/>
              </w:rPr>
            </w:pPr>
            <w:r w:rsidRPr="00B25DD3">
              <w:rPr>
                <w:rFonts w:ascii="Arial" w:hAnsi="Arial"/>
                <w:b/>
                <w:sz w:val="18"/>
                <w:szCs w:val="18"/>
              </w:rPr>
              <w:t>Indicator 1.a.2</w:t>
            </w:r>
            <w:r w:rsidRPr="00B25DD3">
              <w:rPr>
                <w:rFonts w:ascii="Arial" w:hAnsi="Arial"/>
                <w:sz w:val="18"/>
                <w:szCs w:val="18"/>
              </w:rPr>
              <w:t xml:space="preserve"> Proportion of total government spending on essential services (education, health and social protection</w:t>
            </w:r>
            <w:r w:rsidR="00040FC6" w:rsidRPr="00B25DD3">
              <w:rPr>
                <w:rFonts w:ascii="Arial" w:hAnsi="Arial"/>
                <w:sz w:val="18"/>
                <w:szCs w:val="18"/>
              </w:rPr>
              <w:t>,</w:t>
            </w:r>
            <w:r w:rsidR="005C79A4" w:rsidRPr="00B25DD3">
              <w:rPr>
                <w:rFonts w:ascii="Arial" w:hAnsi="Arial"/>
                <w:sz w:val="18"/>
                <w:szCs w:val="18"/>
              </w:rPr>
              <w:t>2019</w:t>
            </w:r>
            <w:r w:rsidR="00040FC6" w:rsidRPr="00B25DD3">
              <w:rPr>
                <w:rFonts w:ascii="Arial" w:hAnsi="Arial"/>
                <w:sz w:val="18"/>
                <w:szCs w:val="18"/>
              </w:rPr>
              <w:t xml:space="preserve">,  </w:t>
            </w:r>
            <w:r w:rsidR="000278A3" w:rsidRPr="00B25DD3">
              <w:rPr>
                <w:rFonts w:ascii="Arial" w:hAnsi="Arial"/>
                <w:sz w:val="18"/>
                <w:szCs w:val="18"/>
              </w:rPr>
              <w:t>p</w:t>
            </w:r>
            <w:r w:rsidR="00040FC6" w:rsidRPr="00B25DD3">
              <w:rPr>
                <w:rFonts w:ascii="Arial" w:hAnsi="Arial"/>
                <w:sz w:val="18"/>
                <w:szCs w:val="18"/>
              </w:rPr>
              <w:t>ercentage)</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12AC7538" w14:textId="77777777" w:rsidR="007D39B6" w:rsidRPr="00B25DD3" w:rsidRDefault="007D39B6" w:rsidP="00F71DD3">
            <w:pPr>
              <w:tabs>
                <w:tab w:val="left" w:pos="9072"/>
              </w:tabs>
              <w:bidi w:val="0"/>
              <w:spacing w:after="0" w:line="240" w:lineRule="auto"/>
              <w:jc w:val="center"/>
              <w:rPr>
                <w:rFonts w:ascii="Arial" w:hAnsi="Arial"/>
                <w:sz w:val="18"/>
                <w:szCs w:val="18"/>
              </w:rPr>
            </w:pPr>
            <w:r w:rsidRPr="00B25DD3">
              <w:rPr>
                <w:rFonts w:ascii="Arial" w:hAnsi="Arial"/>
                <w:sz w:val="18"/>
                <w:szCs w:val="18"/>
              </w:rPr>
              <w:t>Identical</w:t>
            </w:r>
          </w:p>
        </w:tc>
        <w:tc>
          <w:tcPr>
            <w:tcW w:w="1293" w:type="dxa"/>
            <w:tcBorders>
              <w:top w:val="single" w:sz="4" w:space="0" w:color="auto"/>
              <w:left w:val="nil"/>
              <w:bottom w:val="single" w:sz="4" w:space="0" w:color="auto"/>
              <w:right w:val="single" w:sz="4" w:space="0" w:color="auto"/>
            </w:tcBorders>
            <w:vAlign w:val="center"/>
          </w:tcPr>
          <w:p w14:paraId="7D19A6FA" w14:textId="77777777" w:rsidR="007D39B6" w:rsidRPr="00B25DD3" w:rsidRDefault="007D39B6" w:rsidP="00F71DD3">
            <w:pPr>
              <w:tabs>
                <w:tab w:val="left" w:pos="9072"/>
              </w:tabs>
              <w:spacing w:after="0" w:line="240" w:lineRule="auto"/>
              <w:ind w:right="113"/>
              <w:jc w:val="center"/>
              <w:rPr>
                <w:rFonts w:ascii="Arial" w:hAnsi="Arial"/>
                <w:sz w:val="18"/>
                <w:szCs w:val="18"/>
              </w:rPr>
            </w:pPr>
            <w:r w:rsidRPr="00B25DD3">
              <w:rPr>
                <w:rFonts w:ascii="Arial" w:hAnsi="Arial"/>
                <w:sz w:val="18"/>
                <w:szCs w:val="18"/>
              </w:rPr>
              <w:t>56.3 (2018)</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C27C984" w14:textId="77777777" w:rsidR="007D39B6" w:rsidRPr="00B25DD3" w:rsidRDefault="007D39B6" w:rsidP="00F71DD3">
            <w:pPr>
              <w:tabs>
                <w:tab w:val="left" w:pos="9072"/>
              </w:tabs>
              <w:spacing w:after="0" w:line="240" w:lineRule="auto"/>
              <w:ind w:right="113"/>
              <w:jc w:val="center"/>
              <w:rPr>
                <w:rFonts w:ascii="Arial" w:hAnsi="Arial"/>
                <w:sz w:val="18"/>
                <w:szCs w:val="18"/>
              </w:rPr>
            </w:pPr>
            <w:r w:rsidRPr="00B25DD3">
              <w:rPr>
                <w:rFonts w:ascii="Arial" w:hAnsi="Arial"/>
                <w:sz w:val="18"/>
                <w:szCs w:val="18"/>
                <w:rtl/>
              </w:rPr>
              <w:t>57.9</w:t>
            </w:r>
          </w:p>
        </w:tc>
        <w:tc>
          <w:tcPr>
            <w:tcW w:w="1335" w:type="dxa"/>
            <w:tcBorders>
              <w:top w:val="single" w:sz="4" w:space="0" w:color="auto"/>
              <w:left w:val="single" w:sz="4" w:space="0" w:color="auto"/>
              <w:bottom w:val="single" w:sz="4" w:space="0" w:color="auto"/>
              <w:right w:val="single" w:sz="4" w:space="0" w:color="auto"/>
            </w:tcBorders>
          </w:tcPr>
          <w:p w14:paraId="7D6AC12A" w14:textId="77777777" w:rsidR="00611C35" w:rsidRPr="00B25DD3" w:rsidRDefault="007D39B6" w:rsidP="00F71DD3">
            <w:pPr>
              <w:tabs>
                <w:tab w:val="left" w:pos="9072"/>
              </w:tabs>
              <w:spacing w:after="0" w:line="240" w:lineRule="auto"/>
              <w:ind w:right="113"/>
              <w:jc w:val="center"/>
              <w:rPr>
                <w:rFonts w:ascii="Arial" w:hAnsi="Arial"/>
                <w:sz w:val="18"/>
                <w:szCs w:val="18"/>
                <w:rtl/>
              </w:rPr>
            </w:pPr>
            <w:r w:rsidRPr="00B25DD3">
              <w:rPr>
                <w:rFonts w:ascii="Arial" w:hAnsi="Arial"/>
                <w:sz w:val="18"/>
                <w:szCs w:val="18"/>
              </w:rPr>
              <w:t>Increase</w:t>
            </w:r>
          </w:p>
          <w:p w14:paraId="03815DE6" w14:textId="77777777" w:rsidR="00611C35" w:rsidRPr="00B25DD3" w:rsidRDefault="00611C35" w:rsidP="00F71DD3">
            <w:pPr>
              <w:tabs>
                <w:tab w:val="left" w:pos="9072"/>
              </w:tabs>
              <w:spacing w:after="0" w:line="240" w:lineRule="auto"/>
              <w:ind w:right="113"/>
              <w:jc w:val="center"/>
              <w:rPr>
                <w:rFonts w:ascii="Arial" w:hAnsi="Arial"/>
                <w:color w:val="008000"/>
                <w:sz w:val="18"/>
                <w:szCs w:val="18"/>
                <w:rtl/>
              </w:rPr>
            </w:pPr>
          </w:p>
          <w:p w14:paraId="14FBFAED" w14:textId="77777777" w:rsidR="007D39B6" w:rsidRPr="00B25DD3" w:rsidRDefault="007D39B6" w:rsidP="00F71DD3">
            <w:pPr>
              <w:tabs>
                <w:tab w:val="left" w:pos="9072"/>
              </w:tabs>
              <w:spacing w:after="0" w:line="240" w:lineRule="auto"/>
              <w:ind w:right="113"/>
              <w:jc w:val="center"/>
              <w:rPr>
                <w:rFonts w:ascii="Arial" w:hAnsi="Arial"/>
                <w:sz w:val="18"/>
                <w:szCs w:val="18"/>
                <w:rtl/>
              </w:rPr>
            </w:pPr>
          </w:p>
        </w:tc>
      </w:tr>
    </w:tbl>
    <w:p w14:paraId="2E171D19" w14:textId="77777777" w:rsidR="00D53899" w:rsidRPr="00B25DD3" w:rsidRDefault="007D39B6" w:rsidP="006D0C5D">
      <w:pPr>
        <w:pStyle w:val="Bodytext1"/>
        <w:shd w:val="clear" w:color="auto" w:fill="auto"/>
        <w:spacing w:before="0" w:after="0" w:line="240" w:lineRule="auto"/>
        <w:ind w:firstLine="0"/>
        <w:rPr>
          <w:rStyle w:val="Bodytext8pt"/>
          <w:rFonts w:ascii="Arial" w:hAnsi="Arial" w:cs="Arial"/>
          <w:b w:val="0"/>
          <w:bCs w:val="0"/>
          <w:color w:val="auto"/>
          <w:sz w:val="18"/>
          <w:szCs w:val="18"/>
        </w:rPr>
      </w:pPr>
      <w:r w:rsidRPr="00B25DD3">
        <w:rPr>
          <w:rStyle w:val="Bodytext8pt"/>
          <w:rFonts w:ascii="Arial" w:hAnsi="Arial" w:cs="Arial"/>
          <w:b w:val="0"/>
          <w:bCs w:val="0"/>
          <w:color w:val="auto"/>
          <w:sz w:val="18"/>
          <w:szCs w:val="18"/>
        </w:rPr>
        <w:t>*: Data represent</w:t>
      </w:r>
      <w:r w:rsidR="000278A3" w:rsidRPr="00B25DD3">
        <w:rPr>
          <w:rStyle w:val="Bodytext8pt"/>
          <w:rFonts w:ascii="Arial" w:hAnsi="Arial" w:cs="Arial"/>
          <w:b w:val="0"/>
          <w:bCs w:val="0"/>
          <w:color w:val="auto"/>
          <w:sz w:val="18"/>
          <w:szCs w:val="18"/>
        </w:rPr>
        <w:t>s</w:t>
      </w:r>
      <w:r w:rsidRPr="00B25DD3">
        <w:rPr>
          <w:rStyle w:val="Bodytext8pt"/>
          <w:rFonts w:ascii="Arial" w:hAnsi="Arial" w:cs="Arial"/>
          <w:b w:val="0"/>
          <w:bCs w:val="0"/>
          <w:color w:val="auto"/>
          <w:sz w:val="18"/>
          <w:szCs w:val="18"/>
        </w:rPr>
        <w:t xml:space="preserve"> all West </w:t>
      </w:r>
      <w:r w:rsidR="006D0C5D" w:rsidRPr="00B25DD3">
        <w:rPr>
          <w:rStyle w:val="Bodytext8pt"/>
          <w:rFonts w:ascii="Arial" w:hAnsi="Arial" w:cs="Arial"/>
          <w:b w:val="0"/>
          <w:bCs w:val="0"/>
          <w:color w:val="auto"/>
          <w:sz w:val="18"/>
          <w:szCs w:val="18"/>
        </w:rPr>
        <w:t>Bank Governorates</w:t>
      </w:r>
    </w:p>
    <w:p w14:paraId="47C41269" w14:textId="77777777" w:rsidR="006D0C5D" w:rsidRPr="00B25DD3" w:rsidRDefault="006D0C5D" w:rsidP="006D0C5D">
      <w:pPr>
        <w:pStyle w:val="Bodytext1"/>
        <w:shd w:val="clear" w:color="auto" w:fill="auto"/>
        <w:spacing w:before="0" w:after="0" w:line="240" w:lineRule="auto"/>
        <w:ind w:firstLine="0"/>
        <w:rPr>
          <w:rFonts w:ascii="Arial" w:hAnsi="Arial" w:cs="Arial"/>
          <w:spacing w:val="2"/>
          <w:sz w:val="18"/>
          <w:szCs w:val="18"/>
          <w:shd w:val="clear" w:color="auto" w:fill="FFFFFF"/>
          <w:lang w:val="en-GB"/>
        </w:rPr>
      </w:pPr>
    </w:p>
    <w:p w14:paraId="4803272D" w14:textId="77777777" w:rsidR="00ED51A3" w:rsidRPr="00B25DD3" w:rsidRDefault="00ED51A3" w:rsidP="00D53899">
      <w:pPr>
        <w:autoSpaceDE w:val="0"/>
        <w:autoSpaceDN w:val="0"/>
        <w:bidi w:val="0"/>
        <w:adjustRightInd w:val="0"/>
        <w:spacing w:line="240" w:lineRule="auto"/>
        <w:jc w:val="both"/>
        <w:rPr>
          <w:rFonts w:ascii="Times New Roman" w:hAnsi="Times New Roman" w:cs="Times New Roman"/>
          <w:b/>
          <w:bCs/>
          <w:sz w:val="24"/>
          <w:szCs w:val="24"/>
        </w:rPr>
      </w:pPr>
      <w:r w:rsidRPr="00B25DD3">
        <w:rPr>
          <w:rFonts w:ascii="Times New Roman" w:hAnsi="Times New Roman" w:cs="Times New Roman"/>
          <w:b/>
          <w:bCs/>
          <w:sz w:val="24"/>
          <w:szCs w:val="24"/>
        </w:rPr>
        <w:t xml:space="preserve">b. Reported </w:t>
      </w:r>
      <w:r w:rsidR="004E44B3" w:rsidRPr="00B25DD3">
        <w:rPr>
          <w:rFonts w:ascii="Times New Roman" w:hAnsi="Times New Roman" w:cs="Times New Roman"/>
          <w:b/>
          <w:bCs/>
          <w:sz w:val="24"/>
          <w:szCs w:val="24"/>
        </w:rPr>
        <w:t>i</w:t>
      </w:r>
      <w:r w:rsidRPr="00B25DD3">
        <w:rPr>
          <w:rFonts w:ascii="Times New Roman" w:hAnsi="Times New Roman" w:cs="Times New Roman"/>
          <w:b/>
          <w:bCs/>
          <w:sz w:val="24"/>
          <w:szCs w:val="24"/>
        </w:rPr>
        <w:t xml:space="preserve">ndicators by </w:t>
      </w:r>
      <w:r w:rsidR="004E44B3" w:rsidRPr="00B25DD3">
        <w:rPr>
          <w:rFonts w:ascii="Times New Roman" w:hAnsi="Times New Roman" w:cs="Times New Roman"/>
          <w:b/>
          <w:bCs/>
          <w:sz w:val="24"/>
          <w:szCs w:val="24"/>
        </w:rPr>
        <w:t>o</w:t>
      </w:r>
      <w:r w:rsidRPr="00B25DD3">
        <w:rPr>
          <w:rFonts w:ascii="Times New Roman" w:hAnsi="Times New Roman" w:cs="Times New Roman"/>
          <w:b/>
          <w:bCs/>
          <w:sz w:val="24"/>
          <w:szCs w:val="24"/>
        </w:rPr>
        <w:t xml:space="preserve">ther </w:t>
      </w:r>
      <w:r w:rsidR="004E44B3" w:rsidRPr="00B25DD3">
        <w:rPr>
          <w:rFonts w:ascii="Times New Roman" w:hAnsi="Times New Roman" w:cs="Times New Roman"/>
          <w:b/>
          <w:bCs/>
          <w:sz w:val="24"/>
          <w:szCs w:val="24"/>
        </w:rPr>
        <w:t>s</w:t>
      </w:r>
      <w:r w:rsidRPr="00B25DD3">
        <w:rPr>
          <w:rFonts w:ascii="Times New Roman" w:hAnsi="Times New Roman" w:cs="Times New Roman"/>
          <w:b/>
          <w:bCs/>
          <w:sz w:val="24"/>
          <w:szCs w:val="24"/>
        </w:rPr>
        <w:t>ources</w:t>
      </w:r>
    </w:p>
    <w:p w14:paraId="3C02CBCE" w14:textId="77777777" w:rsidR="00442BEA" w:rsidRPr="00B25DD3" w:rsidRDefault="00ED51A3" w:rsidP="006A2655">
      <w:pPr>
        <w:autoSpaceDE w:val="0"/>
        <w:autoSpaceDN w:val="0"/>
        <w:bidi w:val="0"/>
        <w:adjustRightInd w:val="0"/>
        <w:spacing w:after="0" w:line="240" w:lineRule="auto"/>
        <w:jc w:val="both"/>
        <w:rPr>
          <w:rFonts w:ascii="Times New Roman" w:hAnsi="Times New Roman" w:cs="Times New Roman"/>
          <w:sz w:val="24"/>
          <w:szCs w:val="24"/>
        </w:rPr>
      </w:pPr>
      <w:r w:rsidRPr="00B25DD3">
        <w:rPr>
          <w:rFonts w:ascii="Times New Roman" w:hAnsi="Times New Roman" w:cs="Times New Roman"/>
          <w:sz w:val="24"/>
          <w:szCs w:val="24"/>
        </w:rPr>
        <w:t>There are</w:t>
      </w:r>
      <w:r w:rsidR="000278A3" w:rsidRPr="00B25DD3">
        <w:rPr>
          <w:rFonts w:ascii="Times New Roman" w:hAnsi="Times New Roman" w:cs="Times New Roman"/>
          <w:sz w:val="24"/>
          <w:szCs w:val="24"/>
        </w:rPr>
        <w:t xml:space="preserve">fouradditional </w:t>
      </w:r>
      <w:r w:rsidR="004E44B3" w:rsidRPr="00B25DD3">
        <w:rPr>
          <w:rFonts w:ascii="Times New Roman" w:hAnsi="Times New Roman" w:cs="Times New Roman"/>
          <w:sz w:val="24"/>
          <w:szCs w:val="24"/>
        </w:rPr>
        <w:t xml:space="preserve">indicators </w:t>
      </w:r>
      <w:r w:rsidRPr="00B25DD3">
        <w:rPr>
          <w:rFonts w:ascii="Times New Roman" w:hAnsi="Times New Roman" w:cs="Times New Roman"/>
          <w:sz w:val="24"/>
          <w:szCs w:val="24"/>
        </w:rPr>
        <w:t xml:space="preserve">reported </w:t>
      </w:r>
      <w:r w:rsidR="006E7DFE" w:rsidRPr="00B25DD3">
        <w:rPr>
          <w:rFonts w:ascii="Times New Roman" w:hAnsi="Times New Roman" w:cs="Times New Roman"/>
          <w:sz w:val="24"/>
          <w:szCs w:val="24"/>
        </w:rPr>
        <w:t xml:space="preserve">for Goal </w:t>
      </w:r>
      <w:r w:rsidR="006E7DFE" w:rsidRPr="00B25DD3">
        <w:rPr>
          <w:rFonts w:ascii="Times New Roman" w:hAnsi="Times New Roman" w:cs="Times New Roman" w:hint="cs"/>
          <w:sz w:val="24"/>
          <w:szCs w:val="24"/>
          <w:rtl/>
        </w:rPr>
        <w:t>1</w:t>
      </w:r>
      <w:r w:rsidR="006E7DFE" w:rsidRPr="00B25DD3">
        <w:rPr>
          <w:rFonts w:ascii="Times New Roman" w:hAnsi="Times New Roman" w:cs="Times New Roman"/>
          <w:sz w:val="24"/>
          <w:szCs w:val="24"/>
        </w:rPr>
        <w:t xml:space="preserve">, </w:t>
      </w:r>
      <w:r w:rsidR="006E7DFE" w:rsidRPr="00B25DD3">
        <w:rPr>
          <w:rFonts w:ascii="Times New Roman" w:hAnsi="Times New Roman" w:cs="Times New Roman"/>
          <w:sz w:val="24"/>
          <w:szCs w:val="24"/>
          <w:lang w:eastAsia="ar-SA"/>
        </w:rPr>
        <w:t>represent</w:t>
      </w:r>
      <w:r w:rsidR="000278A3" w:rsidRPr="00B25DD3">
        <w:rPr>
          <w:rFonts w:ascii="Times New Roman" w:hAnsi="Times New Roman" w:cs="Times New Roman"/>
          <w:sz w:val="24"/>
          <w:szCs w:val="24"/>
          <w:lang w:eastAsia="ar-SA"/>
        </w:rPr>
        <w:t>ing</w:t>
      </w:r>
      <w:r w:rsidR="006A2655" w:rsidRPr="00B25DD3">
        <w:rPr>
          <w:rFonts w:ascii="Times New Roman" w:hAnsi="Times New Roman" w:cs="Times New Roman"/>
          <w:sz w:val="24"/>
          <w:szCs w:val="24"/>
          <w:lang w:eastAsia="ar-SA"/>
        </w:rPr>
        <w:t xml:space="preserve"> four </w:t>
      </w:r>
      <w:r w:rsidR="006E7DFE" w:rsidRPr="00B25DD3">
        <w:rPr>
          <w:rFonts w:ascii="Times New Roman" w:hAnsi="Times New Roman" w:cs="Times New Roman"/>
          <w:sz w:val="24"/>
          <w:szCs w:val="24"/>
          <w:lang w:eastAsia="ar-SA"/>
        </w:rPr>
        <w:t>data points</w:t>
      </w:r>
      <w:r w:rsidRPr="00B25DD3">
        <w:rPr>
          <w:rFonts w:ascii="Times New Roman" w:hAnsi="Times New Roman" w:cs="Times New Roman"/>
          <w:sz w:val="24"/>
          <w:szCs w:val="24"/>
        </w:rPr>
        <w:t xml:space="preserve"> by other sources that </w:t>
      </w:r>
      <w:r w:rsidR="000278A3" w:rsidRPr="00B25DD3">
        <w:rPr>
          <w:rFonts w:ascii="Times New Roman" w:hAnsi="Times New Roman" w:cs="Times New Roman"/>
          <w:sz w:val="24"/>
          <w:szCs w:val="24"/>
        </w:rPr>
        <w:t xml:space="preserve">are </w:t>
      </w:r>
      <w:r w:rsidRPr="00B25DD3">
        <w:rPr>
          <w:rFonts w:ascii="Times New Roman" w:hAnsi="Times New Roman" w:cs="Times New Roman"/>
          <w:sz w:val="24"/>
          <w:szCs w:val="24"/>
        </w:rPr>
        <w:t>available on</w:t>
      </w:r>
      <w:r w:rsidR="004E44B3" w:rsidRPr="00B25DD3">
        <w:rPr>
          <w:rFonts w:ascii="Times New Roman" w:hAnsi="Times New Roman" w:cs="Times New Roman"/>
          <w:sz w:val="24"/>
          <w:szCs w:val="24"/>
        </w:rPr>
        <w:t xml:space="preserve">the </w:t>
      </w:r>
      <w:r w:rsidRPr="00B25DD3">
        <w:rPr>
          <w:rFonts w:ascii="Times New Roman" w:hAnsi="Times New Roman" w:cs="Times New Roman"/>
          <w:sz w:val="24"/>
          <w:szCs w:val="24"/>
        </w:rPr>
        <w:t xml:space="preserve">UNSD-Databasereferring to </w:t>
      </w:r>
      <w:r w:rsidR="000278A3" w:rsidRPr="00B25DD3">
        <w:rPr>
          <w:rFonts w:ascii="Times New Roman" w:hAnsi="Times New Roman" w:cs="Times New Roman"/>
          <w:sz w:val="24"/>
          <w:szCs w:val="24"/>
        </w:rPr>
        <w:t>four</w:t>
      </w:r>
      <w:r w:rsidRPr="00B25DD3">
        <w:rPr>
          <w:rFonts w:ascii="Times New Roman" w:hAnsi="Times New Roman" w:cs="Times New Roman"/>
          <w:sz w:val="24"/>
          <w:szCs w:val="24"/>
        </w:rPr>
        <w:t xml:space="preserve">of the </w:t>
      </w:r>
      <w:r w:rsidR="000278A3" w:rsidRPr="00B25DD3">
        <w:rPr>
          <w:rFonts w:ascii="Times New Roman" w:hAnsi="Times New Roman" w:cs="Times New Roman"/>
          <w:sz w:val="24"/>
          <w:szCs w:val="24"/>
        </w:rPr>
        <w:t>seven</w:t>
      </w:r>
      <w:r w:rsidRPr="00B25DD3">
        <w:rPr>
          <w:rFonts w:ascii="Times New Roman" w:hAnsi="Times New Roman" w:cs="Times New Roman"/>
          <w:sz w:val="24"/>
          <w:szCs w:val="24"/>
        </w:rPr>
        <w:t xml:space="preserve"> targets</w:t>
      </w:r>
      <w:r w:rsidR="004E44B3" w:rsidRPr="00B25DD3">
        <w:rPr>
          <w:rFonts w:ascii="Times New Roman" w:hAnsi="Times New Roman" w:cs="Times New Roman"/>
          <w:sz w:val="24"/>
          <w:szCs w:val="24"/>
        </w:rPr>
        <w:t>; t</w:t>
      </w:r>
      <w:r w:rsidR="00442BEA" w:rsidRPr="00B25DD3">
        <w:rPr>
          <w:rFonts w:ascii="Times New Roman" w:hAnsi="Times New Roman" w:cs="Times New Roman"/>
          <w:sz w:val="24"/>
          <w:szCs w:val="24"/>
        </w:rPr>
        <w:t xml:space="preserve">herefore, all of the goal targets </w:t>
      </w:r>
      <w:r w:rsidR="000278A3" w:rsidRPr="00B25DD3">
        <w:rPr>
          <w:rFonts w:ascii="Times New Roman" w:hAnsi="Times New Roman" w:cs="Times New Roman"/>
          <w:sz w:val="24"/>
          <w:szCs w:val="24"/>
        </w:rPr>
        <w:t xml:space="preserve">have </w:t>
      </w:r>
      <w:r w:rsidR="00442BEA" w:rsidRPr="00B25DD3">
        <w:rPr>
          <w:rFonts w:ascii="Times New Roman" w:hAnsi="Times New Roman" w:cs="Times New Roman"/>
          <w:sz w:val="24"/>
          <w:szCs w:val="24"/>
        </w:rPr>
        <w:t>been either fully or partially</w:t>
      </w:r>
      <w:r w:rsidR="000278A3" w:rsidRPr="00B25DD3">
        <w:rPr>
          <w:rFonts w:ascii="Times New Roman" w:hAnsi="Times New Roman" w:cs="Times New Roman"/>
          <w:sz w:val="24"/>
          <w:szCs w:val="24"/>
        </w:rPr>
        <w:t xml:space="preserve"> covered</w:t>
      </w:r>
      <w:r w:rsidR="00442BEA" w:rsidRPr="00B25DD3">
        <w:rPr>
          <w:rFonts w:ascii="Times New Roman" w:hAnsi="Times New Roman" w:cs="Times New Roman"/>
          <w:sz w:val="24"/>
          <w:szCs w:val="24"/>
        </w:rPr>
        <w:t>.</w:t>
      </w:r>
    </w:p>
    <w:p w14:paraId="52516B3C" w14:textId="77777777" w:rsidR="006D0C5D" w:rsidRPr="00B25DD3"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188BCEFE" w14:textId="77777777" w:rsidR="00442BEA" w:rsidRPr="00B25DD3" w:rsidRDefault="00442BEA" w:rsidP="008C6258">
      <w:pPr>
        <w:autoSpaceDE w:val="0"/>
        <w:autoSpaceDN w:val="0"/>
        <w:bidi w:val="0"/>
        <w:adjustRightInd w:val="0"/>
        <w:spacing w:after="0" w:line="240" w:lineRule="auto"/>
        <w:jc w:val="both"/>
        <w:rPr>
          <w:rFonts w:ascii="Times New Roman" w:hAnsi="Times New Roman" w:cs="Times New Roman"/>
          <w:sz w:val="14"/>
          <w:szCs w:val="14"/>
        </w:rPr>
      </w:pPr>
    </w:p>
    <w:p w14:paraId="469092DB" w14:textId="77777777" w:rsidR="00ED51A3" w:rsidRPr="00670F90" w:rsidRDefault="00ED51A3" w:rsidP="00FB1314">
      <w:pPr>
        <w:pStyle w:val="ListParagraph"/>
        <w:numPr>
          <w:ilvl w:val="0"/>
          <w:numId w:val="9"/>
        </w:numPr>
        <w:spacing w:after="0" w:line="240" w:lineRule="auto"/>
        <w:jc w:val="center"/>
        <w:rPr>
          <w:rFonts w:ascii="Arial" w:hAnsi="Arial"/>
          <w:b/>
          <w:bCs/>
          <w:lang w:eastAsia="ar-SA"/>
        </w:rPr>
      </w:pPr>
      <w:r w:rsidRPr="00B25DD3">
        <w:rPr>
          <w:rFonts w:ascii="Arial" w:hAnsi="Arial"/>
          <w:b/>
          <w:bCs/>
          <w:lang w:eastAsia="ar-SA"/>
        </w:rPr>
        <w:t xml:space="preserve">Table 1.2: List of SDGs </w:t>
      </w:r>
      <w:r w:rsidR="000278A3" w:rsidRPr="00B25DD3">
        <w:rPr>
          <w:rFonts w:ascii="Arial" w:hAnsi="Arial"/>
          <w:b/>
          <w:bCs/>
          <w:lang w:eastAsia="ar-SA"/>
        </w:rPr>
        <w:t>I</w:t>
      </w:r>
      <w:r w:rsidRPr="00B25DD3">
        <w:rPr>
          <w:rFonts w:ascii="Arial" w:hAnsi="Arial"/>
          <w:b/>
          <w:bCs/>
          <w:lang w:eastAsia="ar-SA"/>
        </w:rPr>
        <w:t xml:space="preserve">ndicators </w:t>
      </w:r>
      <w:r w:rsidR="000278A3" w:rsidRPr="00B25DD3">
        <w:rPr>
          <w:rFonts w:ascii="Arial" w:hAnsi="Arial"/>
          <w:b/>
          <w:bCs/>
          <w:lang w:eastAsia="ar-SA"/>
        </w:rPr>
        <w:t>R</w:t>
      </w:r>
      <w:r w:rsidRPr="00B25DD3">
        <w:rPr>
          <w:rFonts w:ascii="Arial" w:hAnsi="Arial"/>
          <w:b/>
          <w:bCs/>
          <w:lang w:eastAsia="ar-SA"/>
        </w:rPr>
        <w:t xml:space="preserve">eleased by </w:t>
      </w:r>
      <w:r w:rsidRPr="00B25DD3">
        <w:rPr>
          <w:rFonts w:ascii="Arial" w:hAnsi="Arial"/>
          <w:b/>
          <w:bCs/>
        </w:rPr>
        <w:t>Other</w:t>
      </w:r>
      <w:r w:rsidRPr="00670F90">
        <w:rPr>
          <w:rFonts w:ascii="Arial" w:hAnsi="Arial"/>
          <w:b/>
          <w:bCs/>
        </w:rPr>
        <w:t xml:space="preserve"> Sources</w:t>
      </w:r>
    </w:p>
    <w:p w14:paraId="335EB852" w14:textId="77777777" w:rsidR="00ED51A3" w:rsidRPr="006D0C5D" w:rsidRDefault="00ED51A3" w:rsidP="008C6258">
      <w:pPr>
        <w:bidi w:val="0"/>
        <w:spacing w:after="0" w:line="240" w:lineRule="auto"/>
        <w:jc w:val="center"/>
        <w:rPr>
          <w:rStyle w:val="Bodytext8pt"/>
          <w:rFonts w:ascii="Arial" w:hAnsi="Arial" w:cs="Arial"/>
          <w:bCs w:val="0"/>
          <w:sz w:val="18"/>
          <w:szCs w:val="18"/>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ED51A3" w:rsidRPr="000D2E4D" w14:paraId="2070AE81" w14:textId="77777777" w:rsidTr="00F71DD3">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1F6AF" w14:textId="77777777" w:rsidR="00ED51A3" w:rsidRPr="00A16230" w:rsidRDefault="00ED51A3" w:rsidP="008C6258">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38F169B2" w14:textId="77777777" w:rsidR="00ED51A3" w:rsidRPr="001D5BA6" w:rsidRDefault="00ED51A3" w:rsidP="008C6258">
            <w:pPr>
              <w:bidi w:val="0"/>
              <w:spacing w:after="0" w:line="240" w:lineRule="auto"/>
              <w:jc w:val="center"/>
            </w:pPr>
            <w:r w:rsidRPr="001D5BA6">
              <w:rPr>
                <w:rFonts w:ascii="Arial" w:hAnsi="Arial"/>
                <w:b/>
                <w:bCs/>
                <w:sz w:val="18"/>
                <w:szCs w:val="18"/>
              </w:rPr>
              <w:t>Most Recent Year</w:t>
            </w:r>
          </w:p>
        </w:tc>
      </w:tr>
      <w:tr w:rsidR="00ED51A3" w:rsidRPr="000D2E4D" w14:paraId="699CE53A" w14:textId="77777777" w:rsidTr="00F71DD3">
        <w:trPr>
          <w:trHeight w:val="454"/>
        </w:trPr>
        <w:tc>
          <w:tcPr>
            <w:tcW w:w="6826" w:type="dxa"/>
            <w:tcBorders>
              <w:top w:val="single" w:sz="4" w:space="0" w:color="auto"/>
              <w:left w:val="single" w:sz="4" w:space="0" w:color="auto"/>
              <w:right w:val="single" w:sz="4" w:space="0" w:color="auto"/>
            </w:tcBorders>
            <w:shd w:val="clear" w:color="auto" w:fill="auto"/>
            <w:noWrap/>
            <w:vAlign w:val="bottom"/>
          </w:tcPr>
          <w:p w14:paraId="1DE3405D" w14:textId="77777777" w:rsidR="00ED51A3" w:rsidRPr="00080517" w:rsidRDefault="005C6BC2" w:rsidP="00F71DD3">
            <w:pPr>
              <w:tabs>
                <w:tab w:val="left" w:pos="9072"/>
              </w:tabs>
              <w:bidi w:val="0"/>
              <w:spacing w:after="0" w:line="240" w:lineRule="auto"/>
              <w:rPr>
                <w:rFonts w:ascii="Arial" w:hAnsi="Arial"/>
                <w:color w:val="000000"/>
                <w:sz w:val="18"/>
                <w:szCs w:val="18"/>
              </w:rPr>
            </w:pPr>
            <w:r>
              <w:rPr>
                <w:rFonts w:ascii="Arial" w:hAnsi="Arial"/>
                <w:b/>
                <w:sz w:val="18"/>
                <w:szCs w:val="18"/>
              </w:rPr>
              <w:t>Indicator</w:t>
            </w:r>
            <w:r w:rsidR="00F71DD3">
              <w:rPr>
                <w:rFonts w:ascii="Arial" w:hAnsi="Arial"/>
                <w:b/>
                <w:sz w:val="18"/>
                <w:szCs w:val="18"/>
              </w:rPr>
              <w:t xml:space="preserve"> 1.1.1</w:t>
            </w:r>
            <w:r w:rsidR="00F71DD3" w:rsidRPr="00F71DD3">
              <w:rPr>
                <w:rFonts w:ascii="Arial" w:hAnsi="Arial"/>
                <w:color w:val="000000"/>
                <w:sz w:val="18"/>
                <w:szCs w:val="18"/>
              </w:rPr>
              <w:t>Proportion of the population living below the international poverty line by sex, age, employment status and geographic location</w:t>
            </w:r>
          </w:p>
        </w:tc>
        <w:tc>
          <w:tcPr>
            <w:tcW w:w="2234" w:type="dxa"/>
            <w:tcBorders>
              <w:top w:val="single" w:sz="4" w:space="0" w:color="auto"/>
              <w:left w:val="nil"/>
              <w:right w:val="single" w:sz="4" w:space="0" w:color="auto"/>
            </w:tcBorders>
          </w:tcPr>
          <w:p w14:paraId="3228FDC9" w14:textId="77777777" w:rsidR="00ED51A3" w:rsidRPr="00080517" w:rsidRDefault="00ED51A3" w:rsidP="00F71DD3">
            <w:pPr>
              <w:spacing w:after="0" w:line="240" w:lineRule="auto"/>
              <w:ind w:right="57"/>
              <w:jc w:val="center"/>
              <w:rPr>
                <w:rFonts w:ascii="Arial" w:hAnsi="Arial"/>
                <w:color w:val="000000"/>
                <w:sz w:val="18"/>
                <w:szCs w:val="18"/>
              </w:rPr>
            </w:pPr>
            <w:r>
              <w:rPr>
                <w:rFonts w:ascii="Arial" w:hAnsi="Arial"/>
                <w:color w:val="000000"/>
                <w:sz w:val="18"/>
                <w:szCs w:val="18"/>
              </w:rPr>
              <w:t>2018</w:t>
            </w:r>
          </w:p>
        </w:tc>
      </w:tr>
      <w:tr w:rsidR="00ED51A3" w:rsidRPr="000D2E4D" w14:paraId="036F9E07" w14:textId="77777777" w:rsidTr="00F71DD3">
        <w:trPr>
          <w:trHeight w:val="45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2E0C6" w14:textId="77777777" w:rsidR="00ED51A3" w:rsidRPr="00080517" w:rsidRDefault="00ED51A3" w:rsidP="008C6258">
            <w:pPr>
              <w:tabs>
                <w:tab w:val="left" w:pos="9072"/>
              </w:tabs>
              <w:bidi w:val="0"/>
              <w:spacing w:after="0" w:line="240" w:lineRule="auto"/>
              <w:rPr>
                <w:rFonts w:ascii="Arial" w:hAnsi="Arial"/>
                <w:color w:val="000000"/>
                <w:sz w:val="18"/>
                <w:szCs w:val="18"/>
              </w:rPr>
            </w:pPr>
            <w:r w:rsidRPr="005127E8">
              <w:rPr>
                <w:rFonts w:ascii="Arial" w:hAnsi="Arial"/>
                <w:b/>
                <w:sz w:val="18"/>
                <w:szCs w:val="18"/>
              </w:rPr>
              <w:t>Indicator</w:t>
            </w:r>
            <w:r w:rsidRPr="005C6BC2">
              <w:rPr>
                <w:rFonts w:ascii="Arial" w:hAnsi="Arial"/>
                <w:b/>
                <w:sz w:val="18"/>
                <w:szCs w:val="18"/>
              </w:rPr>
              <w:t xml:space="preserve"> 1.3.1</w:t>
            </w:r>
            <w:r w:rsidRPr="00ED51A3">
              <w:rPr>
                <w:rFonts w:ascii="Arial" w:hAnsi="Arial"/>
                <w:color w:val="000000"/>
                <w:sz w:val="18"/>
                <w:szCs w:val="18"/>
              </w:rPr>
              <w:t>Proportion of population covered by social protection floors/systems by sex, and distinguishing children, unemployed persons, older persons, persons with disabilities, pregnant women, newborns, work injury victims, and the poor and vulnerable</w:t>
            </w:r>
          </w:p>
        </w:tc>
        <w:tc>
          <w:tcPr>
            <w:tcW w:w="2234" w:type="dxa"/>
            <w:tcBorders>
              <w:top w:val="single" w:sz="4" w:space="0" w:color="auto"/>
              <w:left w:val="nil"/>
              <w:bottom w:val="single" w:sz="4" w:space="0" w:color="auto"/>
              <w:right w:val="single" w:sz="4" w:space="0" w:color="auto"/>
            </w:tcBorders>
          </w:tcPr>
          <w:p w14:paraId="4645EBB0" w14:textId="77777777" w:rsidR="00ED51A3" w:rsidRPr="00080517" w:rsidRDefault="005C6BC2" w:rsidP="00F71DD3">
            <w:pPr>
              <w:tabs>
                <w:tab w:val="left" w:pos="9072"/>
              </w:tabs>
              <w:spacing w:after="0" w:line="240" w:lineRule="auto"/>
              <w:ind w:right="57"/>
              <w:jc w:val="center"/>
              <w:rPr>
                <w:rFonts w:ascii="Arial" w:hAnsi="Arial"/>
                <w:color w:val="000000"/>
                <w:sz w:val="18"/>
                <w:szCs w:val="18"/>
                <w:rtl/>
              </w:rPr>
            </w:pPr>
            <w:r>
              <w:rPr>
                <w:rFonts w:ascii="Arial" w:hAnsi="Arial" w:hint="cs"/>
                <w:color w:val="000000"/>
                <w:sz w:val="18"/>
                <w:szCs w:val="18"/>
                <w:rtl/>
              </w:rPr>
              <w:t>2020</w:t>
            </w:r>
          </w:p>
        </w:tc>
      </w:tr>
      <w:tr w:rsidR="00ED51A3" w:rsidRPr="000D2E4D" w14:paraId="3D999DC2" w14:textId="77777777" w:rsidTr="00F71DD3">
        <w:trPr>
          <w:trHeight w:val="45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E12E9" w14:textId="77777777" w:rsidR="00ED51A3" w:rsidRPr="005127E8" w:rsidRDefault="005C6BC2" w:rsidP="008C6258">
            <w:pPr>
              <w:tabs>
                <w:tab w:val="left" w:pos="9072"/>
              </w:tabs>
              <w:bidi w:val="0"/>
              <w:spacing w:after="0" w:line="240" w:lineRule="auto"/>
              <w:rPr>
                <w:rFonts w:ascii="Arial" w:hAnsi="Arial"/>
                <w:b/>
                <w:sz w:val="18"/>
                <w:szCs w:val="18"/>
              </w:rPr>
            </w:pPr>
            <w:r w:rsidRPr="00ED51A3">
              <w:rPr>
                <w:rFonts w:ascii="Arial" w:hAnsi="Arial"/>
                <w:b/>
                <w:sz w:val="18"/>
                <w:szCs w:val="18"/>
              </w:rPr>
              <w:t>Indicator</w:t>
            </w:r>
            <w:r w:rsidR="00446CF3">
              <w:rPr>
                <w:rFonts w:ascii="Arial" w:hAnsi="Arial"/>
                <w:b/>
                <w:sz w:val="18"/>
                <w:szCs w:val="18"/>
              </w:rPr>
              <w:t xml:space="preserve"> </w:t>
            </w:r>
            <w:r w:rsidR="00ED51A3" w:rsidRPr="005C6BC2">
              <w:rPr>
                <w:rFonts w:ascii="Arial" w:hAnsi="Arial"/>
                <w:b/>
                <w:sz w:val="18"/>
                <w:szCs w:val="18"/>
              </w:rPr>
              <w:t>1.4.1</w:t>
            </w:r>
            <w:r w:rsidR="00ED51A3" w:rsidRPr="00ED51A3">
              <w:rPr>
                <w:rFonts w:ascii="Arial" w:hAnsi="Arial"/>
                <w:color w:val="000000"/>
                <w:sz w:val="18"/>
                <w:szCs w:val="18"/>
              </w:rPr>
              <w:t>Proportion of population living in households with access to basic services</w:t>
            </w:r>
          </w:p>
        </w:tc>
        <w:tc>
          <w:tcPr>
            <w:tcW w:w="2234" w:type="dxa"/>
            <w:tcBorders>
              <w:top w:val="single" w:sz="4" w:space="0" w:color="auto"/>
              <w:left w:val="nil"/>
              <w:bottom w:val="single" w:sz="4" w:space="0" w:color="auto"/>
              <w:right w:val="single" w:sz="4" w:space="0" w:color="auto"/>
            </w:tcBorders>
          </w:tcPr>
          <w:p w14:paraId="72F86077" w14:textId="77777777" w:rsidR="00ED51A3" w:rsidRDefault="005C6BC2" w:rsidP="00F71DD3">
            <w:pPr>
              <w:tabs>
                <w:tab w:val="left" w:pos="9072"/>
              </w:tabs>
              <w:spacing w:after="0" w:line="240" w:lineRule="auto"/>
              <w:ind w:right="57"/>
              <w:jc w:val="center"/>
              <w:rPr>
                <w:rFonts w:ascii="Arial" w:hAnsi="Arial"/>
                <w:color w:val="000000"/>
                <w:sz w:val="18"/>
                <w:szCs w:val="18"/>
                <w:rtl/>
              </w:rPr>
            </w:pPr>
            <w:r>
              <w:rPr>
                <w:rFonts w:ascii="Arial" w:hAnsi="Arial" w:hint="cs"/>
                <w:color w:val="000000"/>
                <w:sz w:val="18"/>
                <w:szCs w:val="18"/>
                <w:rtl/>
              </w:rPr>
              <w:t>2017</w:t>
            </w:r>
          </w:p>
        </w:tc>
      </w:tr>
      <w:tr w:rsidR="00ED51A3" w:rsidRPr="000D2E4D" w14:paraId="3A7CE896" w14:textId="77777777" w:rsidTr="00F71DD3">
        <w:trPr>
          <w:trHeight w:val="45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5DDF0" w14:textId="77777777" w:rsidR="00ED51A3" w:rsidRPr="005127E8" w:rsidRDefault="005C6BC2" w:rsidP="00F71DD3">
            <w:pPr>
              <w:tabs>
                <w:tab w:val="left" w:pos="9072"/>
              </w:tabs>
              <w:bidi w:val="0"/>
              <w:spacing w:after="0" w:line="240" w:lineRule="auto"/>
              <w:rPr>
                <w:rFonts w:ascii="Arial" w:hAnsi="Arial"/>
                <w:b/>
                <w:sz w:val="18"/>
                <w:szCs w:val="18"/>
              </w:rPr>
            </w:pPr>
            <w:r w:rsidRPr="00ED51A3">
              <w:rPr>
                <w:rFonts w:ascii="Arial" w:hAnsi="Arial"/>
                <w:b/>
                <w:sz w:val="18"/>
                <w:szCs w:val="18"/>
              </w:rPr>
              <w:t>Indicator</w:t>
            </w:r>
            <w:r w:rsidR="00446CF3">
              <w:rPr>
                <w:rFonts w:ascii="Arial" w:hAnsi="Arial"/>
                <w:b/>
                <w:sz w:val="18"/>
                <w:szCs w:val="18"/>
              </w:rPr>
              <w:t xml:space="preserve"> </w:t>
            </w:r>
            <w:r w:rsidR="00F71DD3">
              <w:rPr>
                <w:rFonts w:ascii="Arial" w:hAnsi="Arial"/>
                <w:b/>
                <w:sz w:val="18"/>
                <w:szCs w:val="18"/>
              </w:rPr>
              <w:t>1.5.2</w:t>
            </w:r>
            <w:r w:rsidR="00F71DD3" w:rsidRPr="00F71DD3">
              <w:rPr>
                <w:rFonts w:ascii="Arial" w:hAnsi="Arial"/>
                <w:color w:val="000000"/>
                <w:sz w:val="18"/>
                <w:szCs w:val="18"/>
              </w:rPr>
              <w:t>Direct economic loss attributed to disasters in relation to global gross domestic product (GDP)</w:t>
            </w:r>
          </w:p>
        </w:tc>
        <w:tc>
          <w:tcPr>
            <w:tcW w:w="2234" w:type="dxa"/>
            <w:tcBorders>
              <w:top w:val="single" w:sz="4" w:space="0" w:color="auto"/>
              <w:left w:val="nil"/>
              <w:bottom w:val="single" w:sz="4" w:space="0" w:color="auto"/>
              <w:right w:val="single" w:sz="4" w:space="0" w:color="auto"/>
            </w:tcBorders>
          </w:tcPr>
          <w:p w14:paraId="18601E73" w14:textId="77777777" w:rsidR="00ED51A3" w:rsidRDefault="005C6BC2" w:rsidP="00F71DD3">
            <w:pPr>
              <w:tabs>
                <w:tab w:val="left" w:pos="9072"/>
              </w:tabs>
              <w:spacing w:after="0" w:line="240" w:lineRule="auto"/>
              <w:ind w:right="57"/>
              <w:jc w:val="center"/>
              <w:rPr>
                <w:rFonts w:ascii="Arial" w:hAnsi="Arial"/>
                <w:color w:val="000000"/>
                <w:sz w:val="18"/>
                <w:szCs w:val="18"/>
                <w:rtl/>
              </w:rPr>
            </w:pPr>
            <w:r>
              <w:rPr>
                <w:rFonts w:ascii="Arial" w:hAnsi="Arial" w:hint="cs"/>
                <w:color w:val="000000"/>
                <w:sz w:val="18"/>
                <w:szCs w:val="18"/>
                <w:rtl/>
              </w:rPr>
              <w:t>2018</w:t>
            </w:r>
          </w:p>
        </w:tc>
      </w:tr>
    </w:tbl>
    <w:p w14:paraId="64F38EEB" w14:textId="77777777" w:rsidR="00ED51A3" w:rsidRDefault="00ED51A3"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6EBEB1B3"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1.2.1 Proportion of population living below the national poverty line, by sex and age</w:t>
      </w:r>
    </w:p>
    <w:p w14:paraId="24B4022F"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t>An Increase in Poverty Percentages in 2017</w:t>
      </w:r>
    </w:p>
    <w:p w14:paraId="28C49D1E" w14:textId="77777777" w:rsidR="00444566" w:rsidRDefault="007D39B6" w:rsidP="00DA7747">
      <w:pPr>
        <w:autoSpaceDE w:val="0"/>
        <w:autoSpaceDN w:val="0"/>
        <w:bidi w:val="0"/>
        <w:adjustRightInd w:val="0"/>
        <w:spacing w:line="240" w:lineRule="auto"/>
        <w:jc w:val="both"/>
        <w:rPr>
          <w:rFonts w:ascii="Times New Roman" w:hAnsi="Times New Roman" w:cs="Times New Roman"/>
          <w:sz w:val="24"/>
          <w:szCs w:val="24"/>
        </w:rPr>
      </w:pPr>
      <w:r w:rsidRPr="008A4E00">
        <w:rPr>
          <w:rFonts w:ascii="Times New Roman" w:hAnsi="Times New Roman" w:cs="Times New Roman"/>
          <w:sz w:val="24"/>
          <w:szCs w:val="24"/>
        </w:rPr>
        <w:t>The data show</w:t>
      </w:r>
      <w:r w:rsidR="000278A3">
        <w:rPr>
          <w:rFonts w:ascii="Times New Roman" w:hAnsi="Times New Roman" w:cs="Times New Roman"/>
          <w:sz w:val="24"/>
          <w:szCs w:val="24"/>
        </w:rPr>
        <w:t>s</w:t>
      </w:r>
      <w:r w:rsidRPr="008A4E00">
        <w:rPr>
          <w:rFonts w:ascii="Times New Roman" w:hAnsi="Times New Roman" w:cs="Times New Roman"/>
          <w:sz w:val="24"/>
          <w:szCs w:val="24"/>
        </w:rPr>
        <w:t xml:space="preserve"> an increase in poverty percentages in 2017 compared to 2011. The poverty percentage among individuals was 25.8% in 2011 while it increased in 2017 to reach 29.2% of individuals. This increase in poverty percentages </w:t>
      </w:r>
      <w:r w:rsidR="004E44B3">
        <w:rPr>
          <w:rFonts w:ascii="Times New Roman" w:hAnsi="Times New Roman" w:cs="Times New Roman"/>
          <w:sz w:val="24"/>
          <w:szCs w:val="24"/>
        </w:rPr>
        <w:t>is</w:t>
      </w:r>
      <w:r w:rsidRPr="008A4E00">
        <w:rPr>
          <w:rFonts w:ascii="Times New Roman" w:hAnsi="Times New Roman" w:cs="Times New Roman"/>
          <w:sz w:val="24"/>
          <w:szCs w:val="24"/>
        </w:rPr>
        <w:t xml:space="preserve"> mainly </w:t>
      </w:r>
      <w:r w:rsidR="000278A3">
        <w:rPr>
          <w:rFonts w:ascii="Times New Roman" w:hAnsi="Times New Roman" w:cs="Times New Roman"/>
          <w:sz w:val="24"/>
          <w:szCs w:val="24"/>
        </w:rPr>
        <w:t xml:space="preserve">attributed to a </w:t>
      </w:r>
      <w:r w:rsidRPr="008A4E00">
        <w:rPr>
          <w:rFonts w:ascii="Times New Roman" w:hAnsi="Times New Roman" w:cs="Times New Roman"/>
          <w:sz w:val="24"/>
          <w:szCs w:val="24"/>
        </w:rPr>
        <w:t xml:space="preserve">sharp increase in poverty in </w:t>
      </w:r>
      <w:r w:rsidR="000278A3">
        <w:rPr>
          <w:rFonts w:ascii="Times New Roman" w:hAnsi="Times New Roman" w:cs="Times New Roman"/>
          <w:sz w:val="24"/>
          <w:szCs w:val="24"/>
        </w:rPr>
        <w:t xml:space="preserve">the </w:t>
      </w:r>
      <w:r w:rsidRPr="008A4E00">
        <w:rPr>
          <w:rFonts w:ascii="Times New Roman" w:hAnsi="Times New Roman" w:cs="Times New Roman"/>
          <w:sz w:val="24"/>
          <w:szCs w:val="24"/>
        </w:rPr>
        <w:t>Gaza Strip</w:t>
      </w:r>
      <w:r w:rsidR="000278A3">
        <w:rPr>
          <w:rFonts w:ascii="Times New Roman" w:hAnsi="Times New Roman" w:cs="Times New Roman"/>
          <w:sz w:val="24"/>
          <w:szCs w:val="24"/>
        </w:rPr>
        <w:t xml:space="preserve">. Living conditions </w:t>
      </w:r>
      <w:r w:rsidRPr="008A4E00">
        <w:rPr>
          <w:rFonts w:ascii="Times New Roman" w:hAnsi="Times New Roman" w:cs="Times New Roman"/>
          <w:sz w:val="24"/>
          <w:szCs w:val="24"/>
        </w:rPr>
        <w:t xml:space="preserve">in </w:t>
      </w:r>
      <w:r w:rsidR="000278A3">
        <w:rPr>
          <w:rFonts w:ascii="Times New Roman" w:hAnsi="Times New Roman" w:cs="Times New Roman"/>
          <w:sz w:val="24"/>
          <w:szCs w:val="24"/>
        </w:rPr>
        <w:t xml:space="preserve">the </w:t>
      </w:r>
      <w:r w:rsidRPr="008A4E00">
        <w:rPr>
          <w:rFonts w:ascii="Times New Roman" w:hAnsi="Times New Roman" w:cs="Times New Roman"/>
          <w:sz w:val="24"/>
          <w:szCs w:val="24"/>
        </w:rPr>
        <w:t>Gaza Strip worse</w:t>
      </w:r>
      <w:r w:rsidR="000278A3">
        <w:rPr>
          <w:rFonts w:ascii="Times New Roman" w:hAnsi="Times New Roman" w:cs="Times New Roman"/>
          <w:sz w:val="24"/>
          <w:szCs w:val="24"/>
        </w:rPr>
        <w:t>ned</w:t>
      </w:r>
      <w:r w:rsidR="004E44B3">
        <w:rPr>
          <w:rFonts w:ascii="Times New Roman" w:hAnsi="Times New Roman" w:cs="Times New Roman"/>
          <w:sz w:val="24"/>
          <w:szCs w:val="24"/>
        </w:rPr>
        <w:t>from</w:t>
      </w:r>
      <w:r w:rsidRPr="008A4E00">
        <w:rPr>
          <w:rFonts w:ascii="Times New Roman" w:hAnsi="Times New Roman" w:cs="Times New Roman"/>
          <w:sz w:val="24"/>
          <w:szCs w:val="24"/>
        </w:rPr>
        <w:t xml:space="preserve"> 2011.  Poverty among individuals in Gaza Strip </w:t>
      </w:r>
      <w:r w:rsidR="000278A3">
        <w:rPr>
          <w:rFonts w:ascii="Times New Roman" w:hAnsi="Times New Roman" w:cs="Times New Roman"/>
          <w:sz w:val="24"/>
          <w:szCs w:val="24"/>
        </w:rPr>
        <w:t>reached</w:t>
      </w:r>
      <w:r w:rsidRPr="008A4E00">
        <w:rPr>
          <w:rFonts w:ascii="Times New Roman" w:hAnsi="Times New Roman" w:cs="Times New Roman"/>
          <w:sz w:val="24"/>
          <w:szCs w:val="24"/>
        </w:rPr>
        <w:t xml:space="preserve"> 38.8% in 2011 while it jumped to 53.0% in 2017.  In the West Bank, the situation was different, as poverty percentages decreased from 17.8% in 2011 to 13.9% in 2017. </w:t>
      </w:r>
    </w:p>
    <w:p w14:paraId="19CC4BC9" w14:textId="77777777" w:rsidR="006D0C5D" w:rsidRDefault="006D0C5D" w:rsidP="006D0C5D">
      <w:pPr>
        <w:autoSpaceDE w:val="0"/>
        <w:autoSpaceDN w:val="0"/>
        <w:bidi w:val="0"/>
        <w:adjustRightInd w:val="0"/>
        <w:spacing w:line="240" w:lineRule="auto"/>
        <w:jc w:val="both"/>
        <w:rPr>
          <w:rFonts w:ascii="Times New Roman" w:hAnsi="Times New Roman" w:cs="Times New Roman"/>
          <w:sz w:val="24"/>
          <w:szCs w:val="24"/>
        </w:rPr>
      </w:pPr>
    </w:p>
    <w:p w14:paraId="4D842739" w14:textId="77777777" w:rsidR="006D0C5D" w:rsidRDefault="006D0C5D" w:rsidP="006D0C5D">
      <w:pPr>
        <w:autoSpaceDE w:val="0"/>
        <w:autoSpaceDN w:val="0"/>
        <w:bidi w:val="0"/>
        <w:adjustRightInd w:val="0"/>
        <w:spacing w:line="240" w:lineRule="auto"/>
        <w:jc w:val="both"/>
        <w:rPr>
          <w:rFonts w:ascii="Times New Roman" w:hAnsi="Times New Roman" w:cs="Times New Roman"/>
          <w:sz w:val="24"/>
          <w:szCs w:val="24"/>
        </w:rPr>
      </w:pPr>
    </w:p>
    <w:p w14:paraId="61E1A14D" w14:textId="77777777" w:rsidR="006D0C5D" w:rsidRDefault="006D0C5D" w:rsidP="006D0C5D">
      <w:pPr>
        <w:autoSpaceDE w:val="0"/>
        <w:autoSpaceDN w:val="0"/>
        <w:bidi w:val="0"/>
        <w:adjustRightInd w:val="0"/>
        <w:spacing w:line="240" w:lineRule="auto"/>
        <w:jc w:val="both"/>
        <w:rPr>
          <w:rFonts w:ascii="Times New Roman" w:hAnsi="Times New Roman" w:cs="Times New Roman"/>
          <w:sz w:val="24"/>
          <w:szCs w:val="24"/>
        </w:rPr>
      </w:pPr>
    </w:p>
    <w:p w14:paraId="27F600E2" w14:textId="77777777" w:rsidR="006D0C5D" w:rsidRDefault="006D0C5D" w:rsidP="006D0C5D">
      <w:pPr>
        <w:autoSpaceDE w:val="0"/>
        <w:autoSpaceDN w:val="0"/>
        <w:bidi w:val="0"/>
        <w:adjustRightInd w:val="0"/>
        <w:spacing w:line="240" w:lineRule="auto"/>
        <w:jc w:val="both"/>
        <w:rPr>
          <w:rFonts w:ascii="Times New Roman" w:hAnsi="Times New Roman" w:cs="Times New Roman"/>
          <w:sz w:val="24"/>
          <w:szCs w:val="24"/>
        </w:rPr>
      </w:pPr>
    </w:p>
    <w:p w14:paraId="238CA5E3" w14:textId="77777777" w:rsidR="003A32B8" w:rsidRDefault="003A32B8" w:rsidP="003A32B8">
      <w:pPr>
        <w:bidi w:val="0"/>
        <w:spacing w:after="0" w:line="240" w:lineRule="auto"/>
        <w:ind w:left="70"/>
        <w:jc w:val="center"/>
        <w:rPr>
          <w:rFonts w:ascii="Arial" w:hAnsi="Arial"/>
          <w:b/>
          <w:bCs/>
        </w:rPr>
      </w:pPr>
    </w:p>
    <w:p w14:paraId="65C4A963" w14:textId="77777777" w:rsidR="007D39B6" w:rsidRPr="008A4E00" w:rsidRDefault="007D39B6" w:rsidP="000808F1">
      <w:pPr>
        <w:bidi w:val="0"/>
        <w:spacing w:after="0" w:line="240" w:lineRule="auto"/>
        <w:ind w:left="70"/>
        <w:jc w:val="center"/>
        <w:rPr>
          <w:rFonts w:ascii="Arial" w:hAnsi="Arial"/>
          <w:b/>
          <w:bCs/>
        </w:rPr>
      </w:pPr>
      <w:r w:rsidRPr="008A4E00">
        <w:rPr>
          <w:rFonts w:ascii="Arial" w:hAnsi="Arial"/>
          <w:b/>
          <w:bCs/>
        </w:rPr>
        <w:lastRenderedPageBreak/>
        <w:t xml:space="preserve">Poverty Percentages </w:t>
      </w:r>
      <w:r w:rsidR="000278A3">
        <w:rPr>
          <w:rFonts w:ascii="Arial" w:hAnsi="Arial"/>
          <w:b/>
          <w:bCs/>
        </w:rPr>
        <w:t>A</w:t>
      </w:r>
      <w:r w:rsidR="00611C35" w:rsidRPr="008A4E00">
        <w:rPr>
          <w:rFonts w:ascii="Arial" w:hAnsi="Arial"/>
          <w:b/>
          <w:bCs/>
        </w:rPr>
        <w:t>mong</w:t>
      </w:r>
      <w:r w:rsidRPr="008A4E00">
        <w:rPr>
          <w:rFonts w:ascii="Arial" w:hAnsi="Arial"/>
          <w:b/>
          <w:bCs/>
        </w:rPr>
        <w:t xml:space="preserve"> Individuals According to Monthly Consumption Patterns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446C9A71" w14:textId="77777777" w:rsidTr="00F13199">
        <w:tc>
          <w:tcPr>
            <w:tcW w:w="9286" w:type="dxa"/>
            <w:shd w:val="clear" w:color="auto" w:fill="auto"/>
            <w:vAlign w:val="center"/>
          </w:tcPr>
          <w:p w14:paraId="44A33672" w14:textId="77777777" w:rsidR="007D39B6" w:rsidRPr="008A4E00" w:rsidRDefault="007D39B6" w:rsidP="00F13199">
            <w:pPr>
              <w:tabs>
                <w:tab w:val="left" w:pos="9072"/>
              </w:tabs>
              <w:bidi w:val="0"/>
              <w:spacing w:after="0" w:line="240" w:lineRule="auto"/>
              <w:jc w:val="center"/>
              <w:rPr>
                <w:rFonts w:ascii="Arial" w:hAnsi="Arial"/>
                <w:b/>
                <w:bCs/>
                <w:sz w:val="18"/>
                <w:szCs w:val="18"/>
              </w:rPr>
            </w:pPr>
            <w:r w:rsidRPr="008A4E00">
              <w:rPr>
                <w:rFonts w:ascii="Arial" w:hAnsi="Arial"/>
                <w:b/>
                <w:bCs/>
                <w:noProof/>
                <w:sz w:val="18"/>
                <w:szCs w:val="18"/>
              </w:rPr>
              <w:drawing>
                <wp:inline distT="0" distB="0" distL="0" distR="0" wp14:anchorId="73FA8D4C" wp14:editId="6E0BA3B4">
                  <wp:extent cx="5349765" cy="1881352"/>
                  <wp:effectExtent l="0" t="0" r="3810" b="5080"/>
                  <wp:docPr id="105" name="Chart 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156DB187" w14:textId="77777777" w:rsidR="007D39B6" w:rsidRPr="008A4E00" w:rsidRDefault="007D39B6" w:rsidP="00111EFC">
      <w:pPr>
        <w:bidi w:val="0"/>
        <w:spacing w:after="0" w:line="240" w:lineRule="auto"/>
        <w:ind w:left="720" w:right="139" w:hanging="720"/>
        <w:jc w:val="both"/>
        <w:rPr>
          <w:rFonts w:ascii="Arial" w:hAnsi="Arial"/>
          <w:sz w:val="18"/>
          <w:szCs w:val="18"/>
        </w:rPr>
      </w:pPr>
      <w:r w:rsidRPr="008A4E00">
        <w:rPr>
          <w:rFonts w:ascii="Arial" w:hAnsi="Arial"/>
          <w:b/>
          <w:bCs/>
          <w:sz w:val="18"/>
          <w:szCs w:val="18"/>
        </w:rPr>
        <w:t xml:space="preserve">Source: Palestinian Central Bureau of Statistics, </w:t>
      </w:r>
      <w:r w:rsidRPr="008A4E00">
        <w:rPr>
          <w:rFonts w:ascii="Arial" w:hAnsi="Arial"/>
          <w:sz w:val="18"/>
          <w:szCs w:val="18"/>
        </w:rPr>
        <w:t xml:space="preserve">Main Findings of Living Standards in Palestine (Expenditure, Consumption and Poverty), 2009-2011, 2017.  Ramallah – Palestine.  </w:t>
      </w:r>
    </w:p>
    <w:p w14:paraId="2C403EAB" w14:textId="77777777" w:rsidR="00877949" w:rsidRDefault="00877949" w:rsidP="008C6258">
      <w:pPr>
        <w:autoSpaceDE w:val="0"/>
        <w:autoSpaceDN w:val="0"/>
        <w:bidi w:val="0"/>
        <w:adjustRightInd w:val="0"/>
        <w:spacing w:after="0" w:line="240" w:lineRule="auto"/>
        <w:jc w:val="both"/>
        <w:rPr>
          <w:rFonts w:ascii="Times New Roman" w:hAnsi="Times New Roman" w:cs="Times New Roman"/>
          <w:b/>
          <w:bCs/>
          <w:sz w:val="24"/>
          <w:szCs w:val="24"/>
        </w:rPr>
      </w:pPr>
    </w:p>
    <w:p w14:paraId="37B0E98F" w14:textId="77777777" w:rsidR="007D39B6" w:rsidRPr="008A4E00" w:rsidRDefault="007D39B6" w:rsidP="00877949">
      <w:pPr>
        <w:autoSpaceDE w:val="0"/>
        <w:autoSpaceDN w:val="0"/>
        <w:bidi w:val="0"/>
        <w:adjustRightInd w:val="0"/>
        <w:spacing w:after="0"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t>Poverty by Sex</w:t>
      </w:r>
    </w:p>
    <w:p w14:paraId="18FCD8B6"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Poverty among females was higher than males</w:t>
      </w:r>
      <w:r w:rsidR="0072194B">
        <w:rPr>
          <w:rFonts w:ascii="Times New Roman" w:hAnsi="Times New Roman" w:cs="Times New Roman"/>
          <w:sz w:val="24"/>
          <w:szCs w:val="24"/>
        </w:rPr>
        <w:t>. P</w:t>
      </w:r>
      <w:r w:rsidRPr="008A4E00">
        <w:rPr>
          <w:rFonts w:ascii="Times New Roman" w:hAnsi="Times New Roman" w:cs="Times New Roman"/>
          <w:sz w:val="24"/>
          <w:szCs w:val="24"/>
        </w:rPr>
        <w:t>overty percentage</w:t>
      </w:r>
      <w:r w:rsidR="0072194B">
        <w:rPr>
          <w:rFonts w:ascii="Times New Roman" w:hAnsi="Times New Roman" w:cs="Times New Roman"/>
          <w:sz w:val="24"/>
          <w:szCs w:val="24"/>
        </w:rPr>
        <w:t>s</w:t>
      </w:r>
      <w:r w:rsidRPr="008A4E00">
        <w:rPr>
          <w:rFonts w:ascii="Times New Roman" w:hAnsi="Times New Roman" w:cs="Times New Roman"/>
          <w:sz w:val="24"/>
          <w:szCs w:val="24"/>
        </w:rPr>
        <w:t xml:space="preserve"> among males </w:t>
      </w:r>
      <w:r w:rsidR="0072194B">
        <w:rPr>
          <w:rFonts w:ascii="Times New Roman" w:hAnsi="Times New Roman" w:cs="Times New Roman"/>
          <w:sz w:val="24"/>
          <w:szCs w:val="24"/>
        </w:rPr>
        <w:t>reached</w:t>
      </w:r>
      <w:r w:rsidRPr="008A4E00">
        <w:rPr>
          <w:rFonts w:ascii="Times New Roman" w:hAnsi="Times New Roman" w:cs="Times New Roman"/>
          <w:sz w:val="24"/>
          <w:szCs w:val="24"/>
        </w:rPr>
        <w:t xml:space="preserve"> around 29% </w:t>
      </w:r>
      <w:r w:rsidR="0072194B">
        <w:rPr>
          <w:rFonts w:ascii="Times New Roman" w:hAnsi="Times New Roman" w:cs="Times New Roman"/>
          <w:sz w:val="24"/>
          <w:szCs w:val="24"/>
        </w:rPr>
        <w:t xml:space="preserve">while </w:t>
      </w:r>
      <w:r w:rsidRPr="008A4E00">
        <w:rPr>
          <w:rFonts w:ascii="Times New Roman" w:hAnsi="Times New Roman" w:cs="Times New Roman"/>
          <w:sz w:val="24"/>
          <w:szCs w:val="24"/>
        </w:rPr>
        <w:t xml:space="preserve">it </w:t>
      </w:r>
      <w:r w:rsidR="0072194B">
        <w:rPr>
          <w:rFonts w:ascii="Times New Roman" w:hAnsi="Times New Roman" w:cs="Times New Roman"/>
          <w:sz w:val="24"/>
          <w:szCs w:val="24"/>
        </w:rPr>
        <w:t>reached</w:t>
      </w:r>
      <w:r w:rsidRPr="008A4E00">
        <w:rPr>
          <w:rFonts w:ascii="Times New Roman" w:hAnsi="Times New Roman" w:cs="Times New Roman"/>
          <w:sz w:val="24"/>
          <w:szCs w:val="24"/>
        </w:rPr>
        <w:t xml:space="preserve"> 30% among females in Palestine in 2017.</w:t>
      </w:r>
    </w:p>
    <w:p w14:paraId="371275B7" w14:textId="77777777" w:rsidR="007D39B6" w:rsidRPr="008A4E00" w:rsidRDefault="007D39B6" w:rsidP="008C6258">
      <w:pPr>
        <w:bidi w:val="0"/>
        <w:spacing w:after="0" w:line="240" w:lineRule="auto"/>
        <w:ind w:left="70"/>
        <w:jc w:val="center"/>
        <w:rPr>
          <w:rFonts w:ascii="Times New Roman" w:hAnsi="Times New Roman" w:cs="Times New Roman"/>
          <w:b/>
          <w:bCs/>
          <w:sz w:val="16"/>
          <w:szCs w:val="16"/>
        </w:rPr>
      </w:pPr>
    </w:p>
    <w:p w14:paraId="5A3ABEC7" w14:textId="77777777" w:rsidR="007D39B6" w:rsidRPr="008A4E00" w:rsidRDefault="007D39B6" w:rsidP="008C6258">
      <w:pPr>
        <w:bidi w:val="0"/>
        <w:spacing w:after="0" w:line="240" w:lineRule="auto"/>
        <w:ind w:left="70"/>
        <w:jc w:val="center"/>
        <w:rPr>
          <w:rFonts w:ascii="Arial" w:hAnsi="Arial"/>
          <w:b/>
          <w:bCs/>
        </w:rPr>
      </w:pPr>
      <w:r w:rsidRPr="008A4E00">
        <w:rPr>
          <w:rFonts w:ascii="Arial" w:hAnsi="Arial"/>
          <w:b/>
          <w:bCs/>
        </w:rPr>
        <w:t>Poverty Percentages Among Individuals According to Monthly Consumption Patterns by Sexfor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47F56EB9" w14:textId="77777777" w:rsidTr="00805FA8">
        <w:trPr>
          <w:trHeight w:val="3519"/>
        </w:trPr>
        <w:tc>
          <w:tcPr>
            <w:tcW w:w="9286" w:type="dxa"/>
            <w:shd w:val="clear" w:color="auto" w:fill="auto"/>
            <w:vAlign w:val="center"/>
          </w:tcPr>
          <w:p w14:paraId="1AB5B535" w14:textId="77777777" w:rsidR="007D39B6" w:rsidRPr="008A4E00" w:rsidRDefault="007D39B6" w:rsidP="00805FA8">
            <w:pPr>
              <w:tabs>
                <w:tab w:val="left" w:pos="9072"/>
              </w:tabs>
              <w:bidi w:val="0"/>
              <w:spacing w:after="0" w:line="240" w:lineRule="auto"/>
              <w:jc w:val="center"/>
              <w:rPr>
                <w:rFonts w:ascii="Arial" w:hAnsi="Arial"/>
                <w:b/>
                <w:bCs/>
                <w:lang w:val="it-IT"/>
              </w:rPr>
            </w:pPr>
            <w:r w:rsidRPr="008A4E00">
              <w:rPr>
                <w:rFonts w:ascii="Arial" w:hAnsi="Arial"/>
                <w:b/>
                <w:bCs/>
                <w:noProof/>
                <w:sz w:val="18"/>
                <w:szCs w:val="18"/>
              </w:rPr>
              <w:drawing>
                <wp:inline distT="0" distB="0" distL="0" distR="0" wp14:anchorId="4F941D69" wp14:editId="00392A14">
                  <wp:extent cx="5707380" cy="2152650"/>
                  <wp:effectExtent l="0" t="0" r="7620" b="0"/>
                  <wp:docPr id="106"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2DA57916" w14:textId="77777777" w:rsidR="007D39B6" w:rsidRPr="00111EFC" w:rsidRDefault="007D39B6" w:rsidP="00111EFC">
      <w:pPr>
        <w:bidi w:val="0"/>
        <w:spacing w:after="0" w:line="240" w:lineRule="auto"/>
        <w:ind w:left="720" w:right="139" w:hanging="720"/>
        <w:jc w:val="both"/>
        <w:rPr>
          <w:rFonts w:ascii="Arial" w:hAnsi="Arial"/>
          <w:sz w:val="18"/>
          <w:szCs w:val="18"/>
        </w:rPr>
      </w:pPr>
      <w:r w:rsidRPr="008A4E00">
        <w:rPr>
          <w:rFonts w:ascii="Arial" w:hAnsi="Arial"/>
          <w:b/>
          <w:bCs/>
          <w:sz w:val="18"/>
          <w:szCs w:val="18"/>
        </w:rPr>
        <w:t xml:space="preserve">Source: Palestinian Central Bureau of </w:t>
      </w:r>
      <w:r w:rsidR="0045367C" w:rsidRPr="008A4E00">
        <w:rPr>
          <w:rFonts w:ascii="Arial" w:hAnsi="Arial"/>
          <w:b/>
          <w:bCs/>
          <w:sz w:val="18"/>
          <w:szCs w:val="18"/>
        </w:rPr>
        <w:t>Statistics</w:t>
      </w:r>
      <w:r w:rsidR="00120C51">
        <w:rPr>
          <w:rFonts w:ascii="Arial" w:hAnsi="Arial"/>
          <w:b/>
          <w:bCs/>
          <w:sz w:val="18"/>
          <w:szCs w:val="18"/>
        </w:rPr>
        <w:t>.</w:t>
      </w:r>
      <w:r w:rsidRPr="00111EFC">
        <w:rPr>
          <w:rFonts w:ascii="Arial" w:hAnsi="Arial"/>
          <w:sz w:val="18"/>
          <w:szCs w:val="18"/>
        </w:rPr>
        <w:t>Expenditure and Consumption Survey</w:t>
      </w:r>
      <w:r w:rsidR="00120C51" w:rsidRPr="00111EFC">
        <w:rPr>
          <w:rFonts w:ascii="Arial" w:hAnsi="Arial"/>
          <w:sz w:val="18"/>
          <w:szCs w:val="18"/>
        </w:rPr>
        <w:t>Database</w:t>
      </w:r>
      <w:r w:rsidRPr="00111EFC">
        <w:rPr>
          <w:rFonts w:ascii="Arial" w:hAnsi="Arial"/>
          <w:sz w:val="18"/>
          <w:szCs w:val="18"/>
        </w:rPr>
        <w:t xml:space="preserve">, 2009-2011, 2017. Ramallah– Palestine.  </w:t>
      </w:r>
    </w:p>
    <w:p w14:paraId="40231E94" w14:textId="77777777" w:rsidR="006D0C5D" w:rsidRPr="008A4E00" w:rsidRDefault="006D0C5D" w:rsidP="006D0C5D">
      <w:pPr>
        <w:autoSpaceDE w:val="0"/>
        <w:autoSpaceDN w:val="0"/>
        <w:bidi w:val="0"/>
        <w:adjustRightInd w:val="0"/>
        <w:spacing w:after="0" w:line="240" w:lineRule="auto"/>
        <w:jc w:val="both"/>
        <w:rPr>
          <w:rFonts w:ascii="Times New Roman" w:hAnsi="Times New Roman" w:cs="Times New Roman"/>
          <w:sz w:val="24"/>
          <w:szCs w:val="24"/>
          <w:rtl/>
        </w:rPr>
      </w:pPr>
    </w:p>
    <w:p w14:paraId="1E58E896"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t xml:space="preserve">Poverty by </w:t>
      </w:r>
      <w:r w:rsidR="00B70344">
        <w:rPr>
          <w:rFonts w:ascii="Times New Roman" w:hAnsi="Times New Roman" w:cs="Times New Roman"/>
          <w:b/>
          <w:bCs/>
          <w:sz w:val="24"/>
          <w:szCs w:val="24"/>
        </w:rPr>
        <w:t>a</w:t>
      </w:r>
      <w:r w:rsidRPr="008A4E00">
        <w:rPr>
          <w:rFonts w:ascii="Times New Roman" w:hAnsi="Times New Roman" w:cs="Times New Roman"/>
          <w:b/>
          <w:bCs/>
          <w:sz w:val="24"/>
          <w:szCs w:val="24"/>
        </w:rPr>
        <w:t xml:space="preserve">ge </w:t>
      </w:r>
      <w:r w:rsidR="00B70344">
        <w:rPr>
          <w:rFonts w:ascii="Times New Roman" w:hAnsi="Times New Roman" w:cs="Times New Roman"/>
          <w:b/>
          <w:bCs/>
          <w:sz w:val="24"/>
          <w:szCs w:val="24"/>
        </w:rPr>
        <w:t>g</w:t>
      </w:r>
      <w:r w:rsidRPr="008A4E00">
        <w:rPr>
          <w:rFonts w:ascii="Times New Roman" w:hAnsi="Times New Roman" w:cs="Times New Roman"/>
          <w:b/>
          <w:bCs/>
          <w:sz w:val="24"/>
          <w:szCs w:val="24"/>
        </w:rPr>
        <w:t>roups:</w:t>
      </w:r>
    </w:p>
    <w:p w14:paraId="53DF8DA5" w14:textId="77777777" w:rsidR="007D39B6"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The unit </w:t>
      </w:r>
      <w:r w:rsidR="0072194B">
        <w:rPr>
          <w:rFonts w:ascii="Times New Roman" w:hAnsi="Times New Roman" w:cs="Times New Roman"/>
          <w:sz w:val="24"/>
          <w:szCs w:val="24"/>
        </w:rPr>
        <w:t xml:space="preserve">used </w:t>
      </w:r>
      <w:r w:rsidRPr="008A4E00">
        <w:rPr>
          <w:rFonts w:ascii="Times New Roman" w:hAnsi="Times New Roman" w:cs="Times New Roman"/>
          <w:sz w:val="24"/>
          <w:szCs w:val="24"/>
        </w:rPr>
        <w:t xml:space="preserve">to analyze poverty is </w:t>
      </w:r>
      <w:r w:rsidR="0072194B">
        <w:rPr>
          <w:rFonts w:ascii="Times New Roman" w:hAnsi="Times New Roman" w:cs="Times New Roman"/>
          <w:sz w:val="24"/>
          <w:szCs w:val="24"/>
        </w:rPr>
        <w:t xml:space="preserve">the </w:t>
      </w:r>
      <w:r w:rsidRPr="008A4E00">
        <w:rPr>
          <w:rFonts w:ascii="Times New Roman" w:hAnsi="Times New Roman" w:cs="Times New Roman"/>
          <w:sz w:val="24"/>
          <w:szCs w:val="24"/>
        </w:rPr>
        <w:t xml:space="preserve">household </w:t>
      </w:r>
      <w:r w:rsidR="0072194B">
        <w:rPr>
          <w:rFonts w:ascii="Times New Roman" w:hAnsi="Times New Roman" w:cs="Times New Roman"/>
          <w:sz w:val="24"/>
          <w:szCs w:val="24"/>
        </w:rPr>
        <w:t xml:space="preserve">followed by </w:t>
      </w:r>
      <w:r w:rsidRPr="008A4E00">
        <w:rPr>
          <w:rFonts w:ascii="Times New Roman" w:hAnsi="Times New Roman" w:cs="Times New Roman"/>
          <w:sz w:val="24"/>
          <w:szCs w:val="24"/>
        </w:rPr>
        <w:t>extract</w:t>
      </w:r>
      <w:r w:rsidR="0072194B">
        <w:rPr>
          <w:rFonts w:ascii="Times New Roman" w:hAnsi="Times New Roman" w:cs="Times New Roman"/>
          <w:sz w:val="24"/>
          <w:szCs w:val="24"/>
        </w:rPr>
        <w:t>ing</w:t>
      </w:r>
      <w:r w:rsidRPr="008A4E00">
        <w:rPr>
          <w:rFonts w:ascii="Times New Roman" w:hAnsi="Times New Roman" w:cs="Times New Roman"/>
          <w:sz w:val="24"/>
          <w:szCs w:val="24"/>
        </w:rPr>
        <w:t xml:space="preserve"> the </w:t>
      </w:r>
      <w:r w:rsidR="0072194B">
        <w:rPr>
          <w:rFonts w:ascii="Times New Roman" w:hAnsi="Times New Roman" w:cs="Times New Roman"/>
          <w:sz w:val="24"/>
          <w:szCs w:val="24"/>
        </w:rPr>
        <w:t xml:space="preserve">poverty </w:t>
      </w:r>
      <w:r w:rsidRPr="008A4E00">
        <w:rPr>
          <w:rFonts w:ascii="Times New Roman" w:hAnsi="Times New Roman" w:cs="Times New Roman"/>
          <w:sz w:val="24"/>
          <w:szCs w:val="24"/>
        </w:rPr>
        <w:t xml:space="preserve">percentage among individuals, which indicates that the individuals in poor household will be poor </w:t>
      </w:r>
      <w:r w:rsidR="0072194B">
        <w:rPr>
          <w:rFonts w:ascii="Times New Roman" w:hAnsi="Times New Roman" w:cs="Times New Roman"/>
          <w:sz w:val="24"/>
          <w:szCs w:val="24"/>
        </w:rPr>
        <w:t xml:space="preserve">regardless of their </w:t>
      </w:r>
      <w:r w:rsidRPr="008A4E00">
        <w:rPr>
          <w:rFonts w:ascii="Times New Roman" w:hAnsi="Times New Roman" w:cs="Times New Roman"/>
          <w:sz w:val="24"/>
          <w:szCs w:val="24"/>
        </w:rPr>
        <w:t xml:space="preserve">age. </w:t>
      </w:r>
    </w:p>
    <w:p w14:paraId="4249D3E6" w14:textId="77777777" w:rsidR="00500C94" w:rsidRPr="008A4E00" w:rsidRDefault="00500C94" w:rsidP="008C6258">
      <w:pPr>
        <w:tabs>
          <w:tab w:val="left" w:pos="9072"/>
        </w:tabs>
        <w:bidi w:val="0"/>
        <w:spacing w:after="0" w:line="240" w:lineRule="auto"/>
        <w:jc w:val="both"/>
        <w:rPr>
          <w:rFonts w:ascii="Times New Roman" w:hAnsi="Times New Roman" w:cs="Times New Roman"/>
          <w:sz w:val="16"/>
          <w:szCs w:val="16"/>
        </w:rPr>
      </w:pPr>
    </w:p>
    <w:p w14:paraId="2552FA0B" w14:textId="77777777" w:rsidR="000808F1" w:rsidRDefault="000808F1" w:rsidP="008C6258">
      <w:pPr>
        <w:bidi w:val="0"/>
        <w:spacing w:after="0" w:line="240" w:lineRule="auto"/>
        <w:ind w:left="70"/>
        <w:jc w:val="center"/>
        <w:rPr>
          <w:rFonts w:ascii="Arial" w:hAnsi="Arial"/>
          <w:b/>
          <w:bCs/>
        </w:rPr>
      </w:pPr>
    </w:p>
    <w:p w14:paraId="7B4F4984" w14:textId="77777777" w:rsidR="003A32B8" w:rsidRDefault="003A32B8" w:rsidP="003A32B8">
      <w:pPr>
        <w:bidi w:val="0"/>
        <w:spacing w:after="0" w:line="240" w:lineRule="auto"/>
        <w:ind w:left="70"/>
        <w:jc w:val="center"/>
        <w:rPr>
          <w:rFonts w:ascii="Arial" w:hAnsi="Arial"/>
          <w:b/>
          <w:bCs/>
        </w:rPr>
      </w:pPr>
    </w:p>
    <w:p w14:paraId="2BC43EC5" w14:textId="77777777" w:rsidR="003A32B8" w:rsidRDefault="003A32B8" w:rsidP="003A32B8">
      <w:pPr>
        <w:bidi w:val="0"/>
        <w:spacing w:after="0" w:line="240" w:lineRule="auto"/>
        <w:ind w:left="70"/>
        <w:jc w:val="center"/>
        <w:rPr>
          <w:rFonts w:ascii="Arial" w:hAnsi="Arial"/>
          <w:b/>
          <w:bCs/>
        </w:rPr>
      </w:pPr>
    </w:p>
    <w:p w14:paraId="22A8E21C" w14:textId="77777777" w:rsidR="003A32B8" w:rsidRDefault="003A32B8" w:rsidP="003A32B8">
      <w:pPr>
        <w:bidi w:val="0"/>
        <w:spacing w:after="0" w:line="240" w:lineRule="auto"/>
        <w:ind w:left="70"/>
        <w:jc w:val="center"/>
        <w:rPr>
          <w:rFonts w:ascii="Arial" w:hAnsi="Arial"/>
          <w:b/>
          <w:bCs/>
        </w:rPr>
      </w:pPr>
    </w:p>
    <w:p w14:paraId="43F71E25" w14:textId="77777777" w:rsidR="003A32B8" w:rsidRDefault="003A32B8" w:rsidP="003A32B8">
      <w:pPr>
        <w:bidi w:val="0"/>
        <w:spacing w:after="0" w:line="240" w:lineRule="auto"/>
        <w:ind w:left="70"/>
        <w:jc w:val="center"/>
        <w:rPr>
          <w:rFonts w:ascii="Arial" w:hAnsi="Arial"/>
          <w:b/>
          <w:bCs/>
        </w:rPr>
      </w:pPr>
    </w:p>
    <w:p w14:paraId="7A4C4056" w14:textId="77777777" w:rsidR="003A32B8" w:rsidRDefault="003A32B8" w:rsidP="003A32B8">
      <w:pPr>
        <w:bidi w:val="0"/>
        <w:spacing w:after="0" w:line="240" w:lineRule="auto"/>
        <w:ind w:left="70"/>
        <w:jc w:val="center"/>
        <w:rPr>
          <w:rFonts w:ascii="Arial" w:hAnsi="Arial"/>
          <w:b/>
          <w:bCs/>
        </w:rPr>
      </w:pPr>
    </w:p>
    <w:p w14:paraId="5A4D2DB5" w14:textId="77777777" w:rsidR="003A32B8" w:rsidRDefault="003A32B8" w:rsidP="003A32B8">
      <w:pPr>
        <w:bidi w:val="0"/>
        <w:spacing w:after="0" w:line="240" w:lineRule="auto"/>
        <w:ind w:left="70"/>
        <w:jc w:val="center"/>
        <w:rPr>
          <w:rFonts w:ascii="Arial" w:hAnsi="Arial"/>
          <w:b/>
          <w:bCs/>
        </w:rPr>
      </w:pPr>
    </w:p>
    <w:p w14:paraId="5DDF6C5E" w14:textId="77777777" w:rsidR="003A32B8" w:rsidRDefault="003A32B8" w:rsidP="003A32B8">
      <w:pPr>
        <w:bidi w:val="0"/>
        <w:spacing w:after="0" w:line="240" w:lineRule="auto"/>
        <w:ind w:left="70"/>
        <w:jc w:val="center"/>
        <w:rPr>
          <w:rFonts w:ascii="Arial" w:hAnsi="Arial"/>
          <w:b/>
          <w:bCs/>
        </w:rPr>
      </w:pPr>
    </w:p>
    <w:p w14:paraId="5F4D3667" w14:textId="77777777" w:rsidR="003A32B8" w:rsidRDefault="003A32B8" w:rsidP="003A32B8">
      <w:pPr>
        <w:bidi w:val="0"/>
        <w:spacing w:after="0" w:line="240" w:lineRule="auto"/>
        <w:ind w:left="70"/>
        <w:jc w:val="center"/>
        <w:rPr>
          <w:rFonts w:ascii="Arial" w:hAnsi="Arial"/>
          <w:b/>
          <w:bCs/>
        </w:rPr>
      </w:pPr>
    </w:p>
    <w:p w14:paraId="302CE89B" w14:textId="77777777" w:rsidR="007D39B6" w:rsidRPr="008A4E00" w:rsidRDefault="007D39B6" w:rsidP="000808F1">
      <w:pPr>
        <w:bidi w:val="0"/>
        <w:spacing w:after="0" w:line="240" w:lineRule="auto"/>
        <w:ind w:left="70"/>
        <w:jc w:val="center"/>
        <w:rPr>
          <w:rFonts w:ascii="Arial" w:hAnsi="Arial"/>
          <w:b/>
          <w:bCs/>
        </w:rPr>
      </w:pPr>
      <w:r w:rsidRPr="008A4E00">
        <w:rPr>
          <w:rFonts w:ascii="Arial" w:hAnsi="Arial"/>
          <w:b/>
          <w:bCs/>
        </w:rPr>
        <w:lastRenderedPageBreak/>
        <w:t>Poverty Percentages Among Individuals According to Monthly Consumption Patterns by Agefor Selected Years (%)</w:t>
      </w: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1"/>
      </w:tblGrid>
      <w:tr w:rsidR="007D39B6" w:rsidRPr="008A4E00" w14:paraId="65034BB9" w14:textId="77777777" w:rsidTr="00805FA8">
        <w:trPr>
          <w:trHeight w:val="3359"/>
        </w:trPr>
        <w:tc>
          <w:tcPr>
            <w:tcW w:w="9241" w:type="dxa"/>
            <w:shd w:val="clear" w:color="auto" w:fill="auto"/>
            <w:vAlign w:val="center"/>
          </w:tcPr>
          <w:p w14:paraId="45E45E52" w14:textId="77777777" w:rsidR="007D39B6" w:rsidRPr="008A4E00" w:rsidRDefault="007D39B6" w:rsidP="00805FA8">
            <w:pPr>
              <w:tabs>
                <w:tab w:val="left" w:pos="9072"/>
              </w:tabs>
              <w:bidi w:val="0"/>
              <w:spacing w:after="0" w:line="240" w:lineRule="auto"/>
              <w:jc w:val="center"/>
              <w:rPr>
                <w:rFonts w:ascii="Arial" w:hAnsi="Arial"/>
                <w:b/>
                <w:bCs/>
                <w:sz w:val="18"/>
                <w:szCs w:val="18"/>
                <w:rtl/>
              </w:rPr>
            </w:pPr>
            <w:r w:rsidRPr="008A4E00">
              <w:rPr>
                <w:rFonts w:ascii="Arial" w:hAnsi="Arial"/>
                <w:b/>
                <w:bCs/>
                <w:noProof/>
                <w:sz w:val="18"/>
                <w:szCs w:val="18"/>
              </w:rPr>
              <w:drawing>
                <wp:inline distT="0" distB="0" distL="0" distR="0" wp14:anchorId="2C0FE814" wp14:editId="7947248D">
                  <wp:extent cx="5591175" cy="2066925"/>
                  <wp:effectExtent l="0" t="0" r="0" b="0"/>
                  <wp:docPr id="107"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4A7CF38A" w14:textId="77777777" w:rsidR="007D39B6" w:rsidRPr="00111EFC" w:rsidRDefault="007D39B6" w:rsidP="00111EFC">
      <w:pPr>
        <w:bidi w:val="0"/>
        <w:spacing w:after="0" w:line="240" w:lineRule="auto"/>
        <w:ind w:left="720" w:right="139" w:hanging="720"/>
        <w:jc w:val="both"/>
        <w:rPr>
          <w:rFonts w:ascii="Arial" w:hAnsi="Arial"/>
          <w:sz w:val="18"/>
          <w:szCs w:val="18"/>
        </w:rPr>
      </w:pPr>
      <w:r w:rsidRPr="008A4E00">
        <w:rPr>
          <w:rFonts w:ascii="Arial" w:hAnsi="Arial"/>
          <w:b/>
          <w:bCs/>
          <w:sz w:val="18"/>
          <w:szCs w:val="18"/>
        </w:rPr>
        <w:t>Source: Palestinian Central Bureau of Statistics</w:t>
      </w:r>
      <w:r w:rsidR="00120C51">
        <w:rPr>
          <w:rFonts w:ascii="Arial" w:hAnsi="Arial"/>
          <w:b/>
          <w:bCs/>
          <w:sz w:val="18"/>
          <w:szCs w:val="18"/>
        </w:rPr>
        <w:t>.</w:t>
      </w:r>
      <w:r w:rsidRPr="00111EFC">
        <w:rPr>
          <w:rFonts w:ascii="Arial" w:hAnsi="Arial"/>
          <w:sz w:val="18"/>
          <w:szCs w:val="18"/>
        </w:rPr>
        <w:t>Expenditure and Consumption Survey</w:t>
      </w:r>
      <w:r w:rsidR="00120C51" w:rsidRPr="00111EFC">
        <w:rPr>
          <w:rFonts w:ascii="Arial" w:hAnsi="Arial"/>
          <w:sz w:val="18"/>
          <w:szCs w:val="18"/>
        </w:rPr>
        <w:t>Database</w:t>
      </w:r>
      <w:r w:rsidRPr="00111EFC">
        <w:rPr>
          <w:rFonts w:ascii="Arial" w:hAnsi="Arial"/>
          <w:sz w:val="18"/>
          <w:szCs w:val="18"/>
        </w:rPr>
        <w:t>, 2009-2011</w:t>
      </w:r>
      <w:r w:rsidR="001522C0" w:rsidRPr="00111EFC">
        <w:rPr>
          <w:rFonts w:ascii="Arial" w:hAnsi="Arial"/>
          <w:sz w:val="18"/>
          <w:szCs w:val="18"/>
        </w:rPr>
        <w:t>, 2017</w:t>
      </w:r>
      <w:r w:rsidRPr="00111EFC">
        <w:rPr>
          <w:rFonts w:ascii="Arial" w:hAnsi="Arial"/>
          <w:sz w:val="18"/>
          <w:szCs w:val="18"/>
        </w:rPr>
        <w:t>. Ramallah – Palestine</w:t>
      </w:r>
    </w:p>
    <w:p w14:paraId="3697CE39" w14:textId="77777777" w:rsidR="007D39B6" w:rsidRPr="00111EFC" w:rsidRDefault="007D39B6" w:rsidP="00111EFC">
      <w:pPr>
        <w:bidi w:val="0"/>
        <w:spacing w:after="0" w:line="240" w:lineRule="auto"/>
        <w:ind w:left="720" w:right="139" w:hanging="720"/>
        <w:jc w:val="both"/>
        <w:rPr>
          <w:rFonts w:ascii="Arial" w:hAnsi="Arial"/>
          <w:b/>
          <w:bCs/>
          <w:sz w:val="18"/>
          <w:szCs w:val="18"/>
        </w:rPr>
      </w:pPr>
    </w:p>
    <w:p w14:paraId="78CF396B"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tl/>
        </w:rPr>
      </w:pPr>
      <w:r w:rsidRPr="008A4E00">
        <w:rPr>
          <w:rFonts w:ascii="Times New Roman" w:hAnsi="Times New Roman" w:cs="Times New Roman"/>
          <w:b/>
          <w:bCs/>
          <w:i/>
          <w:iCs/>
          <w:sz w:val="24"/>
          <w:szCs w:val="24"/>
        </w:rPr>
        <w:t xml:space="preserve">Indicator 1.2.2 Proportion of population living in multidimensional poverty </w:t>
      </w:r>
    </w:p>
    <w:p w14:paraId="40DAC079"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sz w:val="24"/>
          <w:szCs w:val="24"/>
          <w:rtl/>
        </w:rPr>
      </w:pPr>
      <w:r w:rsidRPr="008A4E00">
        <w:rPr>
          <w:rFonts w:ascii="Times New Roman" w:hAnsi="Times New Roman" w:cs="Times New Roman"/>
          <w:sz w:val="24"/>
          <w:szCs w:val="24"/>
        </w:rPr>
        <w:t xml:space="preserve">Proportion of population living in multidimensional poverty </w:t>
      </w:r>
      <w:r w:rsidR="0072194B">
        <w:rPr>
          <w:rFonts w:ascii="Times New Roman" w:hAnsi="Times New Roman" w:cs="Times New Roman"/>
          <w:sz w:val="24"/>
          <w:szCs w:val="24"/>
        </w:rPr>
        <w:t>reached</w:t>
      </w:r>
      <w:r w:rsidRPr="008A4E00">
        <w:rPr>
          <w:rFonts w:ascii="Times New Roman" w:hAnsi="Times New Roman" w:cs="Times New Roman"/>
          <w:sz w:val="24"/>
          <w:szCs w:val="24"/>
        </w:rPr>
        <w:t xml:space="preserve"> 24.0% in Palestine for </w:t>
      </w:r>
      <w:r w:rsidR="0072194B">
        <w:rPr>
          <w:rFonts w:ascii="Times New Roman" w:hAnsi="Times New Roman" w:cs="Times New Roman"/>
          <w:sz w:val="24"/>
          <w:szCs w:val="24"/>
        </w:rPr>
        <w:t xml:space="preserve">the </w:t>
      </w:r>
      <w:r w:rsidRPr="008A4E00">
        <w:rPr>
          <w:rFonts w:ascii="Times New Roman" w:hAnsi="Times New Roman" w:cs="Times New Roman"/>
          <w:sz w:val="24"/>
          <w:szCs w:val="24"/>
        </w:rPr>
        <w:t xml:space="preserve">year 2017, while the </w:t>
      </w:r>
      <w:r w:rsidR="0072194B">
        <w:rPr>
          <w:rFonts w:ascii="Times New Roman" w:hAnsi="Times New Roman" w:cs="Times New Roman"/>
          <w:sz w:val="24"/>
          <w:szCs w:val="24"/>
        </w:rPr>
        <w:t>a</w:t>
      </w:r>
      <w:r w:rsidRPr="008A4E00">
        <w:rPr>
          <w:rFonts w:ascii="Times New Roman" w:hAnsi="Times New Roman" w:cs="Times New Roman"/>
          <w:sz w:val="24"/>
          <w:szCs w:val="24"/>
        </w:rPr>
        <w:t xml:space="preserve">verage proportion of deprivation for </w:t>
      </w:r>
      <w:r w:rsidR="0045367C" w:rsidRPr="008A4E00">
        <w:rPr>
          <w:rFonts w:ascii="Times New Roman" w:hAnsi="Times New Roman" w:cs="Times New Roman"/>
          <w:sz w:val="24"/>
          <w:szCs w:val="24"/>
        </w:rPr>
        <w:t>multidimensionality</w:t>
      </w:r>
      <w:r w:rsidRPr="008A4E00">
        <w:rPr>
          <w:rFonts w:ascii="Times New Roman" w:hAnsi="Times New Roman" w:cs="Times New Roman"/>
          <w:sz w:val="24"/>
          <w:szCs w:val="24"/>
        </w:rPr>
        <w:t xml:space="preserve"> poor </w:t>
      </w:r>
      <w:r w:rsidR="0072194B">
        <w:rPr>
          <w:rFonts w:ascii="Times New Roman" w:hAnsi="Times New Roman" w:cs="Times New Roman"/>
          <w:sz w:val="24"/>
          <w:szCs w:val="24"/>
        </w:rPr>
        <w:t>people reached</w:t>
      </w:r>
      <w:r w:rsidRPr="008A4E00">
        <w:rPr>
          <w:rFonts w:ascii="Times New Roman" w:hAnsi="Times New Roman" w:cs="Times New Roman"/>
          <w:sz w:val="24"/>
          <w:szCs w:val="24"/>
        </w:rPr>
        <w:t xml:space="preserve"> 42.4% for the same period. </w:t>
      </w:r>
      <w:r w:rsidR="0072194B">
        <w:rPr>
          <w:rFonts w:ascii="Times New Roman" w:hAnsi="Times New Roman" w:cs="Times New Roman"/>
          <w:sz w:val="24"/>
          <w:szCs w:val="24"/>
        </w:rPr>
        <w:t>The p</w:t>
      </w:r>
      <w:r w:rsidRPr="008A4E00">
        <w:rPr>
          <w:rFonts w:ascii="Times New Roman" w:hAnsi="Times New Roman" w:cs="Times New Roman"/>
          <w:sz w:val="24"/>
          <w:szCs w:val="24"/>
        </w:rPr>
        <w:t xml:space="preserve">roportion of children living in child-specific multidimensional poverty reached 26.0% and </w:t>
      </w:r>
      <w:r w:rsidR="0072194B">
        <w:rPr>
          <w:rFonts w:ascii="Times New Roman" w:hAnsi="Times New Roman" w:cs="Times New Roman"/>
          <w:sz w:val="24"/>
          <w:szCs w:val="24"/>
        </w:rPr>
        <w:t>the p</w:t>
      </w:r>
      <w:r w:rsidRPr="008A4E00">
        <w:rPr>
          <w:rFonts w:ascii="Times New Roman" w:hAnsi="Times New Roman" w:cs="Times New Roman"/>
          <w:sz w:val="24"/>
          <w:szCs w:val="24"/>
        </w:rPr>
        <w:t xml:space="preserve">roportion of households living in multidimensional poverty reached 18.4% for </w:t>
      </w:r>
      <w:r w:rsidR="0072194B">
        <w:rPr>
          <w:rFonts w:ascii="Times New Roman" w:hAnsi="Times New Roman" w:cs="Times New Roman"/>
          <w:sz w:val="24"/>
          <w:szCs w:val="24"/>
        </w:rPr>
        <w:t xml:space="preserve">the </w:t>
      </w:r>
      <w:r w:rsidRPr="008A4E00">
        <w:rPr>
          <w:rFonts w:ascii="Times New Roman" w:hAnsi="Times New Roman" w:cs="Times New Roman"/>
          <w:sz w:val="24"/>
          <w:szCs w:val="24"/>
        </w:rPr>
        <w:t>year 2017 in Palestine.</w:t>
      </w:r>
    </w:p>
    <w:p w14:paraId="2316AC83"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37E4ED2A"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1.5.1 Number of deaths, missing persons and directly affected persons attributed to disasters per 100,000 population</w:t>
      </w:r>
    </w:p>
    <w:p w14:paraId="646B3A59"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00AA5D39"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1.5.1.1 Number of deaths attributed to disasters per 100,000 population; and Indicator 1.5.1.2 Number of missing persons attributed to disasters per 100,000 population</w:t>
      </w:r>
    </w:p>
    <w:p w14:paraId="22C714F9"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4A7C4FF3"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The total number of deaths attributed to disasters in Palestine </w:t>
      </w:r>
      <w:r w:rsidR="0072194B">
        <w:rPr>
          <w:rFonts w:ascii="Times New Roman" w:hAnsi="Times New Roman" w:cs="Times New Roman"/>
          <w:sz w:val="24"/>
          <w:szCs w:val="24"/>
        </w:rPr>
        <w:t>reached</w:t>
      </w:r>
      <w:r w:rsidRPr="008A4E00">
        <w:rPr>
          <w:rFonts w:ascii="Times New Roman" w:hAnsi="Times New Roman" w:cs="Times New Roman"/>
          <w:sz w:val="24"/>
          <w:szCs w:val="24"/>
        </w:rPr>
        <w:t xml:space="preserve"> 0.02 deaths per 100,000 population in 2018 compared </w:t>
      </w:r>
      <w:r w:rsidR="0072194B">
        <w:rPr>
          <w:rFonts w:ascii="Times New Roman" w:hAnsi="Times New Roman" w:cs="Times New Roman"/>
          <w:sz w:val="24"/>
          <w:szCs w:val="24"/>
        </w:rPr>
        <w:t>to</w:t>
      </w:r>
      <w:r w:rsidRPr="008A4E00">
        <w:rPr>
          <w:rFonts w:ascii="Times New Roman" w:hAnsi="Times New Roman" w:cs="Times New Roman"/>
          <w:sz w:val="24"/>
          <w:szCs w:val="24"/>
        </w:rPr>
        <w:t xml:space="preserve"> 1.42 per 100,000 of population in 2017, while there were no missing persons attributed to disasters during </w:t>
      </w:r>
      <w:r w:rsidR="0072194B">
        <w:rPr>
          <w:rFonts w:ascii="Times New Roman" w:hAnsi="Times New Roman" w:cs="Times New Roman"/>
          <w:sz w:val="24"/>
          <w:szCs w:val="24"/>
        </w:rPr>
        <w:t xml:space="preserve">the years </w:t>
      </w:r>
      <w:r w:rsidRPr="008A4E00">
        <w:rPr>
          <w:rFonts w:ascii="Times New Roman" w:hAnsi="Times New Roman" w:cs="Times New Roman"/>
          <w:sz w:val="24"/>
          <w:szCs w:val="24"/>
        </w:rPr>
        <w:t>2006-</w:t>
      </w:r>
      <w:r w:rsidR="00A05CCF">
        <w:rPr>
          <w:rFonts w:ascii="Times New Roman" w:hAnsi="Times New Roman" w:cs="Times New Roman"/>
          <w:sz w:val="24"/>
          <w:szCs w:val="24"/>
        </w:rPr>
        <w:t>2018</w:t>
      </w:r>
      <w:r w:rsidRPr="008A4E00">
        <w:rPr>
          <w:rFonts w:ascii="Times New Roman" w:hAnsi="Times New Roman" w:cs="Times New Roman"/>
          <w:sz w:val="24"/>
          <w:szCs w:val="24"/>
        </w:rPr>
        <w:t xml:space="preserve">. </w:t>
      </w:r>
    </w:p>
    <w:p w14:paraId="1E140B29"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16"/>
          <w:szCs w:val="16"/>
        </w:rPr>
      </w:pPr>
    </w:p>
    <w:p w14:paraId="01FCF904" w14:textId="77777777" w:rsidR="007D39B6" w:rsidRPr="008A4E00" w:rsidRDefault="007D39B6" w:rsidP="008C6258">
      <w:pPr>
        <w:bidi w:val="0"/>
        <w:spacing w:after="0" w:line="240" w:lineRule="auto"/>
        <w:ind w:left="70"/>
        <w:jc w:val="center"/>
        <w:rPr>
          <w:rFonts w:ascii="Arial" w:hAnsi="Arial"/>
          <w:b/>
          <w:bCs/>
        </w:rPr>
      </w:pPr>
      <w:r w:rsidRPr="008A4E00">
        <w:rPr>
          <w:rFonts w:ascii="Arial" w:hAnsi="Arial"/>
          <w:b/>
          <w:bCs/>
        </w:rPr>
        <w:t>Number of Deaths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04BB8261" w14:textId="77777777" w:rsidTr="007D39B6">
        <w:tc>
          <w:tcPr>
            <w:tcW w:w="9286" w:type="dxa"/>
            <w:shd w:val="clear" w:color="auto" w:fill="auto"/>
          </w:tcPr>
          <w:p w14:paraId="60E9CF1D"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b/>
                <w:bCs/>
                <w:noProof/>
              </w:rPr>
              <w:drawing>
                <wp:inline distT="0" distB="0" distL="0" distR="0" wp14:anchorId="395222EB" wp14:editId="1F126837">
                  <wp:extent cx="5661025" cy="2057400"/>
                  <wp:effectExtent l="0" t="0" r="0" b="0"/>
                  <wp:docPr id="10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28856A81" w14:textId="77777777" w:rsidR="007D39B6" w:rsidRPr="00670F90" w:rsidRDefault="007D39B6" w:rsidP="008C6258">
      <w:pPr>
        <w:pStyle w:val="FootnoteText"/>
        <w:bidi w:val="0"/>
        <w:rPr>
          <w:rFonts w:ascii="Arial" w:hAnsi="Arial" w:cs="Arial"/>
          <w:sz w:val="18"/>
          <w:szCs w:val="18"/>
        </w:rPr>
      </w:pPr>
      <w:r w:rsidRPr="00670F90">
        <w:rPr>
          <w:rFonts w:ascii="Arial" w:hAnsi="Arial" w:cs="Arial"/>
          <w:b/>
          <w:bCs/>
          <w:sz w:val="18"/>
          <w:szCs w:val="18"/>
        </w:rPr>
        <w:t xml:space="preserve">Source: National Disaster Risk Management Center, and </w:t>
      </w:r>
      <w:hyperlink r:id="rId41" w:history="1">
        <w:r w:rsidRPr="00670F90">
          <w:rPr>
            <w:rStyle w:val="Hyperlink"/>
            <w:rFonts w:ascii="Arial" w:hAnsi="Arial" w:cs="Arial"/>
            <w:b/>
            <w:bCs/>
            <w:color w:val="auto"/>
            <w:sz w:val="18"/>
            <w:szCs w:val="18"/>
          </w:rPr>
          <w:t>https://unstats.un.org/sdgs/indicators/database</w:t>
        </w:r>
      </w:hyperlink>
    </w:p>
    <w:p w14:paraId="2153913C"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1DF77162"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lastRenderedPageBreak/>
        <w:t>Indicator 1.5.1.3 Number of directly affected persons attributed to disasters per 100,000 population</w:t>
      </w:r>
    </w:p>
    <w:p w14:paraId="38C57420"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On other </w:t>
      </w:r>
      <w:r w:rsidR="001522C0" w:rsidRPr="008A4E00">
        <w:rPr>
          <w:rFonts w:ascii="Times New Roman" w:hAnsi="Times New Roman" w:cs="Times New Roman"/>
          <w:sz w:val="24"/>
          <w:szCs w:val="24"/>
        </w:rPr>
        <w:t>hand,</w:t>
      </w:r>
      <w:r w:rsidRPr="008A4E00">
        <w:rPr>
          <w:rFonts w:ascii="Times New Roman" w:hAnsi="Times New Roman" w:cs="Times New Roman"/>
          <w:sz w:val="24"/>
          <w:szCs w:val="24"/>
        </w:rPr>
        <w:t xml:space="preserve"> the total number of directly affected persons attributed to disasters per 100,000 </w:t>
      </w:r>
      <w:r w:rsidR="00322753">
        <w:rPr>
          <w:rFonts w:ascii="Times New Roman" w:hAnsi="Times New Roman" w:cs="Times New Roman"/>
          <w:sz w:val="24"/>
          <w:szCs w:val="24"/>
        </w:rPr>
        <w:t xml:space="preserve">persons </w:t>
      </w:r>
      <w:r w:rsidRPr="008A4E00">
        <w:rPr>
          <w:rFonts w:ascii="Times New Roman" w:hAnsi="Times New Roman" w:cs="Times New Roman"/>
          <w:sz w:val="24"/>
          <w:szCs w:val="24"/>
        </w:rPr>
        <w:t xml:space="preserve">of </w:t>
      </w:r>
      <w:r w:rsidR="00322753">
        <w:rPr>
          <w:rFonts w:ascii="Times New Roman" w:hAnsi="Times New Roman" w:cs="Times New Roman"/>
          <w:sz w:val="24"/>
          <w:szCs w:val="24"/>
        </w:rPr>
        <w:t xml:space="preserve">the </w:t>
      </w:r>
      <w:r w:rsidRPr="008A4E00">
        <w:rPr>
          <w:rFonts w:ascii="Times New Roman" w:hAnsi="Times New Roman" w:cs="Times New Roman"/>
          <w:sz w:val="24"/>
          <w:szCs w:val="24"/>
        </w:rPr>
        <w:t xml:space="preserve">population </w:t>
      </w:r>
      <w:r w:rsidRPr="00562252">
        <w:rPr>
          <w:rFonts w:ascii="Times New Roman" w:hAnsi="Times New Roman" w:cs="Times New Roman"/>
          <w:sz w:val="24"/>
          <w:szCs w:val="24"/>
        </w:rPr>
        <w:t xml:space="preserve">in Palestine was 6.3 per 100,000 in 2018 compared </w:t>
      </w:r>
      <w:r w:rsidR="00322753">
        <w:rPr>
          <w:rFonts w:ascii="Times New Roman" w:hAnsi="Times New Roman" w:cs="Times New Roman"/>
          <w:sz w:val="24"/>
          <w:szCs w:val="24"/>
        </w:rPr>
        <w:t>to</w:t>
      </w:r>
      <w:r w:rsidRPr="00562252">
        <w:rPr>
          <w:rFonts w:ascii="Times New Roman" w:hAnsi="Times New Roman" w:cs="Times New Roman"/>
          <w:sz w:val="24"/>
          <w:szCs w:val="24"/>
        </w:rPr>
        <w:t xml:space="preserve"> 42 per 100,000 in 2017.</w:t>
      </w:r>
    </w:p>
    <w:p w14:paraId="0A04B9F5"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16"/>
          <w:szCs w:val="16"/>
        </w:rPr>
      </w:pPr>
    </w:p>
    <w:p w14:paraId="725EA6AC"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16"/>
          <w:szCs w:val="16"/>
        </w:rPr>
      </w:pPr>
    </w:p>
    <w:p w14:paraId="342CF6F1" w14:textId="77777777" w:rsidR="007D39B6" w:rsidRPr="008A4E00" w:rsidRDefault="007D39B6" w:rsidP="008C6258">
      <w:pPr>
        <w:tabs>
          <w:tab w:val="left" w:pos="9072"/>
        </w:tabs>
        <w:bidi w:val="0"/>
        <w:spacing w:after="0" w:line="240" w:lineRule="auto"/>
        <w:ind w:firstLine="142"/>
        <w:jc w:val="center"/>
        <w:rPr>
          <w:rFonts w:ascii="Arial" w:hAnsi="Arial"/>
          <w:b/>
          <w:bCs/>
        </w:rPr>
      </w:pPr>
      <w:r w:rsidRPr="008A4E00">
        <w:rPr>
          <w:rFonts w:ascii="Arial" w:hAnsi="Arial"/>
          <w:b/>
          <w:bCs/>
        </w:rPr>
        <w:t>Number of Directly Affected Persons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71A34435" w14:textId="77777777" w:rsidTr="00FA742D">
        <w:trPr>
          <w:trHeight w:val="2346"/>
        </w:trPr>
        <w:tc>
          <w:tcPr>
            <w:tcW w:w="8520" w:type="dxa"/>
            <w:shd w:val="clear" w:color="auto" w:fill="auto"/>
          </w:tcPr>
          <w:p w14:paraId="3C0A491A"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b/>
                <w:bCs/>
                <w:noProof/>
                <w:sz w:val="24"/>
                <w:szCs w:val="24"/>
              </w:rPr>
              <w:drawing>
                <wp:inline distT="0" distB="0" distL="0" distR="0" wp14:anchorId="2034CD77" wp14:editId="24BB0CA6">
                  <wp:extent cx="5621655" cy="2038350"/>
                  <wp:effectExtent l="0" t="0" r="0" b="0"/>
                  <wp:docPr id="11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1F7C9653" w14:textId="77777777" w:rsidR="007D39B6" w:rsidRPr="00184EED" w:rsidRDefault="007D39B6" w:rsidP="008C6258">
      <w:pPr>
        <w:pStyle w:val="FootnoteText"/>
        <w:bidi w:val="0"/>
        <w:rPr>
          <w:rFonts w:asciiTheme="minorBidi" w:hAnsiTheme="minorBidi" w:cstheme="minorBidi"/>
          <w:b/>
          <w:bCs/>
          <w:sz w:val="18"/>
          <w:szCs w:val="18"/>
        </w:rPr>
      </w:pPr>
      <w:r w:rsidRPr="00184EED">
        <w:rPr>
          <w:rFonts w:asciiTheme="minorBidi" w:hAnsiTheme="minorBidi" w:cstheme="minorBidi"/>
          <w:b/>
          <w:bCs/>
          <w:sz w:val="18"/>
          <w:szCs w:val="18"/>
        </w:rPr>
        <w:t xml:space="preserve">Source: National Disaster Risk Management Center, and </w:t>
      </w:r>
      <w:hyperlink r:id="rId43" w:history="1">
        <w:r w:rsidRPr="00184EED">
          <w:rPr>
            <w:rStyle w:val="Hyperlink"/>
            <w:rFonts w:asciiTheme="minorBidi" w:hAnsiTheme="minorBidi" w:cstheme="minorBidi"/>
            <w:b/>
            <w:bCs/>
            <w:color w:val="auto"/>
            <w:sz w:val="18"/>
            <w:szCs w:val="18"/>
          </w:rPr>
          <w:t>https://unstats.un.org/sdgs/indicators/database</w:t>
        </w:r>
      </w:hyperlink>
    </w:p>
    <w:p w14:paraId="099FA561" w14:textId="77777777" w:rsidR="007D39B6"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4C9828B2" w14:textId="77777777" w:rsidR="00F71DD3" w:rsidRPr="008A4E00" w:rsidRDefault="00F71DD3" w:rsidP="00F71DD3">
      <w:pPr>
        <w:autoSpaceDE w:val="0"/>
        <w:autoSpaceDN w:val="0"/>
        <w:bidi w:val="0"/>
        <w:adjustRightInd w:val="0"/>
        <w:spacing w:after="0" w:line="240" w:lineRule="auto"/>
        <w:jc w:val="both"/>
        <w:rPr>
          <w:rFonts w:ascii="Times New Roman" w:hAnsi="Times New Roman" w:cs="Times New Roman"/>
          <w:sz w:val="24"/>
          <w:szCs w:val="24"/>
        </w:rPr>
      </w:pPr>
    </w:p>
    <w:p w14:paraId="045DFFD2" w14:textId="77777777" w:rsidR="007D39B6" w:rsidRPr="00B25DD3"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 xml:space="preserve">Indicator 1.5.2 Direct economic loss attributed to disasters in relation to global gross </w:t>
      </w:r>
      <w:r w:rsidRPr="00B25DD3">
        <w:rPr>
          <w:rFonts w:ascii="Times New Roman" w:hAnsi="Times New Roman" w:cs="Times New Roman"/>
          <w:b/>
          <w:bCs/>
          <w:i/>
          <w:iCs/>
          <w:sz w:val="24"/>
          <w:szCs w:val="24"/>
        </w:rPr>
        <w:t xml:space="preserve">domestic product (GDP)  </w:t>
      </w:r>
    </w:p>
    <w:p w14:paraId="252BD5E3" w14:textId="77777777" w:rsidR="007D39B6" w:rsidRPr="00B25DD3" w:rsidRDefault="007D39B6" w:rsidP="00877949">
      <w:pPr>
        <w:autoSpaceDE w:val="0"/>
        <w:autoSpaceDN w:val="0"/>
        <w:bidi w:val="0"/>
        <w:adjustRightInd w:val="0"/>
        <w:spacing w:line="240" w:lineRule="auto"/>
        <w:jc w:val="both"/>
        <w:rPr>
          <w:rFonts w:ascii="Times New Roman" w:hAnsi="Times New Roman" w:cs="Times New Roman"/>
          <w:sz w:val="24"/>
          <w:szCs w:val="24"/>
        </w:rPr>
      </w:pPr>
      <w:r w:rsidRPr="00B25DD3">
        <w:rPr>
          <w:rFonts w:ascii="Times New Roman" w:hAnsi="Times New Roman" w:cs="Times New Roman"/>
          <w:sz w:val="24"/>
          <w:szCs w:val="24"/>
        </w:rPr>
        <w:t xml:space="preserve">The Palestinian economy losses </w:t>
      </w:r>
      <w:r w:rsidR="00322753" w:rsidRPr="00B25DD3">
        <w:rPr>
          <w:rFonts w:ascii="Times New Roman" w:hAnsi="Times New Roman" w:cs="Times New Roman"/>
          <w:sz w:val="24"/>
          <w:szCs w:val="24"/>
        </w:rPr>
        <w:t xml:space="preserve">amounted to </w:t>
      </w:r>
      <w:r w:rsidRPr="00B25DD3">
        <w:rPr>
          <w:rFonts w:ascii="Times New Roman" w:hAnsi="Times New Roman" w:cs="Times New Roman"/>
          <w:sz w:val="24"/>
          <w:szCs w:val="24"/>
        </w:rPr>
        <w:t>a</w:t>
      </w:r>
      <w:r w:rsidR="00322753" w:rsidRPr="00B25DD3">
        <w:rPr>
          <w:rFonts w:ascii="Times New Roman" w:hAnsi="Times New Roman" w:cs="Times New Roman"/>
          <w:sz w:val="24"/>
          <w:szCs w:val="24"/>
        </w:rPr>
        <w:t>pproximately</w:t>
      </w:r>
      <w:r w:rsidR="00094847" w:rsidRPr="00B25DD3">
        <w:rPr>
          <w:rFonts w:ascii="Times New Roman" w:hAnsi="Times New Roman" w:cs="Times New Roman"/>
          <w:sz w:val="24"/>
          <w:szCs w:val="24"/>
        </w:rPr>
        <w:t xml:space="preserve"> 28</w:t>
      </w:r>
      <w:r w:rsidRPr="00B25DD3">
        <w:rPr>
          <w:rFonts w:ascii="Times New Roman" w:hAnsi="Times New Roman" w:cs="Times New Roman"/>
          <w:sz w:val="24"/>
          <w:szCs w:val="24"/>
        </w:rPr>
        <w:t xml:space="preserve"> million USD in 2018.</w:t>
      </w:r>
    </w:p>
    <w:p w14:paraId="1DB91A97" w14:textId="77777777" w:rsidR="007D39B6" w:rsidRPr="00B25DD3"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613DE460" w14:textId="77777777" w:rsidR="007D39B6" w:rsidRPr="00B25DD3"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B25DD3">
        <w:rPr>
          <w:rFonts w:ascii="Times New Roman" w:hAnsi="Times New Roman" w:cs="Times New Roman"/>
          <w:b/>
          <w:bCs/>
          <w:i/>
          <w:iCs/>
          <w:sz w:val="24"/>
          <w:szCs w:val="24"/>
        </w:rPr>
        <w:t>Indicator 1.5.4 Proportion of local governments that adopt and implement local disaster risk reduction strategies in line with national disaster risk reduction strategies</w:t>
      </w:r>
    </w:p>
    <w:p w14:paraId="1E6F28B2" w14:textId="77777777" w:rsidR="007D39B6" w:rsidRPr="00B25DD3" w:rsidRDefault="007D39B6" w:rsidP="00877949">
      <w:pPr>
        <w:autoSpaceDE w:val="0"/>
        <w:autoSpaceDN w:val="0"/>
        <w:bidi w:val="0"/>
        <w:adjustRightInd w:val="0"/>
        <w:spacing w:line="240" w:lineRule="auto"/>
        <w:jc w:val="both"/>
        <w:rPr>
          <w:rFonts w:ascii="Times New Roman" w:hAnsi="Times New Roman" w:cs="Times New Roman"/>
          <w:color w:val="000000" w:themeColor="text1"/>
          <w:sz w:val="24"/>
          <w:szCs w:val="24"/>
        </w:rPr>
      </w:pPr>
      <w:r w:rsidRPr="00B25DD3">
        <w:rPr>
          <w:rFonts w:ascii="Times New Roman" w:hAnsi="Times New Roman" w:cs="Times New Roman"/>
          <w:color w:val="000000" w:themeColor="text1"/>
          <w:sz w:val="24"/>
          <w:szCs w:val="24"/>
        </w:rPr>
        <w:t xml:space="preserve">Proportion of local governments that adopt and implement local disaster risk reduction strategies in line with national disaster risk reduction strategies </w:t>
      </w:r>
      <w:r w:rsidR="00B70344" w:rsidRPr="00B25DD3">
        <w:rPr>
          <w:rFonts w:ascii="Times New Roman" w:hAnsi="Times New Roman" w:cs="Times New Roman"/>
          <w:color w:val="000000" w:themeColor="text1"/>
          <w:sz w:val="24"/>
          <w:szCs w:val="24"/>
        </w:rPr>
        <w:t>reached</w:t>
      </w:r>
      <w:r w:rsidRPr="00B25DD3">
        <w:rPr>
          <w:rFonts w:ascii="Times New Roman" w:hAnsi="Times New Roman" w:cs="Times New Roman"/>
          <w:color w:val="000000" w:themeColor="text1"/>
          <w:sz w:val="24"/>
          <w:szCs w:val="24"/>
        </w:rPr>
        <w:t xml:space="preserve"> 68.8 in West </w:t>
      </w:r>
      <w:r w:rsidR="000179B6" w:rsidRPr="00B25DD3">
        <w:rPr>
          <w:rFonts w:ascii="Times New Roman" w:hAnsi="Times New Roman" w:cs="Times New Roman"/>
          <w:color w:val="000000" w:themeColor="text1"/>
          <w:sz w:val="24"/>
          <w:szCs w:val="24"/>
        </w:rPr>
        <w:t xml:space="preserve">Bank </w:t>
      </w:r>
      <w:r w:rsidRPr="00B25DD3">
        <w:rPr>
          <w:rFonts w:ascii="Times New Roman" w:hAnsi="Times New Roman" w:cs="Times New Roman"/>
          <w:color w:val="000000" w:themeColor="text1"/>
          <w:sz w:val="24"/>
          <w:szCs w:val="24"/>
        </w:rPr>
        <w:t xml:space="preserve">for </w:t>
      </w:r>
      <w:r w:rsidR="00322753" w:rsidRPr="00B25DD3">
        <w:rPr>
          <w:rFonts w:ascii="Times New Roman" w:hAnsi="Times New Roman" w:cs="Times New Roman"/>
          <w:color w:val="000000" w:themeColor="text1"/>
          <w:sz w:val="24"/>
          <w:szCs w:val="24"/>
        </w:rPr>
        <w:t xml:space="preserve">the </w:t>
      </w:r>
      <w:r w:rsidRPr="00B25DD3">
        <w:rPr>
          <w:rFonts w:ascii="Times New Roman" w:hAnsi="Times New Roman" w:cs="Times New Roman"/>
          <w:color w:val="000000" w:themeColor="text1"/>
          <w:sz w:val="24"/>
          <w:szCs w:val="24"/>
        </w:rPr>
        <w:t xml:space="preserve">year 2018 and the </w:t>
      </w:r>
      <w:r w:rsidR="000179B6" w:rsidRPr="00B25DD3">
        <w:rPr>
          <w:rFonts w:ascii="Times New Roman" w:hAnsi="Times New Roman" w:cs="Times New Roman"/>
          <w:color w:val="000000" w:themeColor="text1"/>
          <w:sz w:val="24"/>
          <w:szCs w:val="24"/>
        </w:rPr>
        <w:t>p</w:t>
      </w:r>
      <w:r w:rsidRPr="00B25DD3">
        <w:rPr>
          <w:rFonts w:ascii="Times New Roman" w:hAnsi="Times New Roman" w:cs="Times New Roman"/>
          <w:color w:val="000000" w:themeColor="text1"/>
          <w:sz w:val="24"/>
          <w:szCs w:val="24"/>
        </w:rPr>
        <w:t xml:space="preserve">roportion remained stable for </w:t>
      </w:r>
      <w:r w:rsidR="00322753" w:rsidRPr="00B25DD3">
        <w:rPr>
          <w:rFonts w:ascii="Times New Roman" w:hAnsi="Times New Roman" w:cs="Times New Roman"/>
          <w:color w:val="000000" w:themeColor="text1"/>
          <w:sz w:val="24"/>
          <w:szCs w:val="24"/>
        </w:rPr>
        <w:t xml:space="preserve">the </w:t>
      </w:r>
      <w:r w:rsidRPr="00B25DD3">
        <w:rPr>
          <w:rFonts w:ascii="Times New Roman" w:hAnsi="Times New Roman" w:cs="Times New Roman"/>
          <w:color w:val="000000" w:themeColor="text1"/>
          <w:sz w:val="24"/>
          <w:szCs w:val="24"/>
        </w:rPr>
        <w:t>year 2019.</w:t>
      </w:r>
    </w:p>
    <w:p w14:paraId="2978E4C5" w14:textId="77777777" w:rsidR="007D39B6" w:rsidRPr="00B25DD3"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1DED2492" w14:textId="77777777" w:rsidR="007D39B6" w:rsidRPr="00B25DD3"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B25DD3">
        <w:rPr>
          <w:rFonts w:ascii="Times New Roman" w:hAnsi="Times New Roman" w:cs="Times New Roman"/>
          <w:b/>
          <w:bCs/>
          <w:i/>
          <w:iCs/>
          <w:sz w:val="24"/>
          <w:szCs w:val="24"/>
        </w:rPr>
        <w:t>Indicator 1.a.2 Proportion of total government spending on essential services (education, health and social protection)</w:t>
      </w:r>
    </w:p>
    <w:p w14:paraId="2DA0C810" w14:textId="77777777" w:rsidR="007D39B6" w:rsidRPr="008970F7" w:rsidRDefault="007D39B6" w:rsidP="00877949">
      <w:pPr>
        <w:autoSpaceDE w:val="0"/>
        <w:autoSpaceDN w:val="0"/>
        <w:bidi w:val="0"/>
        <w:adjustRightInd w:val="0"/>
        <w:spacing w:line="240" w:lineRule="auto"/>
        <w:jc w:val="both"/>
        <w:rPr>
          <w:rFonts w:ascii="Times New Roman" w:hAnsi="Times New Roman" w:cs="Times New Roman"/>
          <w:sz w:val="24"/>
          <w:szCs w:val="24"/>
        </w:rPr>
      </w:pPr>
      <w:r w:rsidRPr="00B25DD3">
        <w:rPr>
          <w:rFonts w:ascii="Times New Roman" w:hAnsi="Times New Roman" w:cs="Times New Roman"/>
          <w:sz w:val="24"/>
          <w:szCs w:val="24"/>
        </w:rPr>
        <w:t xml:space="preserve">Proportion of total government spending on essential services (education, health and social protection) increased </w:t>
      </w:r>
      <w:r w:rsidR="00322753" w:rsidRPr="00B25DD3">
        <w:rPr>
          <w:rFonts w:ascii="Times New Roman" w:hAnsi="Times New Roman" w:cs="Times New Roman"/>
          <w:sz w:val="24"/>
          <w:szCs w:val="24"/>
        </w:rPr>
        <w:t>in Palestine</w:t>
      </w:r>
      <w:r w:rsidR="00322753">
        <w:rPr>
          <w:rFonts w:ascii="Times New Roman" w:hAnsi="Times New Roman" w:cs="Times New Roman"/>
          <w:sz w:val="24"/>
          <w:szCs w:val="24"/>
        </w:rPr>
        <w:t xml:space="preserve"> </w:t>
      </w:r>
      <w:r w:rsidRPr="008970F7">
        <w:rPr>
          <w:rFonts w:ascii="Times New Roman" w:hAnsi="Times New Roman" w:cs="Times New Roman"/>
          <w:sz w:val="24"/>
          <w:szCs w:val="24"/>
        </w:rPr>
        <w:t xml:space="preserve">from </w:t>
      </w:r>
      <w:r>
        <w:rPr>
          <w:rFonts w:ascii="Times New Roman" w:hAnsi="Times New Roman" w:cs="Times New Roman"/>
          <w:sz w:val="24"/>
          <w:szCs w:val="24"/>
        </w:rPr>
        <w:t>56.3</w:t>
      </w:r>
      <w:r w:rsidRPr="008970F7">
        <w:rPr>
          <w:rFonts w:ascii="Times New Roman" w:hAnsi="Times New Roman" w:cs="Times New Roman"/>
          <w:sz w:val="24"/>
          <w:szCs w:val="24"/>
        </w:rPr>
        <w:t xml:space="preserve">% for </w:t>
      </w:r>
      <w:r w:rsidR="00322753">
        <w:rPr>
          <w:rFonts w:ascii="Times New Roman" w:hAnsi="Times New Roman" w:cs="Times New Roman"/>
          <w:sz w:val="24"/>
          <w:szCs w:val="24"/>
        </w:rPr>
        <w:t xml:space="preserve">the </w:t>
      </w:r>
      <w:r w:rsidRPr="008970F7">
        <w:rPr>
          <w:rFonts w:ascii="Times New Roman" w:hAnsi="Times New Roman" w:cs="Times New Roman"/>
          <w:sz w:val="24"/>
          <w:szCs w:val="24"/>
        </w:rPr>
        <w:t xml:space="preserve">year </w:t>
      </w:r>
      <w:r>
        <w:rPr>
          <w:rFonts w:ascii="Times New Roman" w:hAnsi="Times New Roman" w:cs="Times New Roman"/>
          <w:sz w:val="24"/>
          <w:szCs w:val="24"/>
        </w:rPr>
        <w:t>2018</w:t>
      </w:r>
      <w:r w:rsidRPr="008970F7">
        <w:rPr>
          <w:rFonts w:ascii="Times New Roman" w:hAnsi="Times New Roman" w:cs="Times New Roman"/>
          <w:sz w:val="24"/>
          <w:szCs w:val="24"/>
        </w:rPr>
        <w:t xml:space="preserve"> to 57.9% </w:t>
      </w:r>
      <w:r w:rsidR="00322753">
        <w:rPr>
          <w:rFonts w:ascii="Times New Roman" w:hAnsi="Times New Roman" w:cs="Times New Roman"/>
          <w:sz w:val="24"/>
          <w:szCs w:val="24"/>
        </w:rPr>
        <w:t>in</w:t>
      </w:r>
      <w:r w:rsidRPr="008970F7">
        <w:rPr>
          <w:rFonts w:ascii="Times New Roman" w:hAnsi="Times New Roman" w:cs="Times New Roman"/>
          <w:sz w:val="24"/>
          <w:szCs w:val="24"/>
        </w:rPr>
        <w:t xml:space="preserve"> 2019.</w:t>
      </w:r>
    </w:p>
    <w:p w14:paraId="0C27CB2F" w14:textId="77777777" w:rsidR="007D39B6" w:rsidRPr="008970F7"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6DAA747B"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t>Summary</w:t>
      </w:r>
    </w:p>
    <w:p w14:paraId="3F438B8B"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In Palestine, poverty </w:t>
      </w:r>
      <w:r w:rsidR="00322753">
        <w:rPr>
          <w:rFonts w:ascii="Times New Roman" w:hAnsi="Times New Roman" w:cs="Times New Roman"/>
          <w:sz w:val="24"/>
          <w:szCs w:val="24"/>
        </w:rPr>
        <w:t>rates reached</w:t>
      </w:r>
      <w:r w:rsidRPr="008A4E00">
        <w:rPr>
          <w:rFonts w:ascii="Times New Roman" w:hAnsi="Times New Roman" w:cs="Times New Roman"/>
          <w:sz w:val="24"/>
          <w:szCs w:val="24"/>
        </w:rPr>
        <w:t xml:space="preserve"> around 29% in 2017, which means around 1.4 million Palestinians were poor in 2017.  </w:t>
      </w:r>
      <w:r w:rsidR="00322753">
        <w:rPr>
          <w:rFonts w:ascii="Times New Roman" w:hAnsi="Times New Roman" w:cs="Times New Roman"/>
          <w:sz w:val="24"/>
          <w:szCs w:val="24"/>
        </w:rPr>
        <w:t xml:space="preserve">In 2011 this </w:t>
      </w:r>
      <w:r w:rsidRPr="008A4E00">
        <w:rPr>
          <w:rFonts w:ascii="Times New Roman" w:hAnsi="Times New Roman" w:cs="Times New Roman"/>
          <w:sz w:val="24"/>
          <w:szCs w:val="24"/>
        </w:rPr>
        <w:t xml:space="preserve">percentage </w:t>
      </w:r>
      <w:r w:rsidR="00322753">
        <w:rPr>
          <w:rFonts w:ascii="Times New Roman" w:hAnsi="Times New Roman" w:cs="Times New Roman"/>
          <w:sz w:val="24"/>
          <w:szCs w:val="24"/>
        </w:rPr>
        <w:t>reached</w:t>
      </w:r>
      <w:r w:rsidRPr="008A4E00">
        <w:rPr>
          <w:rFonts w:ascii="Times New Roman" w:hAnsi="Times New Roman" w:cs="Times New Roman"/>
          <w:sz w:val="24"/>
          <w:szCs w:val="24"/>
        </w:rPr>
        <w:t xml:space="preserve"> 25.8%.  It's important to note here that regional disparities were very wide between the West Bank and Gaza Strip where the percentage</w:t>
      </w:r>
      <w:r w:rsidR="00322753">
        <w:rPr>
          <w:rFonts w:ascii="Times New Roman" w:hAnsi="Times New Roman" w:cs="Times New Roman"/>
          <w:sz w:val="24"/>
          <w:szCs w:val="24"/>
        </w:rPr>
        <w:t>s</w:t>
      </w:r>
      <w:r w:rsidR="00B70344">
        <w:rPr>
          <w:rFonts w:ascii="Times New Roman" w:hAnsi="Times New Roman" w:cs="Times New Roman"/>
          <w:sz w:val="24"/>
          <w:szCs w:val="24"/>
        </w:rPr>
        <w:t>reached</w:t>
      </w:r>
      <w:r w:rsidRPr="008A4E00">
        <w:rPr>
          <w:rFonts w:ascii="Times New Roman" w:hAnsi="Times New Roman" w:cs="Times New Roman"/>
          <w:sz w:val="24"/>
          <w:szCs w:val="24"/>
        </w:rPr>
        <w:t xml:space="preserve"> 13.9% and 53.0%</w:t>
      </w:r>
      <w:r w:rsidR="00322753">
        <w:rPr>
          <w:rFonts w:ascii="Times New Roman" w:hAnsi="Times New Roman" w:cs="Times New Roman"/>
          <w:sz w:val="24"/>
          <w:szCs w:val="24"/>
        </w:rPr>
        <w:t>,</w:t>
      </w:r>
      <w:r w:rsidRPr="008A4E00">
        <w:rPr>
          <w:rFonts w:ascii="Times New Roman" w:hAnsi="Times New Roman" w:cs="Times New Roman"/>
          <w:sz w:val="24"/>
          <w:szCs w:val="24"/>
        </w:rPr>
        <w:t xml:space="preserve"> respectively</w:t>
      </w:r>
      <w:r w:rsidR="000179B6">
        <w:rPr>
          <w:rFonts w:ascii="Times New Roman" w:hAnsi="Times New Roman" w:cs="Times New Roman"/>
          <w:sz w:val="24"/>
          <w:szCs w:val="24"/>
        </w:rPr>
        <w:t>.</w:t>
      </w:r>
    </w:p>
    <w:p w14:paraId="1D4D2CE3" w14:textId="77777777" w:rsidR="007679D9" w:rsidRDefault="007679D9">
      <w:pPr>
        <w:bidi w:val="0"/>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tbl>
      <w:tblPr>
        <w:tblW w:w="9311" w:type="dxa"/>
        <w:tblBorders>
          <w:top w:val="thinThickSmallGap" w:sz="24" w:space="0" w:color="CD9931"/>
          <w:left w:val="thinThickSmallGap" w:sz="24" w:space="0" w:color="CD9931"/>
          <w:bottom w:val="thickThinSmallGap" w:sz="24" w:space="0" w:color="CD9931"/>
          <w:right w:val="thickThinSmallGap" w:sz="24" w:space="0" w:color="CD9931"/>
        </w:tblBorders>
        <w:tblLook w:val="04A0" w:firstRow="1" w:lastRow="0" w:firstColumn="1" w:lastColumn="0" w:noHBand="0" w:noVBand="1"/>
      </w:tblPr>
      <w:tblGrid>
        <w:gridCol w:w="2081"/>
        <w:gridCol w:w="7230"/>
      </w:tblGrid>
      <w:tr w:rsidR="007D39B6" w:rsidRPr="008A4E00" w14:paraId="06326D11" w14:textId="77777777" w:rsidTr="007679D9">
        <w:tc>
          <w:tcPr>
            <w:tcW w:w="2081" w:type="dxa"/>
            <w:shd w:val="clear" w:color="auto" w:fill="auto"/>
            <w:vAlign w:val="center"/>
          </w:tcPr>
          <w:p w14:paraId="34BFCEB1" w14:textId="77777777" w:rsidR="007D39B6" w:rsidRPr="008A4E00" w:rsidRDefault="007D39B6" w:rsidP="008C6258">
            <w:pPr>
              <w:pStyle w:val="Header"/>
              <w:tabs>
                <w:tab w:val="left" w:pos="720"/>
              </w:tabs>
              <w:bidi w:val="0"/>
              <w:jc w:val="center"/>
              <w:rPr>
                <w:rFonts w:ascii="Times New Roman" w:hAnsi="Times New Roman" w:cs="Times New Roman"/>
                <w:sz w:val="24"/>
                <w:szCs w:val="24"/>
              </w:rPr>
            </w:pPr>
            <w:r w:rsidRPr="008A4E00">
              <w:lastRenderedPageBreak/>
              <w:br w:type="page"/>
            </w:r>
            <w:r w:rsidRPr="008A4E00">
              <w:rPr>
                <w:rFonts w:ascii="Times New Roman" w:hAnsi="Times New Roman" w:cs="Times New Roman"/>
                <w:sz w:val="24"/>
                <w:szCs w:val="24"/>
              </w:rPr>
              <w:br w:type="page"/>
            </w:r>
            <w:r w:rsidRPr="008A4E00">
              <w:rPr>
                <w:noProof/>
              </w:rPr>
              <w:drawing>
                <wp:inline distT="0" distB="0" distL="0" distR="0" wp14:anchorId="36E0FB8C" wp14:editId="701EE905">
                  <wp:extent cx="1081405" cy="1081405"/>
                  <wp:effectExtent l="19050" t="0" r="4445" b="0"/>
                  <wp:docPr id="1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5"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230" w:type="dxa"/>
            <w:shd w:val="clear" w:color="auto" w:fill="auto"/>
            <w:vAlign w:val="center"/>
          </w:tcPr>
          <w:p w14:paraId="3D69280E" w14:textId="77777777" w:rsidR="007D39B6" w:rsidRPr="008A4E00" w:rsidRDefault="007D39B6" w:rsidP="008C6258">
            <w:pPr>
              <w:pStyle w:val="Header"/>
              <w:tabs>
                <w:tab w:val="left" w:pos="720"/>
              </w:tabs>
              <w:bidi w:val="0"/>
              <w:rPr>
                <w:rFonts w:ascii="Times New Roman" w:hAnsi="Times New Roman" w:cs="Times New Roman"/>
                <w:b/>
                <w:bCs/>
                <w:sz w:val="24"/>
                <w:szCs w:val="24"/>
              </w:rPr>
            </w:pPr>
            <w:r w:rsidRPr="008A4E00">
              <w:rPr>
                <w:rFonts w:ascii="Times New Roman" w:hAnsi="Times New Roman" w:cs="Times New Roman"/>
                <w:b/>
                <w:sz w:val="28"/>
                <w:szCs w:val="28"/>
              </w:rPr>
              <w:t xml:space="preserve">GOAL 2 – End Hunger, Achieve Food Security </w:t>
            </w:r>
            <w:r w:rsidR="00322753">
              <w:rPr>
                <w:rFonts w:ascii="Times New Roman" w:hAnsi="Times New Roman" w:cs="Times New Roman"/>
                <w:b/>
                <w:sz w:val="28"/>
                <w:szCs w:val="28"/>
              </w:rPr>
              <w:t>a</w:t>
            </w:r>
            <w:r w:rsidRPr="008A4E00">
              <w:rPr>
                <w:rFonts w:ascii="Times New Roman" w:hAnsi="Times New Roman" w:cs="Times New Roman"/>
                <w:b/>
                <w:sz w:val="28"/>
                <w:szCs w:val="28"/>
              </w:rPr>
              <w:t xml:space="preserve">nd Improved Nutrition </w:t>
            </w:r>
            <w:r w:rsidR="00322753">
              <w:rPr>
                <w:rFonts w:ascii="Times New Roman" w:hAnsi="Times New Roman" w:cs="Times New Roman"/>
                <w:b/>
                <w:sz w:val="28"/>
                <w:szCs w:val="28"/>
              </w:rPr>
              <w:t>a</w:t>
            </w:r>
            <w:r w:rsidRPr="008A4E00">
              <w:rPr>
                <w:rFonts w:ascii="Times New Roman" w:hAnsi="Times New Roman" w:cs="Times New Roman"/>
                <w:b/>
                <w:sz w:val="28"/>
                <w:szCs w:val="28"/>
              </w:rPr>
              <w:t>nd Promote Sustainable Agriculture</w:t>
            </w:r>
          </w:p>
        </w:tc>
      </w:tr>
    </w:tbl>
    <w:p w14:paraId="578EDFB2"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p>
    <w:p w14:paraId="1F28842F"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rPr>
      </w:pPr>
      <w:r w:rsidRPr="008A4E00">
        <w:rPr>
          <w:rFonts w:ascii="Times New Roman" w:hAnsi="Times New Roman" w:cs="Times New Roman"/>
          <w:b/>
          <w:bCs/>
          <w:sz w:val="24"/>
          <w:szCs w:val="24"/>
          <w:lang w:eastAsia="ar-SA"/>
        </w:rPr>
        <w:t>Introduction</w:t>
      </w:r>
      <w:r w:rsidRPr="008A4E00">
        <w:rPr>
          <w:rFonts w:ascii="Times New Roman" w:hAnsi="Times New Roman" w:cs="Times New Roman"/>
          <w:b/>
          <w:bCs/>
          <w:sz w:val="24"/>
          <w:szCs w:val="24"/>
        </w:rPr>
        <w:t xml:space="preserve"> to the Goal</w:t>
      </w:r>
    </w:p>
    <w:p w14:paraId="7063D4B7"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Goal 2 is intended to guarantee the whole of humanity </w:t>
      </w:r>
      <w:r w:rsidR="00322753">
        <w:rPr>
          <w:rFonts w:ascii="Times New Roman" w:hAnsi="Times New Roman" w:cs="Times New Roman"/>
          <w:sz w:val="24"/>
          <w:szCs w:val="24"/>
          <w:lang w:eastAsia="ar-SA"/>
        </w:rPr>
        <w:t xml:space="preserve">gains </w:t>
      </w:r>
      <w:r w:rsidRPr="008A4E00">
        <w:rPr>
          <w:rFonts w:ascii="Times New Roman" w:hAnsi="Times New Roman" w:cs="Times New Roman"/>
          <w:sz w:val="24"/>
          <w:szCs w:val="24"/>
          <w:lang w:eastAsia="ar-SA"/>
        </w:rPr>
        <w:t xml:space="preserve">access to healthy and nutritious food. Although the problems of hunger and food security are concentrated in developing countries, the strategy involves all countries of the world in an effort to improve the quantitative and qualitative aspects of nutrition and sustainable agriculture promotion. Various factors contribute to the implementation of this strategy, </w:t>
      </w:r>
      <w:r w:rsidR="00322753">
        <w:rPr>
          <w:rFonts w:ascii="Times New Roman" w:hAnsi="Times New Roman" w:cs="Times New Roman"/>
          <w:sz w:val="24"/>
          <w:szCs w:val="24"/>
          <w:lang w:eastAsia="ar-SA"/>
        </w:rPr>
        <w:t xml:space="preserve">which is </w:t>
      </w:r>
      <w:r w:rsidRPr="008A4E00">
        <w:rPr>
          <w:rFonts w:ascii="Times New Roman" w:hAnsi="Times New Roman" w:cs="Times New Roman"/>
          <w:sz w:val="24"/>
          <w:szCs w:val="24"/>
          <w:lang w:eastAsia="ar-SA"/>
        </w:rPr>
        <w:t>considered essential to guarantee</w:t>
      </w:r>
      <w:r w:rsidR="00322753">
        <w:rPr>
          <w:rFonts w:ascii="Times New Roman" w:hAnsi="Times New Roman" w:cs="Times New Roman"/>
          <w:sz w:val="24"/>
          <w:szCs w:val="24"/>
          <w:lang w:eastAsia="ar-SA"/>
        </w:rPr>
        <w:t>ing</w:t>
      </w:r>
      <w:r w:rsidRPr="008A4E00">
        <w:rPr>
          <w:rFonts w:ascii="Times New Roman" w:hAnsi="Times New Roman" w:cs="Times New Roman"/>
          <w:sz w:val="24"/>
          <w:szCs w:val="24"/>
          <w:lang w:eastAsia="ar-SA"/>
        </w:rPr>
        <w:t xml:space="preserve"> food security to a rapidly growing world population </w:t>
      </w:r>
      <w:r w:rsidRPr="00B70344">
        <w:rPr>
          <w:rFonts w:ascii="Times New Roman" w:hAnsi="Times New Roman" w:cs="Times New Roman"/>
          <w:sz w:val="24"/>
          <w:szCs w:val="24"/>
          <w:lang w:eastAsia="ar-SA"/>
        </w:rPr>
        <w:t>and the environmental sustainability of food production: from the proper functioning of the agricultural market to equitable access to land and to technology, from policies to support rural development to conservation of plant and animal genetic diversity.</w:t>
      </w:r>
    </w:p>
    <w:p w14:paraId="40E461EC"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p>
    <w:p w14:paraId="148D74E0"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Targets</w:t>
      </w:r>
    </w:p>
    <w:p w14:paraId="11C97C8F"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Goal 2 is broken down into </w:t>
      </w:r>
      <w:r w:rsidR="00322753">
        <w:rPr>
          <w:rFonts w:ascii="Times New Roman" w:hAnsi="Times New Roman" w:cs="Times New Roman"/>
          <w:sz w:val="24"/>
          <w:szCs w:val="24"/>
          <w:lang w:eastAsia="ar-SA"/>
        </w:rPr>
        <w:t>eightt</w:t>
      </w:r>
      <w:r w:rsidRPr="008A4E00">
        <w:rPr>
          <w:rFonts w:ascii="Times New Roman" w:hAnsi="Times New Roman" w:cs="Times New Roman"/>
          <w:sz w:val="24"/>
          <w:szCs w:val="24"/>
          <w:lang w:eastAsia="ar-SA"/>
        </w:rPr>
        <w:t xml:space="preserve">argets, of which the last </w:t>
      </w:r>
      <w:r w:rsidR="00322753">
        <w:rPr>
          <w:rFonts w:ascii="Times New Roman" w:hAnsi="Times New Roman" w:cs="Times New Roman"/>
          <w:sz w:val="24"/>
          <w:szCs w:val="24"/>
          <w:lang w:eastAsia="ar-SA"/>
        </w:rPr>
        <w:t>three</w:t>
      </w:r>
      <w:r w:rsidRPr="008A4E00">
        <w:rPr>
          <w:rFonts w:ascii="Times New Roman" w:hAnsi="Times New Roman" w:cs="Times New Roman"/>
          <w:sz w:val="24"/>
          <w:szCs w:val="24"/>
          <w:lang w:eastAsia="ar-SA"/>
        </w:rPr>
        <w:t xml:space="preserve"> refer to means of implementation:</w:t>
      </w:r>
    </w:p>
    <w:p w14:paraId="79BC42DA"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2.1</w:t>
      </w:r>
    </w:p>
    <w:p w14:paraId="465D9B48"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end hunger and ensure access by all people, in particular the poor and people in vulnerable situations including infants, to safe, nutritious and sufficient food all year round</w:t>
      </w:r>
    </w:p>
    <w:p w14:paraId="101AFD30"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766FE0B8"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2.2</w:t>
      </w:r>
    </w:p>
    <w:p w14:paraId="3D0CDB38"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end all forms of malnutrition, including achieving, by 2025, the internationally agreed targets on stunting and wasting in children under 5 years of age, and address the nutritional needs of adolescent girls, pregnant and la</w:t>
      </w:r>
      <w:r w:rsidR="007679D9">
        <w:rPr>
          <w:rFonts w:ascii="Times New Roman" w:hAnsi="Times New Roman" w:cs="Times New Roman"/>
          <w:sz w:val="24"/>
          <w:szCs w:val="24"/>
          <w:lang w:eastAsia="ar-SA"/>
        </w:rPr>
        <w:t>ctating women and older persons</w:t>
      </w:r>
      <w:r w:rsidR="00322753">
        <w:rPr>
          <w:rFonts w:ascii="Times New Roman" w:hAnsi="Times New Roman" w:cs="Times New Roman"/>
          <w:sz w:val="24"/>
          <w:szCs w:val="24"/>
          <w:lang w:eastAsia="ar-SA"/>
        </w:rPr>
        <w:t>.</w:t>
      </w:r>
    </w:p>
    <w:p w14:paraId="3142CE3C"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6AEE93EF"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2.3</w:t>
      </w:r>
    </w:p>
    <w:p w14:paraId="5DAE243E" w14:textId="77777777" w:rsidR="007D39B6" w:rsidRDefault="007D39B6" w:rsidP="007679D9">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double the agricultural productivity and incomes of small-scale food producers, in particular women, indigenous peoples, family farmers, pastoralists and fishers, including through secure and equal access to land, other productive resources and inputs, knowledge, financial services, markets and opportunities for value ad</w:t>
      </w:r>
      <w:r w:rsidR="007679D9">
        <w:rPr>
          <w:rFonts w:ascii="Times New Roman" w:hAnsi="Times New Roman" w:cs="Times New Roman"/>
          <w:sz w:val="24"/>
          <w:szCs w:val="24"/>
          <w:lang w:eastAsia="ar-SA"/>
        </w:rPr>
        <w:t>dition and non-farm employment</w:t>
      </w:r>
      <w:r w:rsidR="00AA1622">
        <w:rPr>
          <w:rFonts w:ascii="Times New Roman" w:hAnsi="Times New Roman" w:cs="Times New Roman"/>
          <w:sz w:val="24"/>
          <w:szCs w:val="24"/>
          <w:lang w:eastAsia="ar-SA"/>
        </w:rPr>
        <w:t>.</w:t>
      </w:r>
      <w:r w:rsidR="007679D9">
        <w:rPr>
          <w:rFonts w:ascii="Times New Roman" w:hAnsi="Times New Roman" w:cs="Times New Roman"/>
          <w:sz w:val="24"/>
          <w:szCs w:val="24"/>
          <w:lang w:eastAsia="ar-SA"/>
        </w:rPr>
        <w:t> </w:t>
      </w:r>
    </w:p>
    <w:p w14:paraId="7CB1586E"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3A9A621B"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2.4</w:t>
      </w:r>
    </w:p>
    <w:p w14:paraId="4FB2803F" w14:textId="77777777" w:rsidR="007D39B6" w:rsidRDefault="007D39B6" w:rsidP="007679D9">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ensure sustainable food production systems and implement resilient agricultural practices that increase productivity and production, that help maintain ecosystems, that strengthen capacity for adaptation to climate change, extreme weather, drought, flooding and other disasters and that progressivel</w:t>
      </w:r>
      <w:r w:rsidR="007679D9">
        <w:rPr>
          <w:rFonts w:ascii="Times New Roman" w:hAnsi="Times New Roman" w:cs="Times New Roman"/>
          <w:sz w:val="24"/>
          <w:szCs w:val="24"/>
          <w:lang w:eastAsia="ar-SA"/>
        </w:rPr>
        <w:t>y improve land and soil quality</w:t>
      </w:r>
      <w:r w:rsidR="00AA1622">
        <w:rPr>
          <w:rFonts w:ascii="Times New Roman" w:hAnsi="Times New Roman" w:cs="Times New Roman"/>
          <w:sz w:val="24"/>
          <w:szCs w:val="24"/>
          <w:lang w:eastAsia="ar-SA"/>
        </w:rPr>
        <w:t>.</w:t>
      </w:r>
    </w:p>
    <w:p w14:paraId="0DEED3F2"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1E45A356"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2.5</w:t>
      </w:r>
    </w:p>
    <w:p w14:paraId="7097EB76" w14:textId="77777777" w:rsidR="007679D9" w:rsidRDefault="007D39B6" w:rsidP="002F5480">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By </w:t>
      </w:r>
      <w:r w:rsidR="002F5480">
        <w:rPr>
          <w:rFonts w:ascii="Times New Roman" w:hAnsi="Times New Roman" w:cs="Times New Roman"/>
          <w:sz w:val="24"/>
          <w:szCs w:val="24"/>
          <w:lang w:eastAsia="ar-SA"/>
        </w:rPr>
        <w:t>2020</w:t>
      </w:r>
      <w:r w:rsidRPr="008A4E00">
        <w:rPr>
          <w:rFonts w:ascii="Times New Roman" w:hAnsi="Times New Roman" w:cs="Times New Roman"/>
          <w:sz w:val="24"/>
          <w:szCs w:val="24"/>
          <w:lang w:eastAsia="ar-SA"/>
        </w:rPr>
        <w:t>, maintain the genetic diversity of seeds, cultivated plants and farmed and domesticated animals and their related wild species, including through soundly managed and diversified seed and plant banks at the national, regional and international levels, and promote access to and fair and equitable sharing of benefits arising from the utilization of genetic resources and associated traditional knowledge, as interna</w:t>
      </w:r>
      <w:r w:rsidR="007679D9">
        <w:rPr>
          <w:rFonts w:ascii="Times New Roman" w:hAnsi="Times New Roman" w:cs="Times New Roman"/>
          <w:sz w:val="24"/>
          <w:szCs w:val="24"/>
          <w:lang w:eastAsia="ar-SA"/>
        </w:rPr>
        <w:t>tionally agreed</w:t>
      </w:r>
      <w:r w:rsidR="00AA1622">
        <w:rPr>
          <w:rFonts w:ascii="Times New Roman" w:hAnsi="Times New Roman" w:cs="Times New Roman"/>
          <w:sz w:val="24"/>
          <w:szCs w:val="24"/>
          <w:lang w:eastAsia="ar-SA"/>
        </w:rPr>
        <w:t>.</w:t>
      </w:r>
    </w:p>
    <w:p w14:paraId="0F310A2D"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67602102" w14:textId="77777777" w:rsidR="007D39B6" w:rsidRPr="007679D9" w:rsidRDefault="007D39B6" w:rsidP="007679D9">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b/>
          <w:bCs/>
          <w:sz w:val="24"/>
          <w:szCs w:val="24"/>
          <w:lang w:eastAsia="ar-SA"/>
        </w:rPr>
        <w:t>2.a</w:t>
      </w:r>
    </w:p>
    <w:p w14:paraId="6DDF408F"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Increase investment, including through enhanced international cooperation, in rural infrastructure, agricultural research and extension services, technology development and plant and livestock gene banks in order to enhance agricultural productive capacity in developing countries, in parti</w:t>
      </w:r>
      <w:r w:rsidR="007679D9">
        <w:rPr>
          <w:rFonts w:ascii="Times New Roman" w:hAnsi="Times New Roman" w:cs="Times New Roman"/>
          <w:sz w:val="24"/>
          <w:szCs w:val="24"/>
          <w:lang w:eastAsia="ar-SA"/>
        </w:rPr>
        <w:t>cular least developed countries</w:t>
      </w:r>
      <w:r w:rsidR="00AA1622">
        <w:rPr>
          <w:rFonts w:ascii="Times New Roman" w:hAnsi="Times New Roman" w:cs="Times New Roman"/>
          <w:sz w:val="24"/>
          <w:szCs w:val="24"/>
          <w:lang w:eastAsia="ar-SA"/>
        </w:rPr>
        <w:t>.</w:t>
      </w:r>
    </w:p>
    <w:p w14:paraId="28BCB14D"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69EA9A7B"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lastRenderedPageBreak/>
        <w:t>2.b</w:t>
      </w:r>
    </w:p>
    <w:p w14:paraId="683553C5" w14:textId="77777777" w:rsidR="007D39B6" w:rsidRDefault="007D39B6" w:rsidP="007679D9">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Correct and prevent trade restrictions and distortions in world agricultural markets, including through the parallel elimination of all forms of agricultural export subsidies and all export measures with equivalent effect, in accordance with the mandat</w:t>
      </w:r>
      <w:r w:rsidR="007679D9">
        <w:rPr>
          <w:rFonts w:ascii="Times New Roman" w:hAnsi="Times New Roman" w:cs="Times New Roman"/>
          <w:sz w:val="24"/>
          <w:szCs w:val="24"/>
          <w:lang w:eastAsia="ar-SA"/>
        </w:rPr>
        <w:t>e of the Doha Development Round</w:t>
      </w:r>
      <w:r w:rsidR="00AA1622">
        <w:rPr>
          <w:rFonts w:ascii="Times New Roman" w:hAnsi="Times New Roman" w:cs="Times New Roman"/>
          <w:sz w:val="24"/>
          <w:szCs w:val="24"/>
          <w:lang w:eastAsia="ar-SA"/>
        </w:rPr>
        <w:t>.</w:t>
      </w:r>
    </w:p>
    <w:p w14:paraId="60DBACC4"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667FD33C"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2.c</w:t>
      </w:r>
    </w:p>
    <w:p w14:paraId="50D7A48D"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Adopt measures to ensure the proper functioning of food commodity markets and their derivatives and facilitate timely access to market information, including on food reserves, in order to help limit extreme food price volatility</w:t>
      </w:r>
      <w:r w:rsidR="00AA1622">
        <w:rPr>
          <w:rFonts w:ascii="Times New Roman" w:hAnsi="Times New Roman" w:cs="Times New Roman"/>
          <w:sz w:val="24"/>
          <w:szCs w:val="24"/>
          <w:lang w:eastAsia="ar-SA"/>
        </w:rPr>
        <w:t>.</w:t>
      </w:r>
    </w:p>
    <w:p w14:paraId="7BD08372"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p>
    <w:p w14:paraId="094F9E89" w14:textId="77777777" w:rsidR="007D39B6" w:rsidRPr="00500C94" w:rsidRDefault="007D39B6" w:rsidP="00FB1314">
      <w:pPr>
        <w:pStyle w:val="ListParagraph"/>
        <w:numPr>
          <w:ilvl w:val="0"/>
          <w:numId w:val="10"/>
        </w:numPr>
        <w:spacing w:after="0" w:line="240" w:lineRule="auto"/>
        <w:ind w:right="-334"/>
        <w:jc w:val="both"/>
        <w:rPr>
          <w:rFonts w:ascii="Times New Roman" w:hAnsi="Times New Roman" w:cs="Times New Roman"/>
          <w:b/>
          <w:bCs/>
          <w:sz w:val="24"/>
          <w:szCs w:val="24"/>
          <w:lang w:eastAsia="ar-SA"/>
        </w:rPr>
      </w:pPr>
      <w:r w:rsidRPr="00500C94">
        <w:rPr>
          <w:rFonts w:ascii="Times New Roman" w:hAnsi="Times New Roman" w:cs="Times New Roman"/>
          <w:b/>
          <w:bCs/>
          <w:sz w:val="24"/>
          <w:szCs w:val="24"/>
          <w:lang w:eastAsia="ar-SA"/>
        </w:rPr>
        <w:t>Indicators released by PCBS</w:t>
      </w:r>
    </w:p>
    <w:p w14:paraId="4E819375"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There are </w:t>
      </w:r>
      <w:r w:rsidR="00AA1622">
        <w:rPr>
          <w:rFonts w:ascii="Times New Roman" w:hAnsi="Times New Roman" w:cs="Times New Roman"/>
          <w:sz w:val="24"/>
          <w:szCs w:val="24"/>
          <w:lang w:eastAsia="ar-SA"/>
        </w:rPr>
        <w:t>five</w:t>
      </w:r>
      <w:r w:rsidRPr="008A4E00">
        <w:rPr>
          <w:rFonts w:ascii="Times New Roman" w:hAnsi="Times New Roman" w:cs="Times New Roman"/>
          <w:sz w:val="24"/>
          <w:szCs w:val="24"/>
          <w:lang w:eastAsia="ar-SA"/>
        </w:rPr>
        <w:t>indicators released by PCBS for Goal 2, represent</w:t>
      </w:r>
      <w:r w:rsidR="00AA1622">
        <w:rPr>
          <w:rFonts w:ascii="Times New Roman" w:hAnsi="Times New Roman" w:cs="Times New Roman"/>
          <w:sz w:val="24"/>
          <w:szCs w:val="24"/>
          <w:lang w:eastAsia="ar-SA"/>
        </w:rPr>
        <w:t>ing</w:t>
      </w:r>
      <w:r w:rsidRPr="008A4E00">
        <w:rPr>
          <w:rFonts w:ascii="Times New Roman" w:hAnsi="Times New Roman" w:cs="Times New Roman"/>
          <w:sz w:val="24"/>
          <w:szCs w:val="24"/>
          <w:lang w:eastAsia="ar-SA"/>
        </w:rPr>
        <w:t xml:space="preserve"> 11data point, referring to </w:t>
      </w:r>
      <w:r w:rsidR="00AA1622">
        <w:rPr>
          <w:rFonts w:ascii="Times New Roman" w:hAnsi="Times New Roman" w:cs="Times New Roman"/>
          <w:sz w:val="24"/>
          <w:szCs w:val="24"/>
          <w:lang w:eastAsia="ar-SA"/>
        </w:rPr>
        <w:t>four</w:t>
      </w:r>
      <w:r w:rsidRPr="008A4E00">
        <w:rPr>
          <w:rFonts w:ascii="Times New Roman" w:hAnsi="Times New Roman" w:cs="Times New Roman"/>
          <w:sz w:val="24"/>
          <w:szCs w:val="24"/>
          <w:lang w:eastAsia="ar-SA"/>
        </w:rPr>
        <w:t xml:space="preserve"> of the </w:t>
      </w:r>
      <w:r w:rsidR="00AA1622">
        <w:rPr>
          <w:rFonts w:ascii="Times New Roman" w:hAnsi="Times New Roman" w:cs="Times New Roman"/>
          <w:sz w:val="24"/>
          <w:szCs w:val="24"/>
          <w:lang w:eastAsia="ar-SA"/>
        </w:rPr>
        <w:t>eight</w:t>
      </w:r>
      <w:r w:rsidRPr="008A4E00">
        <w:rPr>
          <w:rFonts w:ascii="Times New Roman" w:hAnsi="Times New Roman" w:cs="Times New Roman"/>
          <w:sz w:val="24"/>
          <w:szCs w:val="24"/>
          <w:lang w:eastAsia="ar-SA"/>
        </w:rPr>
        <w:t xml:space="preserve"> targets.</w:t>
      </w:r>
    </w:p>
    <w:p w14:paraId="5C02D75A" w14:textId="77777777" w:rsidR="00AA1622" w:rsidRPr="008A4E00" w:rsidRDefault="00AA1622" w:rsidP="00AA1622">
      <w:pPr>
        <w:bidi w:val="0"/>
        <w:spacing w:after="0" w:line="240" w:lineRule="auto"/>
        <w:ind w:right="-334"/>
        <w:jc w:val="both"/>
        <w:rPr>
          <w:rFonts w:ascii="Times New Roman" w:hAnsi="Times New Roman" w:cs="Times New Roman"/>
          <w:sz w:val="24"/>
          <w:szCs w:val="24"/>
          <w:lang w:eastAsia="ar-SA"/>
        </w:rPr>
      </w:pPr>
    </w:p>
    <w:p w14:paraId="740C8E74" w14:textId="77777777" w:rsidR="007D39B6" w:rsidRPr="008432F0" w:rsidRDefault="007D39B6" w:rsidP="008C6258">
      <w:pPr>
        <w:pStyle w:val="ListParagraph"/>
        <w:tabs>
          <w:tab w:val="left" w:pos="9072"/>
        </w:tabs>
        <w:spacing w:after="0" w:line="240" w:lineRule="auto"/>
        <w:ind w:left="502"/>
        <w:jc w:val="center"/>
        <w:rPr>
          <w:rFonts w:ascii="Arial" w:hAnsi="Arial"/>
          <w:b/>
          <w:bCs/>
        </w:rPr>
      </w:pPr>
      <w:r w:rsidRPr="008432F0">
        <w:rPr>
          <w:rFonts w:ascii="Arial" w:hAnsi="Arial"/>
          <w:b/>
          <w:bCs/>
        </w:rPr>
        <w:t>Table 2.1: List of SDGs Indicators Released by PCBS</w:t>
      </w:r>
    </w:p>
    <w:p w14:paraId="20C1F486" w14:textId="77777777" w:rsidR="007D39B6" w:rsidRPr="008A4E00" w:rsidRDefault="007D39B6" w:rsidP="008C6258">
      <w:pPr>
        <w:tabs>
          <w:tab w:val="left" w:pos="9072"/>
        </w:tabs>
        <w:bidi w:val="0"/>
        <w:spacing w:after="0" w:line="240" w:lineRule="auto"/>
        <w:ind w:firstLine="142"/>
        <w:jc w:val="center"/>
        <w:rPr>
          <w:rFonts w:ascii="Arial" w:hAnsi="Arial"/>
          <w:b/>
          <w:bCs/>
          <w:sz w:val="12"/>
          <w:szCs w:val="12"/>
        </w:rPr>
      </w:pPr>
    </w:p>
    <w:tbl>
      <w:tblPr>
        <w:tblW w:w="10349"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3"/>
        <w:gridCol w:w="1436"/>
        <w:gridCol w:w="1563"/>
        <w:gridCol w:w="1524"/>
        <w:gridCol w:w="1213"/>
      </w:tblGrid>
      <w:tr w:rsidR="007D39B6" w:rsidRPr="00184EED" w14:paraId="192180F7" w14:textId="77777777" w:rsidTr="000B381B">
        <w:trPr>
          <w:trHeight w:val="504"/>
        </w:trPr>
        <w:tc>
          <w:tcPr>
            <w:tcW w:w="4613" w:type="dxa"/>
            <w:tcBorders>
              <w:bottom w:val="single" w:sz="4" w:space="0" w:color="auto"/>
            </w:tcBorders>
            <w:shd w:val="clear" w:color="auto" w:fill="auto"/>
            <w:noWrap/>
            <w:vAlign w:val="center"/>
            <w:hideMark/>
          </w:tcPr>
          <w:p w14:paraId="4BCE803C" w14:textId="77777777" w:rsidR="007D39B6" w:rsidRPr="00184EED" w:rsidRDefault="007D39B6" w:rsidP="008C6258">
            <w:pPr>
              <w:tabs>
                <w:tab w:val="left" w:pos="9072"/>
              </w:tabs>
              <w:bidi w:val="0"/>
              <w:spacing w:after="0" w:line="240" w:lineRule="auto"/>
              <w:jc w:val="center"/>
              <w:rPr>
                <w:rFonts w:asciiTheme="minorBidi" w:hAnsiTheme="minorBidi" w:cstheme="minorBidi"/>
                <w:b/>
                <w:bCs/>
                <w:sz w:val="18"/>
                <w:szCs w:val="18"/>
              </w:rPr>
            </w:pPr>
            <w:r w:rsidRPr="00184EED">
              <w:rPr>
                <w:rFonts w:asciiTheme="minorBidi" w:hAnsiTheme="minorBidi" w:cstheme="minorBidi"/>
                <w:b/>
                <w:bCs/>
                <w:sz w:val="18"/>
                <w:szCs w:val="18"/>
              </w:rPr>
              <w:t>Indicators</w:t>
            </w:r>
          </w:p>
        </w:tc>
        <w:tc>
          <w:tcPr>
            <w:tcW w:w="1436" w:type="dxa"/>
            <w:tcBorders>
              <w:bottom w:val="single" w:sz="4" w:space="0" w:color="auto"/>
            </w:tcBorders>
            <w:shd w:val="clear" w:color="auto" w:fill="auto"/>
            <w:noWrap/>
            <w:vAlign w:val="center"/>
            <w:hideMark/>
          </w:tcPr>
          <w:p w14:paraId="4C1A698B" w14:textId="77777777" w:rsidR="007D39B6" w:rsidRPr="00184EED" w:rsidRDefault="007D39B6" w:rsidP="008C6258">
            <w:pPr>
              <w:tabs>
                <w:tab w:val="left" w:pos="9072"/>
              </w:tabs>
              <w:bidi w:val="0"/>
              <w:spacing w:after="0" w:line="240" w:lineRule="auto"/>
              <w:jc w:val="center"/>
              <w:rPr>
                <w:rFonts w:asciiTheme="minorBidi" w:hAnsiTheme="minorBidi" w:cstheme="minorBidi"/>
                <w:b/>
                <w:bCs/>
                <w:sz w:val="18"/>
                <w:szCs w:val="18"/>
              </w:rPr>
            </w:pPr>
            <w:r w:rsidRPr="00184EED">
              <w:rPr>
                <w:rStyle w:val="Bodytext8ptBoldSpacing0pt2"/>
                <w:rFonts w:asciiTheme="minorBidi" w:eastAsia="Calibri" w:hAnsiTheme="minorBidi" w:cstheme="minorBidi"/>
                <w:color w:val="auto"/>
                <w:sz w:val="18"/>
                <w:szCs w:val="18"/>
              </w:rPr>
              <w:t xml:space="preserve">Referring to the SDG </w:t>
            </w:r>
            <w:r w:rsidR="00AA1622">
              <w:rPr>
                <w:rStyle w:val="Bodytext8ptBoldSpacing0pt2"/>
                <w:rFonts w:asciiTheme="minorBidi" w:eastAsia="Calibri" w:hAnsiTheme="minorBidi" w:cstheme="minorBidi"/>
                <w:color w:val="auto"/>
                <w:sz w:val="18"/>
                <w:szCs w:val="18"/>
              </w:rPr>
              <w:t>i</w:t>
            </w:r>
            <w:r w:rsidRPr="00184EED">
              <w:rPr>
                <w:rStyle w:val="Bodytext8ptBoldSpacing0pt2"/>
                <w:rFonts w:asciiTheme="minorBidi" w:eastAsia="Calibri" w:hAnsiTheme="minorBidi" w:cstheme="minorBidi"/>
                <w:color w:val="auto"/>
                <w:sz w:val="18"/>
                <w:szCs w:val="18"/>
              </w:rPr>
              <w:t>ndicator</w:t>
            </w:r>
          </w:p>
        </w:tc>
        <w:tc>
          <w:tcPr>
            <w:tcW w:w="1563" w:type="dxa"/>
            <w:tcBorders>
              <w:bottom w:val="single" w:sz="4" w:space="0" w:color="auto"/>
            </w:tcBorders>
            <w:vAlign w:val="center"/>
          </w:tcPr>
          <w:p w14:paraId="2C4FDAFB" w14:textId="77777777" w:rsidR="007D39B6" w:rsidRPr="00184EED" w:rsidRDefault="007D39B6" w:rsidP="008C6258">
            <w:pPr>
              <w:tabs>
                <w:tab w:val="left" w:pos="9072"/>
              </w:tabs>
              <w:bidi w:val="0"/>
              <w:spacing w:after="0" w:line="240" w:lineRule="auto"/>
              <w:jc w:val="center"/>
              <w:rPr>
                <w:rStyle w:val="Bodytext8ptBoldSpacing0pt2"/>
                <w:rFonts w:asciiTheme="minorBidi" w:eastAsia="Calibri" w:hAnsiTheme="minorBidi" w:cstheme="minorBidi"/>
                <w:color w:val="auto"/>
                <w:sz w:val="18"/>
                <w:szCs w:val="18"/>
              </w:rPr>
            </w:pPr>
            <w:r w:rsidRPr="00184EED">
              <w:rPr>
                <w:rStyle w:val="Bodytext8ptBoldSpacing0pt2"/>
                <w:rFonts w:asciiTheme="minorBidi" w:eastAsia="Calibri" w:hAnsiTheme="minorBidi" w:cstheme="minorBidi"/>
                <w:color w:val="auto"/>
                <w:sz w:val="18"/>
                <w:szCs w:val="18"/>
              </w:rPr>
              <w:t>Previous year data</w:t>
            </w:r>
          </w:p>
        </w:tc>
        <w:tc>
          <w:tcPr>
            <w:tcW w:w="1524" w:type="dxa"/>
            <w:tcBorders>
              <w:bottom w:val="single" w:sz="4" w:space="0" w:color="auto"/>
            </w:tcBorders>
            <w:shd w:val="clear" w:color="auto" w:fill="auto"/>
            <w:noWrap/>
            <w:vAlign w:val="center"/>
            <w:hideMark/>
          </w:tcPr>
          <w:p w14:paraId="0E908EBA" w14:textId="77777777" w:rsidR="007D39B6" w:rsidRPr="00184EED" w:rsidRDefault="007D39B6" w:rsidP="008C6258">
            <w:pPr>
              <w:tabs>
                <w:tab w:val="left" w:pos="9072"/>
              </w:tabs>
              <w:bidi w:val="0"/>
              <w:spacing w:after="0" w:line="240" w:lineRule="auto"/>
              <w:jc w:val="center"/>
              <w:rPr>
                <w:rFonts w:asciiTheme="minorBidi" w:hAnsiTheme="minorBidi" w:cstheme="minorBidi"/>
                <w:b/>
                <w:bCs/>
                <w:sz w:val="18"/>
                <w:szCs w:val="18"/>
              </w:rPr>
            </w:pPr>
            <w:r w:rsidRPr="00184EED">
              <w:rPr>
                <w:rStyle w:val="Bodytext8ptBoldSpacing0pt2"/>
                <w:rFonts w:asciiTheme="minorBidi" w:eastAsia="Calibri" w:hAnsiTheme="minorBidi" w:cstheme="minorBidi"/>
                <w:color w:val="auto"/>
                <w:sz w:val="18"/>
                <w:szCs w:val="18"/>
              </w:rPr>
              <w:t xml:space="preserve">Last </w:t>
            </w:r>
            <w:r w:rsidR="00AA1622">
              <w:rPr>
                <w:rStyle w:val="Bodytext8ptBoldSpacing0pt2"/>
                <w:rFonts w:asciiTheme="minorBidi" w:eastAsia="Calibri" w:hAnsiTheme="minorBidi" w:cstheme="minorBidi"/>
                <w:color w:val="auto"/>
                <w:sz w:val="18"/>
                <w:szCs w:val="18"/>
              </w:rPr>
              <w:t>a</w:t>
            </w:r>
            <w:r w:rsidRPr="00184EED">
              <w:rPr>
                <w:rStyle w:val="Bodytext8ptBoldSpacing0pt2"/>
                <w:rFonts w:asciiTheme="minorBidi" w:eastAsia="Calibri" w:hAnsiTheme="minorBidi" w:cstheme="minorBidi"/>
                <w:color w:val="auto"/>
                <w:sz w:val="18"/>
                <w:szCs w:val="18"/>
              </w:rPr>
              <w:t xml:space="preserve">vailable </w:t>
            </w:r>
            <w:r w:rsidR="00AA1622">
              <w:rPr>
                <w:rStyle w:val="Bodytext8ptBoldSpacing0pt2"/>
                <w:rFonts w:asciiTheme="minorBidi" w:eastAsia="Calibri" w:hAnsiTheme="minorBidi" w:cstheme="minorBidi"/>
                <w:color w:val="auto"/>
                <w:sz w:val="18"/>
                <w:szCs w:val="18"/>
              </w:rPr>
              <w:t>v</w:t>
            </w:r>
            <w:r w:rsidRPr="00184EED">
              <w:rPr>
                <w:rStyle w:val="Bodytext8ptBoldSpacing0pt2"/>
                <w:rFonts w:asciiTheme="minorBidi" w:eastAsia="Calibri" w:hAnsiTheme="minorBidi" w:cstheme="minorBidi"/>
                <w:color w:val="auto"/>
                <w:sz w:val="18"/>
                <w:szCs w:val="18"/>
              </w:rPr>
              <w:t>alue</w:t>
            </w:r>
          </w:p>
        </w:tc>
        <w:tc>
          <w:tcPr>
            <w:tcW w:w="1213" w:type="dxa"/>
            <w:tcBorders>
              <w:bottom w:val="single" w:sz="4" w:space="0" w:color="auto"/>
            </w:tcBorders>
            <w:vAlign w:val="center"/>
          </w:tcPr>
          <w:p w14:paraId="5AC02A3E" w14:textId="77777777" w:rsidR="007D39B6" w:rsidRPr="00184EED" w:rsidRDefault="007D39B6" w:rsidP="008C6258">
            <w:pPr>
              <w:tabs>
                <w:tab w:val="left" w:pos="9072"/>
              </w:tabs>
              <w:bidi w:val="0"/>
              <w:spacing w:after="0" w:line="240" w:lineRule="auto"/>
              <w:jc w:val="center"/>
              <w:rPr>
                <w:rStyle w:val="Bodytext8ptBoldSpacing0pt2"/>
                <w:rFonts w:asciiTheme="minorBidi" w:eastAsia="Calibri" w:hAnsiTheme="minorBidi" w:cstheme="minorBidi"/>
                <w:color w:val="auto"/>
                <w:sz w:val="18"/>
                <w:szCs w:val="18"/>
                <w:lang w:val="en-US"/>
              </w:rPr>
            </w:pPr>
            <w:r w:rsidRPr="00184EED">
              <w:rPr>
                <w:rFonts w:asciiTheme="minorBidi" w:hAnsiTheme="minorBidi" w:cstheme="minorBidi"/>
                <w:b/>
                <w:bCs/>
                <w:sz w:val="18"/>
                <w:szCs w:val="18"/>
              </w:rPr>
              <w:t>Compared to the previous data point</w:t>
            </w:r>
          </w:p>
        </w:tc>
      </w:tr>
      <w:tr w:rsidR="007D39B6" w:rsidRPr="00184EED" w14:paraId="3B590E3C" w14:textId="77777777" w:rsidTr="000B381B">
        <w:trPr>
          <w:trHeight w:val="389"/>
        </w:trPr>
        <w:tc>
          <w:tcPr>
            <w:tcW w:w="4613" w:type="dxa"/>
            <w:tcBorders>
              <w:bottom w:val="nil"/>
            </w:tcBorders>
            <w:shd w:val="clear" w:color="auto" w:fill="auto"/>
            <w:vAlign w:val="center"/>
            <w:hideMark/>
          </w:tcPr>
          <w:p w14:paraId="355D418C" w14:textId="77777777" w:rsidR="007D39B6" w:rsidRPr="00184EED" w:rsidRDefault="007D39B6" w:rsidP="008C6258">
            <w:pPr>
              <w:bidi w:val="0"/>
              <w:spacing w:after="0" w:line="240" w:lineRule="auto"/>
              <w:jc w:val="both"/>
              <w:rPr>
                <w:rFonts w:asciiTheme="minorBidi" w:hAnsiTheme="minorBidi" w:cstheme="minorBidi"/>
                <w:sz w:val="18"/>
                <w:szCs w:val="18"/>
                <w:rtl/>
              </w:rPr>
            </w:pPr>
            <w:r w:rsidRPr="00184EED">
              <w:rPr>
                <w:rFonts w:asciiTheme="minorBidi" w:hAnsiTheme="minorBidi" w:cstheme="minorBidi"/>
                <w:b/>
                <w:sz w:val="18"/>
                <w:szCs w:val="18"/>
              </w:rPr>
              <w:t>Indicator</w:t>
            </w:r>
            <w:r w:rsidRPr="00184EED">
              <w:rPr>
                <w:rFonts w:asciiTheme="minorBidi" w:hAnsiTheme="minorBidi" w:cstheme="minorBidi"/>
                <w:b/>
                <w:bCs/>
                <w:sz w:val="18"/>
                <w:szCs w:val="18"/>
              </w:rPr>
              <w:t xml:space="preserve"> 2.1.2 </w:t>
            </w:r>
            <w:r w:rsidRPr="00184EED">
              <w:rPr>
                <w:rFonts w:asciiTheme="minorBidi" w:hAnsiTheme="minorBidi" w:cstheme="minorBidi"/>
                <w:sz w:val="18"/>
                <w:szCs w:val="18"/>
              </w:rPr>
              <w:t>Prevalence of moderate or severe food insecurity in the population, based on the Food Insecurity Experience Scale (FIES)</w:t>
            </w:r>
          </w:p>
        </w:tc>
        <w:tc>
          <w:tcPr>
            <w:tcW w:w="1436" w:type="dxa"/>
            <w:tcBorders>
              <w:bottom w:val="nil"/>
            </w:tcBorders>
            <w:shd w:val="clear" w:color="auto" w:fill="auto"/>
            <w:noWrap/>
            <w:hideMark/>
          </w:tcPr>
          <w:p w14:paraId="55A86C14" w14:textId="77777777" w:rsidR="007D39B6" w:rsidRPr="00184EED" w:rsidRDefault="007D39B6" w:rsidP="008C6258">
            <w:pPr>
              <w:bidi w:val="0"/>
              <w:spacing w:after="0" w:line="240" w:lineRule="auto"/>
              <w:jc w:val="center"/>
              <w:rPr>
                <w:rFonts w:asciiTheme="minorBidi" w:hAnsiTheme="minorBidi" w:cstheme="minorBidi"/>
                <w:sz w:val="18"/>
                <w:szCs w:val="18"/>
              </w:rPr>
            </w:pPr>
          </w:p>
        </w:tc>
        <w:tc>
          <w:tcPr>
            <w:tcW w:w="1563" w:type="dxa"/>
            <w:tcBorders>
              <w:bottom w:val="nil"/>
            </w:tcBorders>
          </w:tcPr>
          <w:p w14:paraId="39471B66" w14:textId="77777777" w:rsidR="007D39B6" w:rsidRPr="00184EED" w:rsidRDefault="007D39B6" w:rsidP="008C6258">
            <w:pPr>
              <w:bidi w:val="0"/>
              <w:spacing w:after="0" w:line="240" w:lineRule="auto"/>
              <w:ind w:left="113"/>
              <w:jc w:val="center"/>
              <w:rPr>
                <w:rFonts w:asciiTheme="minorBidi" w:hAnsiTheme="minorBidi" w:cstheme="minorBidi"/>
                <w:sz w:val="18"/>
                <w:szCs w:val="18"/>
              </w:rPr>
            </w:pPr>
          </w:p>
        </w:tc>
        <w:tc>
          <w:tcPr>
            <w:tcW w:w="1524" w:type="dxa"/>
            <w:tcBorders>
              <w:bottom w:val="nil"/>
            </w:tcBorders>
            <w:shd w:val="clear" w:color="auto" w:fill="auto"/>
            <w:noWrap/>
            <w:hideMark/>
          </w:tcPr>
          <w:p w14:paraId="77F2F39D" w14:textId="77777777" w:rsidR="007D39B6" w:rsidRPr="00184EED" w:rsidRDefault="007D39B6" w:rsidP="008C6258">
            <w:pPr>
              <w:bidi w:val="0"/>
              <w:spacing w:after="0" w:line="240" w:lineRule="auto"/>
              <w:ind w:left="113"/>
              <w:jc w:val="center"/>
              <w:rPr>
                <w:rFonts w:asciiTheme="minorBidi" w:hAnsiTheme="minorBidi" w:cstheme="minorBidi"/>
                <w:sz w:val="18"/>
                <w:szCs w:val="18"/>
              </w:rPr>
            </w:pPr>
          </w:p>
        </w:tc>
        <w:tc>
          <w:tcPr>
            <w:tcW w:w="1213" w:type="dxa"/>
            <w:tcBorders>
              <w:bottom w:val="nil"/>
            </w:tcBorders>
          </w:tcPr>
          <w:p w14:paraId="3E78CCE4" w14:textId="77777777" w:rsidR="007D39B6" w:rsidRPr="00184EED" w:rsidRDefault="007D39B6" w:rsidP="008C6258">
            <w:pPr>
              <w:bidi w:val="0"/>
              <w:spacing w:after="0" w:line="240" w:lineRule="auto"/>
              <w:ind w:left="113"/>
              <w:jc w:val="center"/>
              <w:rPr>
                <w:rFonts w:asciiTheme="minorBidi" w:hAnsiTheme="minorBidi" w:cstheme="minorBidi"/>
                <w:sz w:val="18"/>
                <w:szCs w:val="18"/>
              </w:rPr>
            </w:pPr>
          </w:p>
        </w:tc>
      </w:tr>
      <w:tr w:rsidR="007D39B6" w:rsidRPr="00184EED" w14:paraId="358556BB" w14:textId="77777777" w:rsidTr="000B381B">
        <w:trPr>
          <w:trHeight w:val="389"/>
        </w:trPr>
        <w:tc>
          <w:tcPr>
            <w:tcW w:w="4613" w:type="dxa"/>
            <w:tcBorders>
              <w:top w:val="nil"/>
              <w:bottom w:val="nil"/>
            </w:tcBorders>
            <w:shd w:val="clear" w:color="auto" w:fill="auto"/>
            <w:noWrap/>
            <w:hideMark/>
          </w:tcPr>
          <w:p w14:paraId="6283F19B" w14:textId="77777777" w:rsidR="007D39B6" w:rsidRPr="00184EED" w:rsidRDefault="007D39B6"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Prevalence of moderate</w:t>
            </w:r>
            <w:r w:rsidR="007135F2" w:rsidRPr="00184EED">
              <w:rPr>
                <w:rFonts w:asciiTheme="minorBidi" w:hAnsiTheme="minorBidi" w:cstheme="minorBidi"/>
                <w:sz w:val="18"/>
                <w:szCs w:val="18"/>
              </w:rPr>
              <w:t>or severe</w:t>
            </w:r>
            <w:r w:rsidRPr="00184EED">
              <w:rPr>
                <w:rFonts w:asciiTheme="minorBidi" w:hAnsiTheme="minorBidi" w:cstheme="minorBidi"/>
                <w:sz w:val="18"/>
                <w:szCs w:val="18"/>
              </w:rPr>
              <w:t xml:space="preserve">  food insecurity (FAO, </w:t>
            </w:r>
            <w:r w:rsidR="008432F0" w:rsidRPr="00184EED">
              <w:rPr>
                <w:rFonts w:asciiTheme="minorBidi" w:hAnsiTheme="minorBidi" w:cstheme="minorBidi"/>
                <w:sz w:val="18"/>
                <w:szCs w:val="18"/>
              </w:rPr>
              <w:t>2020</w:t>
            </w:r>
            <w:r w:rsidRPr="00184EED">
              <w:rPr>
                <w:rFonts w:asciiTheme="minorBidi" w:hAnsiTheme="minorBidi" w:cstheme="minorBidi"/>
                <w:sz w:val="18"/>
                <w:szCs w:val="18"/>
              </w:rPr>
              <w:t>, Percentage)</w:t>
            </w:r>
          </w:p>
        </w:tc>
        <w:tc>
          <w:tcPr>
            <w:tcW w:w="1436" w:type="dxa"/>
            <w:tcBorders>
              <w:top w:val="nil"/>
              <w:bottom w:val="nil"/>
            </w:tcBorders>
            <w:shd w:val="clear" w:color="auto" w:fill="auto"/>
            <w:noWrap/>
            <w:hideMark/>
          </w:tcPr>
          <w:p w14:paraId="7AD8B107" w14:textId="77777777" w:rsidR="007D39B6" w:rsidRPr="00184EED" w:rsidRDefault="007D39B6" w:rsidP="008C6258">
            <w:pPr>
              <w:tabs>
                <w:tab w:val="left" w:pos="9072"/>
              </w:tabs>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63" w:type="dxa"/>
            <w:tcBorders>
              <w:top w:val="nil"/>
              <w:bottom w:val="nil"/>
            </w:tcBorders>
          </w:tcPr>
          <w:p w14:paraId="660C650F"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26.3 (201</w:t>
            </w:r>
            <w:r w:rsidR="00477E79" w:rsidRPr="00184EED">
              <w:rPr>
                <w:rFonts w:asciiTheme="minorBidi" w:hAnsiTheme="minorBidi" w:cstheme="minorBidi"/>
                <w:sz w:val="18"/>
                <w:szCs w:val="18"/>
              </w:rPr>
              <w:t>9</w:t>
            </w:r>
            <w:r w:rsidRPr="00184EED">
              <w:rPr>
                <w:rFonts w:asciiTheme="minorBidi" w:hAnsiTheme="minorBidi" w:cstheme="minorBidi"/>
                <w:sz w:val="18"/>
                <w:szCs w:val="18"/>
              </w:rPr>
              <w:t>)</w:t>
            </w:r>
          </w:p>
        </w:tc>
        <w:tc>
          <w:tcPr>
            <w:tcW w:w="1524" w:type="dxa"/>
            <w:tcBorders>
              <w:top w:val="nil"/>
              <w:bottom w:val="nil"/>
            </w:tcBorders>
            <w:shd w:val="clear" w:color="auto" w:fill="auto"/>
            <w:noWrap/>
            <w:hideMark/>
          </w:tcPr>
          <w:p w14:paraId="048DD2AF" w14:textId="77777777" w:rsidR="007D39B6" w:rsidRPr="00184EED" w:rsidRDefault="00992887"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37.9</w:t>
            </w:r>
          </w:p>
        </w:tc>
        <w:tc>
          <w:tcPr>
            <w:tcW w:w="1213" w:type="dxa"/>
            <w:tcBorders>
              <w:top w:val="nil"/>
              <w:bottom w:val="nil"/>
            </w:tcBorders>
          </w:tcPr>
          <w:p w14:paraId="4FD83C12" w14:textId="77777777" w:rsidR="007D39B6" w:rsidRPr="00184EED" w:rsidRDefault="00C5198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w:t>
            </w:r>
            <w:r w:rsidR="00200FC0" w:rsidRPr="00184EED">
              <w:rPr>
                <w:rFonts w:asciiTheme="minorBidi" w:hAnsiTheme="minorBidi" w:cstheme="minorBidi"/>
                <w:sz w:val="18"/>
                <w:szCs w:val="18"/>
              </w:rPr>
              <w:t>crease</w:t>
            </w:r>
          </w:p>
        </w:tc>
      </w:tr>
      <w:tr w:rsidR="007D39B6" w:rsidRPr="00184EED" w14:paraId="6043F652" w14:textId="77777777" w:rsidTr="000B381B">
        <w:trPr>
          <w:trHeight w:val="389"/>
        </w:trPr>
        <w:tc>
          <w:tcPr>
            <w:tcW w:w="4613" w:type="dxa"/>
            <w:tcBorders>
              <w:top w:val="nil"/>
              <w:bottom w:val="single" w:sz="4" w:space="0" w:color="auto"/>
            </w:tcBorders>
            <w:shd w:val="clear" w:color="auto" w:fill="auto"/>
            <w:noWrap/>
            <w:vAlign w:val="center"/>
            <w:hideMark/>
          </w:tcPr>
          <w:p w14:paraId="575D15C1" w14:textId="77777777" w:rsidR="007D39B6" w:rsidRPr="00184EED" w:rsidRDefault="007D39B6"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 xml:space="preserve">Prevalence of severe  food insecurity (FAO, </w:t>
            </w:r>
            <w:r w:rsidR="008432F0" w:rsidRPr="00184EED">
              <w:rPr>
                <w:rFonts w:asciiTheme="minorBidi" w:hAnsiTheme="minorBidi" w:cstheme="minorBidi"/>
                <w:sz w:val="18"/>
                <w:szCs w:val="18"/>
              </w:rPr>
              <w:t>2020</w:t>
            </w:r>
            <w:r w:rsidRPr="00184EED">
              <w:rPr>
                <w:rFonts w:asciiTheme="minorBidi" w:hAnsiTheme="minorBidi" w:cstheme="minorBidi"/>
                <w:sz w:val="18"/>
                <w:szCs w:val="18"/>
              </w:rPr>
              <w:t>, Percentage)</w:t>
            </w:r>
          </w:p>
        </w:tc>
        <w:tc>
          <w:tcPr>
            <w:tcW w:w="1436" w:type="dxa"/>
            <w:tcBorders>
              <w:top w:val="nil"/>
              <w:bottom w:val="single" w:sz="4" w:space="0" w:color="auto"/>
            </w:tcBorders>
            <w:shd w:val="clear" w:color="auto" w:fill="auto"/>
            <w:noWrap/>
            <w:hideMark/>
          </w:tcPr>
          <w:p w14:paraId="29187471" w14:textId="77777777" w:rsidR="007D39B6" w:rsidRPr="00184EED" w:rsidRDefault="007D39B6" w:rsidP="008C6258">
            <w:pPr>
              <w:tabs>
                <w:tab w:val="left" w:pos="9072"/>
              </w:tabs>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63" w:type="dxa"/>
            <w:tcBorders>
              <w:top w:val="nil"/>
              <w:bottom w:val="single" w:sz="4" w:space="0" w:color="auto"/>
            </w:tcBorders>
          </w:tcPr>
          <w:p w14:paraId="2A37D909"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4.4 (201</w:t>
            </w:r>
            <w:r w:rsidR="00477E79" w:rsidRPr="00184EED">
              <w:rPr>
                <w:rFonts w:asciiTheme="minorBidi" w:hAnsiTheme="minorBidi" w:cstheme="minorBidi"/>
                <w:sz w:val="18"/>
                <w:szCs w:val="18"/>
              </w:rPr>
              <w:t>9</w:t>
            </w:r>
            <w:r w:rsidRPr="00184EED">
              <w:rPr>
                <w:rFonts w:asciiTheme="minorBidi" w:hAnsiTheme="minorBidi" w:cstheme="minorBidi"/>
                <w:sz w:val="18"/>
                <w:szCs w:val="18"/>
              </w:rPr>
              <w:t>)</w:t>
            </w:r>
          </w:p>
        </w:tc>
        <w:tc>
          <w:tcPr>
            <w:tcW w:w="1524" w:type="dxa"/>
            <w:tcBorders>
              <w:top w:val="nil"/>
              <w:bottom w:val="single" w:sz="4" w:space="0" w:color="auto"/>
            </w:tcBorders>
            <w:shd w:val="clear" w:color="auto" w:fill="auto"/>
            <w:noWrap/>
            <w:hideMark/>
          </w:tcPr>
          <w:p w14:paraId="3B8DFAC6" w14:textId="77777777" w:rsidR="007D39B6" w:rsidRPr="00184EED" w:rsidRDefault="00200FC0"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6.7</w:t>
            </w:r>
          </w:p>
        </w:tc>
        <w:tc>
          <w:tcPr>
            <w:tcW w:w="1213" w:type="dxa"/>
            <w:tcBorders>
              <w:top w:val="nil"/>
              <w:bottom w:val="single" w:sz="4" w:space="0" w:color="auto"/>
            </w:tcBorders>
          </w:tcPr>
          <w:p w14:paraId="50DA42DD" w14:textId="77777777" w:rsidR="007D39B6" w:rsidRPr="00184EED" w:rsidRDefault="00C5198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w:t>
            </w:r>
            <w:r w:rsidR="00200FC0" w:rsidRPr="00184EED">
              <w:rPr>
                <w:rFonts w:asciiTheme="minorBidi" w:hAnsiTheme="minorBidi" w:cstheme="minorBidi"/>
                <w:sz w:val="18"/>
                <w:szCs w:val="18"/>
              </w:rPr>
              <w:t>crease</w:t>
            </w:r>
          </w:p>
        </w:tc>
      </w:tr>
      <w:tr w:rsidR="0045367C" w:rsidRPr="00184EED" w14:paraId="7E59B604" w14:textId="77777777" w:rsidTr="000B381B">
        <w:trPr>
          <w:trHeight w:val="389"/>
        </w:trPr>
        <w:tc>
          <w:tcPr>
            <w:tcW w:w="4613" w:type="dxa"/>
            <w:tcBorders>
              <w:bottom w:val="nil"/>
            </w:tcBorders>
            <w:shd w:val="clear" w:color="auto" w:fill="auto"/>
            <w:vAlign w:val="center"/>
            <w:hideMark/>
          </w:tcPr>
          <w:p w14:paraId="2A4D800E" w14:textId="77777777" w:rsidR="0045367C" w:rsidRPr="00184EED" w:rsidRDefault="0045367C" w:rsidP="008C6258">
            <w:pPr>
              <w:bidi w:val="0"/>
              <w:spacing w:after="0" w:line="240" w:lineRule="auto"/>
              <w:jc w:val="both"/>
              <w:rPr>
                <w:rFonts w:asciiTheme="minorBidi" w:hAnsiTheme="minorBidi" w:cstheme="minorBidi"/>
                <w:sz w:val="18"/>
                <w:szCs w:val="18"/>
              </w:rPr>
            </w:pPr>
            <w:r w:rsidRPr="00184EED">
              <w:rPr>
                <w:rFonts w:asciiTheme="minorBidi" w:hAnsiTheme="minorBidi" w:cstheme="minorBidi"/>
                <w:b/>
                <w:sz w:val="18"/>
                <w:szCs w:val="18"/>
              </w:rPr>
              <w:t xml:space="preserve"> Indicator </w:t>
            </w:r>
            <w:r w:rsidRPr="00184EED">
              <w:rPr>
                <w:rFonts w:asciiTheme="minorBidi" w:hAnsiTheme="minorBidi" w:cstheme="minorBidi"/>
                <w:b/>
                <w:bCs/>
                <w:sz w:val="18"/>
                <w:szCs w:val="18"/>
              </w:rPr>
              <w:t>2.2.1</w:t>
            </w:r>
            <w:r w:rsidRPr="00184EED">
              <w:rPr>
                <w:rFonts w:asciiTheme="minorBidi" w:hAnsiTheme="minorBidi" w:cstheme="minorBidi"/>
                <w:sz w:val="18"/>
                <w:szCs w:val="18"/>
              </w:rPr>
              <w:t xml:space="preserve"> Prevalence of stunting (height for age &lt;-2 standard deviation from the median of the World Health Organization (WHO) Child Growth Standards) among children under 5 years of age(PCBS, 2019, </w:t>
            </w:r>
            <w:r w:rsidR="00AA1622">
              <w:rPr>
                <w:rFonts w:asciiTheme="minorBidi" w:hAnsiTheme="minorBidi" w:cstheme="minorBidi"/>
                <w:sz w:val="18"/>
                <w:szCs w:val="18"/>
              </w:rPr>
              <w:t>p</w:t>
            </w:r>
            <w:r w:rsidRPr="00184EED">
              <w:rPr>
                <w:rFonts w:asciiTheme="minorBidi" w:hAnsiTheme="minorBidi" w:cstheme="minorBidi"/>
                <w:sz w:val="18"/>
                <w:szCs w:val="18"/>
              </w:rPr>
              <w:t>ercentage)</w:t>
            </w:r>
          </w:p>
        </w:tc>
        <w:tc>
          <w:tcPr>
            <w:tcW w:w="1436" w:type="dxa"/>
            <w:tcBorders>
              <w:bottom w:val="nil"/>
            </w:tcBorders>
            <w:shd w:val="clear" w:color="auto" w:fill="auto"/>
            <w:noWrap/>
            <w:vAlign w:val="center"/>
            <w:hideMark/>
          </w:tcPr>
          <w:p w14:paraId="7A3671DF" w14:textId="77777777" w:rsidR="0045367C" w:rsidRPr="00184EED" w:rsidRDefault="0045367C" w:rsidP="008C6258">
            <w:pPr>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63" w:type="dxa"/>
            <w:tcBorders>
              <w:bottom w:val="nil"/>
            </w:tcBorders>
            <w:vAlign w:val="center"/>
          </w:tcPr>
          <w:p w14:paraId="15BB8195" w14:textId="77777777" w:rsidR="0045367C" w:rsidRPr="00184EED" w:rsidRDefault="0045367C"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7.4 (2014)</w:t>
            </w:r>
          </w:p>
        </w:tc>
        <w:tc>
          <w:tcPr>
            <w:tcW w:w="1524" w:type="dxa"/>
            <w:tcBorders>
              <w:bottom w:val="nil"/>
            </w:tcBorders>
            <w:shd w:val="clear" w:color="auto" w:fill="auto"/>
            <w:noWrap/>
            <w:vAlign w:val="center"/>
            <w:hideMark/>
          </w:tcPr>
          <w:p w14:paraId="5566F77C" w14:textId="77777777" w:rsidR="0045367C" w:rsidRPr="00184EED" w:rsidRDefault="0045367C"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tl/>
              </w:rPr>
              <w:t>8.7</w:t>
            </w:r>
          </w:p>
        </w:tc>
        <w:tc>
          <w:tcPr>
            <w:tcW w:w="1213" w:type="dxa"/>
            <w:tcBorders>
              <w:bottom w:val="nil"/>
            </w:tcBorders>
            <w:vAlign w:val="center"/>
          </w:tcPr>
          <w:p w14:paraId="6A313F63" w14:textId="77777777" w:rsidR="0045367C" w:rsidRPr="00184EED" w:rsidRDefault="00C5198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w:t>
            </w:r>
            <w:r w:rsidR="0045367C" w:rsidRPr="00184EED">
              <w:rPr>
                <w:rFonts w:asciiTheme="minorBidi" w:hAnsiTheme="minorBidi" w:cstheme="minorBidi"/>
                <w:sz w:val="18"/>
                <w:szCs w:val="18"/>
              </w:rPr>
              <w:t>crease</w:t>
            </w:r>
          </w:p>
        </w:tc>
      </w:tr>
      <w:tr w:rsidR="007D39B6" w:rsidRPr="00184EED" w14:paraId="2EFB66D4" w14:textId="77777777" w:rsidTr="000B381B">
        <w:trPr>
          <w:trHeight w:val="389"/>
        </w:trPr>
        <w:tc>
          <w:tcPr>
            <w:tcW w:w="4613" w:type="dxa"/>
            <w:tcBorders>
              <w:bottom w:val="nil"/>
            </w:tcBorders>
            <w:shd w:val="clear" w:color="auto" w:fill="auto"/>
            <w:noWrap/>
            <w:vAlign w:val="center"/>
          </w:tcPr>
          <w:p w14:paraId="52A8BDB9" w14:textId="77777777" w:rsidR="007D39B6" w:rsidRPr="00184EED" w:rsidRDefault="007D39B6" w:rsidP="008C6258">
            <w:pPr>
              <w:bidi w:val="0"/>
              <w:spacing w:after="0" w:line="240" w:lineRule="auto"/>
              <w:jc w:val="both"/>
              <w:rPr>
                <w:rFonts w:asciiTheme="minorBidi" w:hAnsiTheme="minorBidi" w:cstheme="minorBidi"/>
                <w:sz w:val="18"/>
                <w:szCs w:val="18"/>
              </w:rPr>
            </w:pPr>
            <w:r w:rsidRPr="00184EED">
              <w:rPr>
                <w:rFonts w:asciiTheme="minorBidi" w:hAnsiTheme="minorBidi" w:cstheme="minorBidi"/>
                <w:b/>
                <w:sz w:val="18"/>
                <w:szCs w:val="18"/>
              </w:rPr>
              <w:t>Indicator</w:t>
            </w:r>
            <w:r w:rsidRPr="00184EED">
              <w:rPr>
                <w:rFonts w:asciiTheme="minorBidi" w:hAnsiTheme="minorBidi" w:cstheme="minorBidi"/>
                <w:b/>
                <w:bCs/>
                <w:sz w:val="18"/>
                <w:szCs w:val="18"/>
              </w:rPr>
              <w:t xml:space="preserve"> 2.2.2</w:t>
            </w:r>
            <w:r w:rsidRPr="00184EED">
              <w:rPr>
                <w:rFonts w:asciiTheme="minorBidi" w:hAnsiTheme="minorBidi" w:cstheme="minorBidi"/>
                <w:sz w:val="18"/>
                <w:szCs w:val="18"/>
              </w:rPr>
              <w:t xml:space="preserve"> Prevalence of malnutrition (weight for height &gt;+2 or &lt;-2 standard deviation from the median of the WHO Child Growth Standards) among children under 5years of age, by type (wasting and overweight)</w:t>
            </w:r>
          </w:p>
        </w:tc>
        <w:tc>
          <w:tcPr>
            <w:tcW w:w="1436" w:type="dxa"/>
            <w:tcBorders>
              <w:bottom w:val="nil"/>
            </w:tcBorders>
            <w:shd w:val="clear" w:color="auto" w:fill="auto"/>
            <w:noWrap/>
          </w:tcPr>
          <w:p w14:paraId="2E834F3B" w14:textId="77777777" w:rsidR="007D39B6" w:rsidRPr="00184EED" w:rsidRDefault="007D39B6" w:rsidP="008C6258">
            <w:pPr>
              <w:bidi w:val="0"/>
              <w:spacing w:after="0" w:line="240" w:lineRule="auto"/>
              <w:jc w:val="center"/>
              <w:rPr>
                <w:rFonts w:asciiTheme="minorBidi" w:hAnsiTheme="minorBidi" w:cstheme="minorBidi"/>
                <w:sz w:val="18"/>
                <w:szCs w:val="18"/>
              </w:rPr>
            </w:pPr>
          </w:p>
        </w:tc>
        <w:tc>
          <w:tcPr>
            <w:tcW w:w="1563" w:type="dxa"/>
            <w:tcBorders>
              <w:bottom w:val="nil"/>
            </w:tcBorders>
          </w:tcPr>
          <w:p w14:paraId="7E8348EC"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p>
        </w:tc>
        <w:tc>
          <w:tcPr>
            <w:tcW w:w="1524" w:type="dxa"/>
            <w:tcBorders>
              <w:bottom w:val="nil"/>
            </w:tcBorders>
            <w:shd w:val="clear" w:color="auto" w:fill="auto"/>
            <w:noWrap/>
          </w:tcPr>
          <w:p w14:paraId="0D91724F"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p>
        </w:tc>
        <w:tc>
          <w:tcPr>
            <w:tcW w:w="1213" w:type="dxa"/>
            <w:tcBorders>
              <w:bottom w:val="nil"/>
            </w:tcBorders>
          </w:tcPr>
          <w:p w14:paraId="1FDAFBD2"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p>
        </w:tc>
      </w:tr>
      <w:tr w:rsidR="007D39B6" w:rsidRPr="00184EED" w14:paraId="42979EA9" w14:textId="77777777" w:rsidTr="000B381B">
        <w:trPr>
          <w:trHeight w:val="389"/>
        </w:trPr>
        <w:tc>
          <w:tcPr>
            <w:tcW w:w="4613" w:type="dxa"/>
            <w:tcBorders>
              <w:top w:val="nil"/>
              <w:bottom w:val="nil"/>
            </w:tcBorders>
            <w:shd w:val="clear" w:color="auto" w:fill="auto"/>
            <w:noWrap/>
            <w:vAlign w:val="center"/>
          </w:tcPr>
          <w:p w14:paraId="7DA4AE0D" w14:textId="77777777" w:rsidR="007D39B6" w:rsidRPr="00184EED" w:rsidRDefault="007D39B6"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Wasting (PCBS, 2019, Percentage)</w:t>
            </w:r>
          </w:p>
        </w:tc>
        <w:tc>
          <w:tcPr>
            <w:tcW w:w="1436" w:type="dxa"/>
            <w:tcBorders>
              <w:top w:val="nil"/>
              <w:bottom w:val="nil"/>
            </w:tcBorders>
            <w:shd w:val="clear" w:color="auto" w:fill="auto"/>
            <w:noWrap/>
          </w:tcPr>
          <w:p w14:paraId="31B61D2A" w14:textId="77777777" w:rsidR="007D39B6" w:rsidRPr="00184EED" w:rsidRDefault="007D39B6" w:rsidP="008C6258">
            <w:pPr>
              <w:tabs>
                <w:tab w:val="left" w:pos="9072"/>
              </w:tabs>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63" w:type="dxa"/>
            <w:tcBorders>
              <w:top w:val="nil"/>
              <w:bottom w:val="nil"/>
            </w:tcBorders>
          </w:tcPr>
          <w:p w14:paraId="3289923A"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1.2 (2014)</w:t>
            </w:r>
          </w:p>
        </w:tc>
        <w:tc>
          <w:tcPr>
            <w:tcW w:w="1524" w:type="dxa"/>
            <w:tcBorders>
              <w:top w:val="nil"/>
              <w:bottom w:val="nil"/>
            </w:tcBorders>
            <w:shd w:val="clear" w:color="auto" w:fill="auto"/>
            <w:noWrap/>
          </w:tcPr>
          <w:p w14:paraId="62BB76DC"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1.3</w:t>
            </w:r>
          </w:p>
        </w:tc>
        <w:tc>
          <w:tcPr>
            <w:tcW w:w="1213" w:type="dxa"/>
            <w:tcBorders>
              <w:top w:val="nil"/>
              <w:bottom w:val="nil"/>
            </w:tcBorders>
          </w:tcPr>
          <w:p w14:paraId="4CCBD42D" w14:textId="77777777" w:rsidR="007D39B6" w:rsidRPr="00184EED" w:rsidRDefault="00C5198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w:t>
            </w:r>
            <w:r w:rsidR="007D39B6" w:rsidRPr="00184EED">
              <w:rPr>
                <w:rFonts w:asciiTheme="minorBidi" w:hAnsiTheme="minorBidi" w:cstheme="minorBidi"/>
                <w:sz w:val="18"/>
                <w:szCs w:val="18"/>
              </w:rPr>
              <w:t>crease</w:t>
            </w:r>
          </w:p>
        </w:tc>
      </w:tr>
      <w:tr w:rsidR="007D39B6" w:rsidRPr="00B25DD3" w14:paraId="1E250E1C" w14:textId="77777777" w:rsidTr="000B381B">
        <w:trPr>
          <w:trHeight w:val="389"/>
        </w:trPr>
        <w:tc>
          <w:tcPr>
            <w:tcW w:w="4613" w:type="dxa"/>
            <w:tcBorders>
              <w:top w:val="nil"/>
              <w:bottom w:val="single" w:sz="4" w:space="0" w:color="auto"/>
            </w:tcBorders>
            <w:shd w:val="clear" w:color="auto" w:fill="auto"/>
            <w:noWrap/>
            <w:vAlign w:val="center"/>
          </w:tcPr>
          <w:p w14:paraId="4DAE8AD7" w14:textId="77777777" w:rsidR="007D39B6" w:rsidRPr="00B25DD3" w:rsidRDefault="007D39B6" w:rsidP="008C6258">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Overweight (PCBS, 2019, Percentage)</w:t>
            </w:r>
          </w:p>
        </w:tc>
        <w:tc>
          <w:tcPr>
            <w:tcW w:w="1436" w:type="dxa"/>
            <w:tcBorders>
              <w:top w:val="nil"/>
              <w:bottom w:val="single" w:sz="4" w:space="0" w:color="auto"/>
            </w:tcBorders>
            <w:shd w:val="clear" w:color="auto" w:fill="auto"/>
            <w:noWrap/>
          </w:tcPr>
          <w:p w14:paraId="3C1144F4" w14:textId="77777777" w:rsidR="007D39B6" w:rsidRPr="00B25DD3" w:rsidRDefault="007D39B6"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563" w:type="dxa"/>
            <w:tcBorders>
              <w:top w:val="nil"/>
              <w:bottom w:val="single" w:sz="4" w:space="0" w:color="auto"/>
            </w:tcBorders>
          </w:tcPr>
          <w:p w14:paraId="7D8F1F3A" w14:textId="77777777" w:rsidR="007D39B6" w:rsidRPr="00B25DD3" w:rsidRDefault="007D39B6" w:rsidP="008C6258">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8.2 (2014)</w:t>
            </w:r>
          </w:p>
        </w:tc>
        <w:tc>
          <w:tcPr>
            <w:tcW w:w="1524" w:type="dxa"/>
            <w:tcBorders>
              <w:top w:val="nil"/>
              <w:bottom w:val="single" w:sz="4" w:space="0" w:color="auto"/>
            </w:tcBorders>
            <w:shd w:val="clear" w:color="auto" w:fill="auto"/>
            <w:noWrap/>
          </w:tcPr>
          <w:p w14:paraId="76ADE50F" w14:textId="77777777" w:rsidR="007D39B6" w:rsidRPr="00B25DD3" w:rsidRDefault="007D39B6" w:rsidP="008C6258">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8.6</w:t>
            </w:r>
          </w:p>
        </w:tc>
        <w:tc>
          <w:tcPr>
            <w:tcW w:w="1213" w:type="dxa"/>
            <w:tcBorders>
              <w:top w:val="nil"/>
              <w:bottom w:val="single" w:sz="4" w:space="0" w:color="auto"/>
            </w:tcBorders>
          </w:tcPr>
          <w:p w14:paraId="08396D5C" w14:textId="77777777" w:rsidR="007D39B6" w:rsidRPr="00B25DD3" w:rsidRDefault="00C5198F" w:rsidP="008C6258">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De</w:t>
            </w:r>
            <w:r w:rsidR="007D39B6" w:rsidRPr="00B25DD3">
              <w:rPr>
                <w:rFonts w:asciiTheme="minorBidi" w:hAnsiTheme="minorBidi" w:cstheme="minorBidi"/>
                <w:sz w:val="18"/>
                <w:szCs w:val="18"/>
              </w:rPr>
              <w:t>crease</w:t>
            </w:r>
          </w:p>
        </w:tc>
      </w:tr>
      <w:tr w:rsidR="007D39B6" w:rsidRPr="00B25DD3" w14:paraId="674CFBA4" w14:textId="77777777" w:rsidTr="000B381B">
        <w:trPr>
          <w:trHeight w:val="389"/>
        </w:trPr>
        <w:tc>
          <w:tcPr>
            <w:tcW w:w="4613" w:type="dxa"/>
            <w:tcBorders>
              <w:bottom w:val="nil"/>
            </w:tcBorders>
            <w:shd w:val="clear" w:color="auto" w:fill="auto"/>
            <w:noWrap/>
            <w:vAlign w:val="center"/>
          </w:tcPr>
          <w:p w14:paraId="0E9AF7AE" w14:textId="77777777" w:rsidR="007D39B6" w:rsidRPr="00B25DD3" w:rsidRDefault="007D39B6" w:rsidP="008C6258">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t>Indicator</w:t>
            </w:r>
            <w:r w:rsidRPr="00B25DD3">
              <w:rPr>
                <w:rFonts w:asciiTheme="minorBidi" w:hAnsiTheme="minorBidi" w:cstheme="minorBidi"/>
                <w:b/>
                <w:bCs/>
                <w:sz w:val="18"/>
                <w:szCs w:val="18"/>
              </w:rPr>
              <w:t xml:space="preserve"> 2.a.1 </w:t>
            </w:r>
            <w:r w:rsidRPr="00B25DD3">
              <w:rPr>
                <w:rFonts w:asciiTheme="minorBidi" w:hAnsiTheme="minorBidi" w:cstheme="minorBidi"/>
                <w:sz w:val="18"/>
                <w:szCs w:val="18"/>
              </w:rPr>
              <w:t xml:space="preserve">The agriculture orientation index for government expenditures </w:t>
            </w:r>
          </w:p>
        </w:tc>
        <w:tc>
          <w:tcPr>
            <w:tcW w:w="1436" w:type="dxa"/>
            <w:tcBorders>
              <w:bottom w:val="nil"/>
            </w:tcBorders>
            <w:shd w:val="clear" w:color="auto" w:fill="auto"/>
            <w:noWrap/>
          </w:tcPr>
          <w:p w14:paraId="6A1C87D4" w14:textId="77777777" w:rsidR="007D39B6" w:rsidRPr="00B25DD3" w:rsidRDefault="007D39B6" w:rsidP="008C6258">
            <w:pPr>
              <w:bidi w:val="0"/>
              <w:spacing w:after="0" w:line="240" w:lineRule="auto"/>
              <w:jc w:val="center"/>
              <w:rPr>
                <w:rFonts w:asciiTheme="minorBidi" w:hAnsiTheme="minorBidi" w:cstheme="minorBidi"/>
                <w:sz w:val="18"/>
                <w:szCs w:val="18"/>
              </w:rPr>
            </w:pPr>
          </w:p>
        </w:tc>
        <w:tc>
          <w:tcPr>
            <w:tcW w:w="1563" w:type="dxa"/>
            <w:tcBorders>
              <w:bottom w:val="nil"/>
            </w:tcBorders>
          </w:tcPr>
          <w:p w14:paraId="6393C401" w14:textId="77777777" w:rsidR="007D39B6" w:rsidRPr="00B25DD3" w:rsidRDefault="007D39B6" w:rsidP="008C6258">
            <w:pPr>
              <w:bidi w:val="0"/>
              <w:spacing w:after="0" w:line="240" w:lineRule="auto"/>
              <w:ind w:left="113" w:right="113"/>
              <w:jc w:val="center"/>
              <w:rPr>
                <w:rFonts w:asciiTheme="minorBidi" w:hAnsiTheme="minorBidi" w:cstheme="minorBidi"/>
                <w:sz w:val="18"/>
                <w:szCs w:val="18"/>
              </w:rPr>
            </w:pPr>
          </w:p>
        </w:tc>
        <w:tc>
          <w:tcPr>
            <w:tcW w:w="1524" w:type="dxa"/>
            <w:tcBorders>
              <w:bottom w:val="nil"/>
            </w:tcBorders>
            <w:shd w:val="clear" w:color="auto" w:fill="auto"/>
            <w:noWrap/>
          </w:tcPr>
          <w:p w14:paraId="36D33B19" w14:textId="77777777" w:rsidR="007D39B6" w:rsidRPr="00B25DD3" w:rsidRDefault="007D39B6" w:rsidP="008C6258">
            <w:pPr>
              <w:bidi w:val="0"/>
              <w:spacing w:after="0" w:line="240" w:lineRule="auto"/>
              <w:ind w:left="113" w:right="113"/>
              <w:jc w:val="center"/>
              <w:rPr>
                <w:rFonts w:asciiTheme="minorBidi" w:hAnsiTheme="minorBidi" w:cstheme="minorBidi"/>
                <w:sz w:val="18"/>
                <w:szCs w:val="18"/>
              </w:rPr>
            </w:pPr>
          </w:p>
        </w:tc>
        <w:tc>
          <w:tcPr>
            <w:tcW w:w="1213" w:type="dxa"/>
            <w:tcBorders>
              <w:bottom w:val="nil"/>
            </w:tcBorders>
          </w:tcPr>
          <w:p w14:paraId="608EF4AA" w14:textId="77777777" w:rsidR="007D39B6" w:rsidRPr="00B25DD3" w:rsidRDefault="007D39B6" w:rsidP="008C6258">
            <w:pPr>
              <w:bidi w:val="0"/>
              <w:spacing w:after="0" w:line="240" w:lineRule="auto"/>
              <w:ind w:left="113" w:right="113"/>
              <w:jc w:val="center"/>
              <w:rPr>
                <w:rFonts w:asciiTheme="minorBidi" w:hAnsiTheme="minorBidi" w:cstheme="minorBidi"/>
                <w:sz w:val="18"/>
                <w:szCs w:val="18"/>
              </w:rPr>
            </w:pPr>
          </w:p>
        </w:tc>
      </w:tr>
      <w:tr w:rsidR="000B381B" w:rsidRPr="00B25DD3" w14:paraId="5063EE79" w14:textId="77777777" w:rsidTr="000B381B">
        <w:trPr>
          <w:trHeight w:val="389"/>
        </w:trPr>
        <w:tc>
          <w:tcPr>
            <w:tcW w:w="4613" w:type="dxa"/>
            <w:tcBorders>
              <w:top w:val="nil"/>
              <w:bottom w:val="nil"/>
            </w:tcBorders>
            <w:shd w:val="clear" w:color="auto" w:fill="auto"/>
            <w:noWrap/>
            <w:vAlign w:val="center"/>
          </w:tcPr>
          <w:p w14:paraId="0F5EB346" w14:textId="77777777" w:rsidR="000B381B" w:rsidRPr="00B25DD3" w:rsidRDefault="000B381B" w:rsidP="000B381B">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The agriculture orientation index for government expenditures (UN, 2019, Index)</w:t>
            </w:r>
          </w:p>
        </w:tc>
        <w:tc>
          <w:tcPr>
            <w:tcW w:w="1436" w:type="dxa"/>
            <w:tcBorders>
              <w:top w:val="nil"/>
              <w:bottom w:val="nil"/>
            </w:tcBorders>
            <w:shd w:val="clear" w:color="auto" w:fill="auto"/>
            <w:noWrap/>
          </w:tcPr>
          <w:p w14:paraId="3F103F19" w14:textId="77777777" w:rsidR="000B381B" w:rsidRPr="00B25DD3" w:rsidRDefault="000B381B" w:rsidP="000B381B">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563" w:type="dxa"/>
            <w:tcBorders>
              <w:top w:val="nil"/>
              <w:bottom w:val="nil"/>
            </w:tcBorders>
          </w:tcPr>
          <w:p w14:paraId="6D518489" w14:textId="77777777" w:rsidR="000B381B" w:rsidRPr="00B25DD3" w:rsidRDefault="000B381B" w:rsidP="000B381B">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0.12(2018)</w:t>
            </w:r>
          </w:p>
        </w:tc>
        <w:tc>
          <w:tcPr>
            <w:tcW w:w="1524" w:type="dxa"/>
            <w:tcBorders>
              <w:top w:val="nil"/>
              <w:bottom w:val="nil"/>
            </w:tcBorders>
            <w:shd w:val="clear" w:color="auto" w:fill="auto"/>
            <w:noWrap/>
          </w:tcPr>
          <w:p w14:paraId="6B566F88" w14:textId="77777777" w:rsidR="000B381B" w:rsidRPr="00B25DD3" w:rsidRDefault="000B381B" w:rsidP="000B381B">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0.10</w:t>
            </w:r>
          </w:p>
        </w:tc>
        <w:tc>
          <w:tcPr>
            <w:tcW w:w="1213" w:type="dxa"/>
            <w:tcBorders>
              <w:top w:val="nil"/>
              <w:bottom w:val="nil"/>
            </w:tcBorders>
          </w:tcPr>
          <w:p w14:paraId="6E01A6AB" w14:textId="77777777" w:rsidR="000B381B" w:rsidRPr="00B25DD3" w:rsidRDefault="000B381B" w:rsidP="000B381B">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Decrease</w:t>
            </w:r>
          </w:p>
        </w:tc>
      </w:tr>
      <w:tr w:rsidR="000B381B" w:rsidRPr="00B25DD3" w14:paraId="6AE78190" w14:textId="77777777" w:rsidTr="000B381B">
        <w:trPr>
          <w:trHeight w:val="389"/>
        </w:trPr>
        <w:tc>
          <w:tcPr>
            <w:tcW w:w="4613" w:type="dxa"/>
            <w:tcBorders>
              <w:top w:val="nil"/>
              <w:bottom w:val="nil"/>
            </w:tcBorders>
            <w:shd w:val="clear" w:color="auto" w:fill="auto"/>
            <w:noWrap/>
            <w:vAlign w:val="center"/>
          </w:tcPr>
          <w:p w14:paraId="24C077A4" w14:textId="77777777" w:rsidR="000B381B" w:rsidRPr="00B25DD3" w:rsidRDefault="000B381B" w:rsidP="00B86BAB">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Agriculture share of Government Expenditure(Planning and Finance Ministry, 202</w:t>
            </w:r>
            <w:r w:rsidR="00B86BAB" w:rsidRPr="00B25DD3">
              <w:rPr>
                <w:rFonts w:asciiTheme="minorBidi" w:hAnsiTheme="minorBidi" w:cstheme="minorBidi"/>
                <w:sz w:val="18"/>
                <w:szCs w:val="18"/>
              </w:rPr>
              <w:t>2</w:t>
            </w:r>
            <w:r w:rsidRPr="00B25DD3">
              <w:rPr>
                <w:rFonts w:asciiTheme="minorBidi" w:hAnsiTheme="minorBidi" w:cstheme="minorBidi"/>
                <w:sz w:val="18"/>
                <w:szCs w:val="18"/>
              </w:rPr>
              <w:t>, percentage)</w:t>
            </w:r>
          </w:p>
        </w:tc>
        <w:tc>
          <w:tcPr>
            <w:tcW w:w="1436" w:type="dxa"/>
            <w:tcBorders>
              <w:top w:val="nil"/>
              <w:bottom w:val="nil"/>
            </w:tcBorders>
            <w:shd w:val="clear" w:color="auto" w:fill="auto"/>
            <w:noWrap/>
          </w:tcPr>
          <w:p w14:paraId="06BAA6B3" w14:textId="77777777" w:rsidR="000B381B" w:rsidRPr="00B25DD3" w:rsidRDefault="000B381B" w:rsidP="000B381B">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563" w:type="dxa"/>
            <w:tcBorders>
              <w:top w:val="nil"/>
              <w:bottom w:val="nil"/>
            </w:tcBorders>
          </w:tcPr>
          <w:p w14:paraId="4199C585" w14:textId="77777777" w:rsidR="000B381B" w:rsidRPr="00B25DD3" w:rsidRDefault="00B86BAB" w:rsidP="00B86BAB">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 xml:space="preserve">0.73 </w:t>
            </w:r>
            <w:r w:rsidR="000B381B" w:rsidRPr="00B25DD3">
              <w:rPr>
                <w:rFonts w:asciiTheme="minorBidi" w:hAnsiTheme="minorBidi" w:cstheme="minorBidi"/>
                <w:sz w:val="18"/>
                <w:szCs w:val="18"/>
              </w:rPr>
              <w:t>(</w:t>
            </w:r>
            <w:r w:rsidRPr="00B25DD3">
              <w:rPr>
                <w:rFonts w:asciiTheme="minorBidi" w:hAnsiTheme="minorBidi" w:cstheme="minorBidi"/>
                <w:sz w:val="18"/>
                <w:szCs w:val="18"/>
              </w:rPr>
              <w:t>2021</w:t>
            </w:r>
            <w:r w:rsidR="000B381B" w:rsidRPr="00B25DD3">
              <w:rPr>
                <w:rFonts w:asciiTheme="minorBidi" w:hAnsiTheme="minorBidi" w:cstheme="minorBidi"/>
                <w:sz w:val="18"/>
                <w:szCs w:val="18"/>
              </w:rPr>
              <w:t>)</w:t>
            </w:r>
          </w:p>
        </w:tc>
        <w:tc>
          <w:tcPr>
            <w:tcW w:w="1524" w:type="dxa"/>
            <w:tcBorders>
              <w:top w:val="nil"/>
              <w:bottom w:val="nil"/>
            </w:tcBorders>
            <w:shd w:val="clear" w:color="auto" w:fill="auto"/>
            <w:noWrap/>
          </w:tcPr>
          <w:p w14:paraId="433B4467" w14:textId="77777777" w:rsidR="000B381B" w:rsidRPr="00B25DD3" w:rsidRDefault="000B381B" w:rsidP="000B381B">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0.73</w:t>
            </w:r>
          </w:p>
        </w:tc>
        <w:tc>
          <w:tcPr>
            <w:tcW w:w="1213" w:type="dxa"/>
            <w:tcBorders>
              <w:top w:val="nil"/>
              <w:bottom w:val="nil"/>
            </w:tcBorders>
          </w:tcPr>
          <w:p w14:paraId="53BBE907" w14:textId="77777777" w:rsidR="000B381B" w:rsidRPr="00B25DD3" w:rsidRDefault="00B86BAB" w:rsidP="000B381B">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No change</w:t>
            </w:r>
          </w:p>
        </w:tc>
      </w:tr>
      <w:tr w:rsidR="00D05ECF" w:rsidRPr="00B25DD3" w14:paraId="4A9BC7F3" w14:textId="77777777" w:rsidTr="000B381B">
        <w:trPr>
          <w:trHeight w:val="389"/>
        </w:trPr>
        <w:tc>
          <w:tcPr>
            <w:tcW w:w="4613" w:type="dxa"/>
            <w:tcBorders>
              <w:top w:val="nil"/>
              <w:bottom w:val="single" w:sz="4" w:space="0" w:color="auto"/>
            </w:tcBorders>
            <w:shd w:val="clear" w:color="auto" w:fill="auto"/>
            <w:noWrap/>
            <w:vAlign w:val="center"/>
          </w:tcPr>
          <w:p w14:paraId="4E627137" w14:textId="77777777" w:rsidR="00D05ECF" w:rsidRPr="00B25DD3" w:rsidRDefault="00D05ECF" w:rsidP="00001A4E">
            <w:pPr>
              <w:tabs>
                <w:tab w:val="left" w:pos="9072"/>
              </w:tabs>
              <w:bidi w:val="0"/>
              <w:spacing w:after="0" w:line="240" w:lineRule="auto"/>
              <w:ind w:left="336"/>
              <w:jc w:val="both"/>
              <w:rPr>
                <w:rFonts w:asciiTheme="minorBidi" w:hAnsiTheme="minorBidi" w:cstheme="minorBidi"/>
                <w:sz w:val="18"/>
                <w:szCs w:val="18"/>
                <w:rtl/>
              </w:rPr>
            </w:pPr>
            <w:r w:rsidRPr="00B25DD3">
              <w:rPr>
                <w:rFonts w:asciiTheme="minorBidi" w:hAnsiTheme="minorBidi" w:cstheme="minorBidi"/>
                <w:sz w:val="18"/>
                <w:szCs w:val="18"/>
              </w:rPr>
              <w:t xml:space="preserve">Agriculture value added share of GDP(PCBS, 2021, </w:t>
            </w:r>
            <w:r w:rsidR="00AA1622" w:rsidRPr="00B25DD3">
              <w:rPr>
                <w:rFonts w:asciiTheme="minorBidi" w:hAnsiTheme="minorBidi" w:cstheme="minorBidi"/>
                <w:sz w:val="18"/>
                <w:szCs w:val="18"/>
              </w:rPr>
              <w:t>p</w:t>
            </w:r>
            <w:r w:rsidRPr="00B25DD3">
              <w:rPr>
                <w:rFonts w:asciiTheme="minorBidi" w:hAnsiTheme="minorBidi" w:cstheme="minorBidi"/>
                <w:sz w:val="18"/>
                <w:szCs w:val="18"/>
              </w:rPr>
              <w:t>ercentage)</w:t>
            </w:r>
          </w:p>
        </w:tc>
        <w:tc>
          <w:tcPr>
            <w:tcW w:w="1436" w:type="dxa"/>
            <w:tcBorders>
              <w:top w:val="nil"/>
              <w:bottom w:val="single" w:sz="4" w:space="0" w:color="auto"/>
            </w:tcBorders>
            <w:shd w:val="clear" w:color="auto" w:fill="auto"/>
            <w:noWrap/>
          </w:tcPr>
          <w:p w14:paraId="319E2738" w14:textId="77777777" w:rsidR="00D05ECF" w:rsidRPr="00B25DD3" w:rsidRDefault="00D05ECF"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563" w:type="dxa"/>
            <w:tcBorders>
              <w:top w:val="nil"/>
              <w:bottom w:val="single" w:sz="4" w:space="0" w:color="auto"/>
            </w:tcBorders>
          </w:tcPr>
          <w:p w14:paraId="1B5359D3" w14:textId="77777777" w:rsidR="00D05ECF" w:rsidRPr="00B25DD3" w:rsidRDefault="00D05ECF" w:rsidP="008C6258">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7.</w:t>
            </w:r>
            <w:r w:rsidR="00477E79" w:rsidRPr="00B25DD3">
              <w:rPr>
                <w:rFonts w:asciiTheme="minorBidi" w:hAnsiTheme="minorBidi" w:cstheme="minorBidi"/>
                <w:sz w:val="18"/>
                <w:szCs w:val="18"/>
              </w:rPr>
              <w:t>3</w:t>
            </w:r>
            <w:r w:rsidRPr="00B25DD3">
              <w:rPr>
                <w:rFonts w:asciiTheme="minorBidi" w:hAnsiTheme="minorBidi" w:cstheme="minorBidi"/>
                <w:sz w:val="18"/>
                <w:szCs w:val="18"/>
              </w:rPr>
              <w:t xml:space="preserve"> (201</w:t>
            </w:r>
            <w:r w:rsidR="00477E79" w:rsidRPr="00B25DD3">
              <w:rPr>
                <w:rFonts w:asciiTheme="minorBidi" w:hAnsiTheme="minorBidi" w:cstheme="minorBidi"/>
                <w:sz w:val="18"/>
                <w:szCs w:val="18"/>
              </w:rPr>
              <w:t>9</w:t>
            </w:r>
            <w:r w:rsidRPr="00B25DD3">
              <w:rPr>
                <w:rFonts w:asciiTheme="minorBidi" w:hAnsiTheme="minorBidi" w:cstheme="minorBidi"/>
                <w:sz w:val="18"/>
                <w:szCs w:val="18"/>
              </w:rPr>
              <w:t>)</w:t>
            </w:r>
          </w:p>
        </w:tc>
        <w:tc>
          <w:tcPr>
            <w:tcW w:w="1524" w:type="dxa"/>
            <w:tcBorders>
              <w:top w:val="nil"/>
              <w:bottom w:val="single" w:sz="4" w:space="0" w:color="auto"/>
            </w:tcBorders>
            <w:shd w:val="clear" w:color="auto" w:fill="auto"/>
            <w:noWrap/>
          </w:tcPr>
          <w:p w14:paraId="67A9BC41" w14:textId="77777777" w:rsidR="00D05ECF" w:rsidRPr="00B25DD3" w:rsidRDefault="00D05ECF" w:rsidP="008C6258">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6.5</w:t>
            </w:r>
          </w:p>
        </w:tc>
        <w:tc>
          <w:tcPr>
            <w:tcW w:w="1213" w:type="dxa"/>
            <w:tcBorders>
              <w:top w:val="nil"/>
              <w:bottom w:val="single" w:sz="4" w:space="0" w:color="auto"/>
            </w:tcBorders>
          </w:tcPr>
          <w:p w14:paraId="75A80A30" w14:textId="77777777" w:rsidR="00D05ECF" w:rsidRPr="00B25DD3" w:rsidRDefault="00D05ECF" w:rsidP="008C6258">
            <w:pPr>
              <w:bidi w:val="0"/>
              <w:spacing w:after="0" w:line="240" w:lineRule="auto"/>
              <w:ind w:left="113" w:right="113"/>
              <w:jc w:val="center"/>
              <w:rPr>
                <w:rFonts w:asciiTheme="minorBidi" w:hAnsiTheme="minorBidi" w:cstheme="minorBidi"/>
                <w:sz w:val="18"/>
                <w:szCs w:val="18"/>
              </w:rPr>
            </w:pPr>
            <w:r w:rsidRPr="00B25DD3">
              <w:rPr>
                <w:rFonts w:asciiTheme="minorBidi" w:hAnsiTheme="minorBidi" w:cstheme="minorBidi"/>
                <w:sz w:val="18"/>
                <w:szCs w:val="18"/>
              </w:rPr>
              <w:t>Decrease</w:t>
            </w:r>
          </w:p>
        </w:tc>
      </w:tr>
      <w:tr w:rsidR="007D39B6" w:rsidRPr="00B25DD3" w14:paraId="7CF51E12" w14:textId="77777777" w:rsidTr="000B381B">
        <w:trPr>
          <w:trHeight w:val="276"/>
        </w:trPr>
        <w:tc>
          <w:tcPr>
            <w:tcW w:w="4613" w:type="dxa"/>
            <w:tcBorders>
              <w:top w:val="single" w:sz="4" w:space="0" w:color="auto"/>
              <w:bottom w:val="nil"/>
            </w:tcBorders>
            <w:shd w:val="clear" w:color="auto" w:fill="auto"/>
            <w:noWrap/>
            <w:vAlign w:val="center"/>
          </w:tcPr>
          <w:p w14:paraId="5552A080" w14:textId="77777777" w:rsidR="007D39B6" w:rsidRPr="00B25DD3" w:rsidRDefault="007D39B6" w:rsidP="008C6258">
            <w:pPr>
              <w:tabs>
                <w:tab w:val="left" w:pos="9072"/>
              </w:tabs>
              <w:bidi w:val="0"/>
              <w:spacing w:after="0" w:line="240" w:lineRule="auto"/>
              <w:ind w:left="60"/>
              <w:jc w:val="both"/>
              <w:rPr>
                <w:rFonts w:asciiTheme="minorBidi" w:hAnsiTheme="minorBidi" w:cstheme="minorBidi"/>
                <w:sz w:val="18"/>
                <w:szCs w:val="18"/>
              </w:rPr>
            </w:pPr>
            <w:r w:rsidRPr="00B25DD3">
              <w:rPr>
                <w:rFonts w:asciiTheme="minorBidi" w:hAnsiTheme="minorBidi" w:cstheme="minorBidi"/>
                <w:b/>
                <w:bCs/>
                <w:sz w:val="18"/>
                <w:szCs w:val="18"/>
              </w:rPr>
              <w:t xml:space="preserve">Indicator 2.c.1 </w:t>
            </w:r>
            <w:r w:rsidRPr="00B25DD3">
              <w:rPr>
                <w:rFonts w:asciiTheme="minorBidi" w:hAnsiTheme="minorBidi" w:cstheme="minorBidi"/>
                <w:sz w:val="18"/>
                <w:szCs w:val="18"/>
              </w:rPr>
              <w:t>Consumer Food Price Index</w:t>
            </w:r>
          </w:p>
        </w:tc>
        <w:tc>
          <w:tcPr>
            <w:tcW w:w="1436" w:type="dxa"/>
            <w:tcBorders>
              <w:top w:val="single" w:sz="4" w:space="0" w:color="auto"/>
              <w:bottom w:val="nil"/>
            </w:tcBorders>
            <w:shd w:val="clear" w:color="auto" w:fill="auto"/>
            <w:noWrap/>
          </w:tcPr>
          <w:p w14:paraId="5DE42591" w14:textId="77777777" w:rsidR="007D39B6" w:rsidRPr="00B25DD3" w:rsidRDefault="007D39B6" w:rsidP="008C6258">
            <w:pPr>
              <w:tabs>
                <w:tab w:val="left" w:pos="9072"/>
              </w:tabs>
              <w:bidi w:val="0"/>
              <w:spacing w:after="0" w:line="240" w:lineRule="auto"/>
              <w:ind w:left="336"/>
              <w:jc w:val="both"/>
              <w:rPr>
                <w:rFonts w:asciiTheme="minorBidi" w:hAnsiTheme="minorBidi" w:cstheme="minorBidi"/>
                <w:sz w:val="18"/>
                <w:szCs w:val="18"/>
              </w:rPr>
            </w:pPr>
          </w:p>
        </w:tc>
        <w:tc>
          <w:tcPr>
            <w:tcW w:w="1563" w:type="dxa"/>
            <w:tcBorders>
              <w:top w:val="single" w:sz="4" w:space="0" w:color="auto"/>
              <w:bottom w:val="nil"/>
            </w:tcBorders>
          </w:tcPr>
          <w:p w14:paraId="14820811" w14:textId="77777777" w:rsidR="007D39B6" w:rsidRPr="00B25DD3" w:rsidRDefault="007D39B6" w:rsidP="008C6258">
            <w:pPr>
              <w:tabs>
                <w:tab w:val="left" w:pos="9072"/>
              </w:tabs>
              <w:bidi w:val="0"/>
              <w:spacing w:after="0" w:line="240" w:lineRule="auto"/>
              <w:ind w:left="336"/>
              <w:jc w:val="both"/>
              <w:rPr>
                <w:rFonts w:asciiTheme="minorBidi" w:hAnsiTheme="minorBidi" w:cstheme="minorBidi"/>
                <w:sz w:val="18"/>
                <w:szCs w:val="18"/>
              </w:rPr>
            </w:pPr>
          </w:p>
        </w:tc>
        <w:tc>
          <w:tcPr>
            <w:tcW w:w="1524" w:type="dxa"/>
            <w:tcBorders>
              <w:top w:val="single" w:sz="4" w:space="0" w:color="auto"/>
              <w:bottom w:val="nil"/>
            </w:tcBorders>
            <w:shd w:val="clear" w:color="auto" w:fill="auto"/>
            <w:noWrap/>
          </w:tcPr>
          <w:p w14:paraId="5B7C263A" w14:textId="77777777" w:rsidR="007D39B6" w:rsidRPr="00B25DD3" w:rsidRDefault="007D39B6" w:rsidP="008C6258">
            <w:pPr>
              <w:tabs>
                <w:tab w:val="left" w:pos="9072"/>
              </w:tabs>
              <w:bidi w:val="0"/>
              <w:spacing w:after="0" w:line="240" w:lineRule="auto"/>
              <w:ind w:left="466"/>
              <w:jc w:val="both"/>
              <w:rPr>
                <w:rFonts w:asciiTheme="minorBidi" w:hAnsiTheme="minorBidi" w:cstheme="minorBidi"/>
                <w:sz w:val="18"/>
                <w:szCs w:val="18"/>
              </w:rPr>
            </w:pPr>
          </w:p>
        </w:tc>
        <w:tc>
          <w:tcPr>
            <w:tcW w:w="1213" w:type="dxa"/>
            <w:tcBorders>
              <w:top w:val="single" w:sz="4" w:space="0" w:color="auto"/>
              <w:bottom w:val="nil"/>
            </w:tcBorders>
          </w:tcPr>
          <w:p w14:paraId="44D365CC" w14:textId="77777777" w:rsidR="007D39B6" w:rsidRPr="00B25DD3" w:rsidRDefault="007D39B6" w:rsidP="008C6258">
            <w:pPr>
              <w:tabs>
                <w:tab w:val="left" w:pos="9072"/>
              </w:tabs>
              <w:bidi w:val="0"/>
              <w:spacing w:after="0" w:line="240" w:lineRule="auto"/>
              <w:ind w:left="466"/>
              <w:jc w:val="both"/>
              <w:rPr>
                <w:rFonts w:asciiTheme="minorBidi" w:hAnsiTheme="minorBidi" w:cstheme="minorBidi"/>
                <w:sz w:val="18"/>
                <w:szCs w:val="18"/>
              </w:rPr>
            </w:pPr>
          </w:p>
        </w:tc>
      </w:tr>
      <w:tr w:rsidR="00D05ECF" w:rsidRPr="00B25DD3" w14:paraId="725F65CF" w14:textId="77777777" w:rsidTr="000B381B">
        <w:trPr>
          <w:trHeight w:val="389"/>
        </w:trPr>
        <w:tc>
          <w:tcPr>
            <w:tcW w:w="4613" w:type="dxa"/>
            <w:tcBorders>
              <w:top w:val="nil"/>
              <w:bottom w:val="nil"/>
            </w:tcBorders>
            <w:shd w:val="clear" w:color="auto" w:fill="auto"/>
            <w:noWrap/>
            <w:vAlign w:val="center"/>
          </w:tcPr>
          <w:p w14:paraId="628F8602" w14:textId="77777777" w:rsidR="00D05ECF" w:rsidRPr="00B25DD3" w:rsidRDefault="00D05ECF" w:rsidP="008C6258">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Consumer Food Price Index (UN,2020, Index)</w:t>
            </w:r>
          </w:p>
        </w:tc>
        <w:tc>
          <w:tcPr>
            <w:tcW w:w="1436" w:type="dxa"/>
            <w:tcBorders>
              <w:top w:val="nil"/>
              <w:bottom w:val="nil"/>
            </w:tcBorders>
            <w:shd w:val="clear" w:color="auto" w:fill="auto"/>
            <w:noWrap/>
          </w:tcPr>
          <w:p w14:paraId="3714E31A" w14:textId="77777777" w:rsidR="00D05ECF" w:rsidRPr="00B25DD3" w:rsidRDefault="00D05ECF" w:rsidP="008C6258">
            <w:pPr>
              <w:tabs>
                <w:tab w:val="left" w:pos="9072"/>
              </w:tabs>
              <w:bidi w:val="0"/>
              <w:spacing w:after="0" w:line="240" w:lineRule="auto"/>
              <w:ind w:left="121"/>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563" w:type="dxa"/>
            <w:tcBorders>
              <w:top w:val="nil"/>
              <w:bottom w:val="nil"/>
            </w:tcBorders>
          </w:tcPr>
          <w:p w14:paraId="37593742" w14:textId="77777777" w:rsidR="00D05ECF" w:rsidRPr="00B25DD3" w:rsidRDefault="00D05ECF" w:rsidP="008C6258">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-0.1 (2018)</w:t>
            </w:r>
          </w:p>
        </w:tc>
        <w:tc>
          <w:tcPr>
            <w:tcW w:w="1524" w:type="dxa"/>
            <w:tcBorders>
              <w:top w:val="nil"/>
              <w:bottom w:val="nil"/>
            </w:tcBorders>
            <w:shd w:val="clear" w:color="auto" w:fill="auto"/>
            <w:noWrap/>
          </w:tcPr>
          <w:p w14:paraId="74A9BE82" w14:textId="77777777" w:rsidR="00D05ECF" w:rsidRPr="00B25DD3" w:rsidRDefault="00D05ECF" w:rsidP="008C6258">
            <w:pPr>
              <w:tabs>
                <w:tab w:val="left" w:pos="9072"/>
              </w:tabs>
              <w:bidi w:val="0"/>
              <w:spacing w:after="0" w:line="240" w:lineRule="auto"/>
              <w:ind w:left="466"/>
              <w:jc w:val="both"/>
              <w:rPr>
                <w:rFonts w:asciiTheme="minorBidi" w:hAnsiTheme="minorBidi" w:cstheme="minorBidi"/>
                <w:sz w:val="18"/>
                <w:szCs w:val="18"/>
              </w:rPr>
            </w:pPr>
            <w:r w:rsidRPr="00B25DD3">
              <w:rPr>
                <w:rFonts w:asciiTheme="minorBidi" w:hAnsiTheme="minorBidi" w:cstheme="minorBidi"/>
                <w:sz w:val="18"/>
                <w:szCs w:val="18"/>
              </w:rPr>
              <w:t>-0.6</w:t>
            </w:r>
          </w:p>
        </w:tc>
        <w:tc>
          <w:tcPr>
            <w:tcW w:w="1213" w:type="dxa"/>
            <w:tcBorders>
              <w:top w:val="nil"/>
              <w:bottom w:val="nil"/>
            </w:tcBorders>
          </w:tcPr>
          <w:p w14:paraId="2EFE71C5" w14:textId="77777777" w:rsidR="00D05ECF" w:rsidRPr="00B25DD3" w:rsidRDefault="00C5198F" w:rsidP="00AD2727">
            <w:pPr>
              <w:tabs>
                <w:tab w:val="left" w:pos="9072"/>
              </w:tabs>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In</w:t>
            </w:r>
            <w:r w:rsidR="00D05ECF" w:rsidRPr="00B25DD3">
              <w:rPr>
                <w:rFonts w:asciiTheme="minorBidi" w:hAnsiTheme="minorBidi" w:cstheme="minorBidi"/>
                <w:sz w:val="18"/>
                <w:szCs w:val="18"/>
              </w:rPr>
              <w:t>crease</w:t>
            </w:r>
          </w:p>
        </w:tc>
      </w:tr>
      <w:tr w:rsidR="00D05ECF" w:rsidRPr="00B25DD3" w14:paraId="4F60BF8C" w14:textId="77777777" w:rsidTr="000B381B">
        <w:trPr>
          <w:trHeight w:val="389"/>
        </w:trPr>
        <w:tc>
          <w:tcPr>
            <w:tcW w:w="4613" w:type="dxa"/>
            <w:tcBorders>
              <w:top w:val="nil"/>
              <w:bottom w:val="nil"/>
            </w:tcBorders>
            <w:shd w:val="clear" w:color="auto" w:fill="auto"/>
            <w:noWrap/>
            <w:vAlign w:val="center"/>
          </w:tcPr>
          <w:p w14:paraId="50D1AED5" w14:textId="77777777" w:rsidR="00D05ECF" w:rsidRPr="00B25DD3" w:rsidRDefault="00D05ECF" w:rsidP="00E871CB">
            <w:pPr>
              <w:tabs>
                <w:tab w:val="left" w:pos="9072"/>
              </w:tabs>
              <w:bidi w:val="0"/>
              <w:spacing w:after="0" w:line="240" w:lineRule="auto"/>
              <w:ind w:left="397" w:hanging="142"/>
              <w:jc w:val="both"/>
              <w:rPr>
                <w:rFonts w:asciiTheme="minorBidi" w:hAnsiTheme="minorBidi" w:cstheme="minorBidi"/>
                <w:sz w:val="18"/>
                <w:szCs w:val="18"/>
              </w:rPr>
            </w:pPr>
            <w:r w:rsidRPr="00B25DD3">
              <w:rPr>
                <w:rFonts w:asciiTheme="minorBidi" w:hAnsiTheme="minorBidi" w:cstheme="minorBidi"/>
                <w:sz w:val="18"/>
                <w:szCs w:val="18"/>
              </w:rPr>
              <w:t> Indicator of Food Price Anomalies (IFPA) for Rice(UN,2021, Index)</w:t>
            </w:r>
          </w:p>
        </w:tc>
        <w:tc>
          <w:tcPr>
            <w:tcW w:w="1436" w:type="dxa"/>
            <w:tcBorders>
              <w:top w:val="nil"/>
              <w:bottom w:val="nil"/>
            </w:tcBorders>
            <w:shd w:val="clear" w:color="auto" w:fill="auto"/>
            <w:noWrap/>
          </w:tcPr>
          <w:p w14:paraId="172D0C4E" w14:textId="77777777" w:rsidR="00D05ECF" w:rsidRPr="00B25DD3" w:rsidRDefault="00D05ECF" w:rsidP="008C6258">
            <w:pPr>
              <w:tabs>
                <w:tab w:val="left" w:pos="9072"/>
              </w:tabs>
              <w:bidi w:val="0"/>
              <w:spacing w:after="0" w:line="240" w:lineRule="auto"/>
              <w:ind w:left="121"/>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563" w:type="dxa"/>
            <w:tcBorders>
              <w:top w:val="nil"/>
              <w:bottom w:val="nil"/>
            </w:tcBorders>
          </w:tcPr>
          <w:p w14:paraId="363DC788" w14:textId="77777777" w:rsidR="00D05ECF" w:rsidRPr="00B25DD3" w:rsidRDefault="00D05ECF" w:rsidP="008C6258">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-0.</w:t>
            </w:r>
            <w:r w:rsidR="00477E79" w:rsidRPr="00B25DD3">
              <w:rPr>
                <w:rFonts w:asciiTheme="minorBidi" w:hAnsiTheme="minorBidi" w:cstheme="minorBidi"/>
                <w:sz w:val="18"/>
                <w:szCs w:val="18"/>
              </w:rPr>
              <w:t>5</w:t>
            </w:r>
            <w:r w:rsidRPr="00B25DD3">
              <w:rPr>
                <w:rFonts w:asciiTheme="minorBidi" w:hAnsiTheme="minorBidi" w:cstheme="minorBidi"/>
                <w:sz w:val="18"/>
                <w:szCs w:val="18"/>
              </w:rPr>
              <w:t xml:space="preserve"> (</w:t>
            </w:r>
            <w:r w:rsidR="00477E79" w:rsidRPr="00B25DD3">
              <w:rPr>
                <w:rFonts w:asciiTheme="minorBidi" w:hAnsiTheme="minorBidi" w:cstheme="minorBidi"/>
                <w:sz w:val="18"/>
                <w:szCs w:val="18"/>
              </w:rPr>
              <w:t>2020</w:t>
            </w:r>
            <w:r w:rsidRPr="00B25DD3">
              <w:rPr>
                <w:rFonts w:asciiTheme="minorBidi" w:hAnsiTheme="minorBidi" w:cstheme="minorBidi"/>
                <w:sz w:val="18"/>
                <w:szCs w:val="18"/>
              </w:rPr>
              <w:t>)</w:t>
            </w:r>
          </w:p>
        </w:tc>
        <w:tc>
          <w:tcPr>
            <w:tcW w:w="1524" w:type="dxa"/>
            <w:tcBorders>
              <w:top w:val="nil"/>
              <w:bottom w:val="nil"/>
            </w:tcBorders>
            <w:shd w:val="clear" w:color="auto" w:fill="auto"/>
            <w:noWrap/>
          </w:tcPr>
          <w:p w14:paraId="7B1C72E9" w14:textId="77777777" w:rsidR="00D05ECF" w:rsidRPr="00B25DD3" w:rsidRDefault="00D05ECF" w:rsidP="008C6258">
            <w:pPr>
              <w:tabs>
                <w:tab w:val="left" w:pos="9072"/>
              </w:tabs>
              <w:bidi w:val="0"/>
              <w:spacing w:after="0" w:line="240" w:lineRule="auto"/>
              <w:ind w:left="466"/>
              <w:jc w:val="both"/>
              <w:rPr>
                <w:rFonts w:asciiTheme="minorBidi" w:hAnsiTheme="minorBidi" w:cstheme="minorBidi"/>
                <w:sz w:val="18"/>
                <w:szCs w:val="18"/>
              </w:rPr>
            </w:pPr>
            <w:r w:rsidRPr="00B25DD3">
              <w:rPr>
                <w:rFonts w:asciiTheme="minorBidi" w:hAnsiTheme="minorBidi" w:cstheme="minorBidi"/>
                <w:sz w:val="18"/>
                <w:szCs w:val="18"/>
              </w:rPr>
              <w:t>0.22</w:t>
            </w:r>
          </w:p>
        </w:tc>
        <w:tc>
          <w:tcPr>
            <w:tcW w:w="1213" w:type="dxa"/>
            <w:tcBorders>
              <w:top w:val="nil"/>
              <w:bottom w:val="nil"/>
            </w:tcBorders>
          </w:tcPr>
          <w:p w14:paraId="0D7151EE" w14:textId="77777777" w:rsidR="00D05ECF" w:rsidRPr="00B25DD3" w:rsidRDefault="00C5198F" w:rsidP="00805FA8">
            <w:pPr>
              <w:tabs>
                <w:tab w:val="left" w:pos="9072"/>
              </w:tabs>
              <w:bidi w:val="0"/>
              <w:spacing w:after="0" w:line="240" w:lineRule="auto"/>
              <w:ind w:left="83"/>
              <w:jc w:val="center"/>
              <w:rPr>
                <w:rFonts w:asciiTheme="minorBidi" w:hAnsiTheme="minorBidi" w:cstheme="minorBidi"/>
                <w:sz w:val="18"/>
                <w:szCs w:val="18"/>
                <w:rtl/>
              </w:rPr>
            </w:pPr>
            <w:r w:rsidRPr="00B25DD3">
              <w:rPr>
                <w:rFonts w:asciiTheme="minorBidi" w:hAnsiTheme="minorBidi" w:cstheme="minorBidi"/>
                <w:sz w:val="18"/>
                <w:szCs w:val="18"/>
              </w:rPr>
              <w:t>De</w:t>
            </w:r>
            <w:r w:rsidR="00D05ECF" w:rsidRPr="00B25DD3">
              <w:rPr>
                <w:rFonts w:asciiTheme="minorBidi" w:hAnsiTheme="minorBidi" w:cstheme="minorBidi"/>
                <w:sz w:val="18"/>
                <w:szCs w:val="18"/>
              </w:rPr>
              <w:t>crease</w:t>
            </w:r>
          </w:p>
        </w:tc>
      </w:tr>
      <w:tr w:rsidR="00D05ECF" w:rsidRPr="00B25DD3" w14:paraId="2B87C235" w14:textId="77777777" w:rsidTr="000B381B">
        <w:trPr>
          <w:trHeight w:val="389"/>
        </w:trPr>
        <w:tc>
          <w:tcPr>
            <w:tcW w:w="4613" w:type="dxa"/>
            <w:tcBorders>
              <w:top w:val="nil"/>
            </w:tcBorders>
            <w:shd w:val="clear" w:color="auto" w:fill="auto"/>
            <w:noWrap/>
            <w:vAlign w:val="center"/>
          </w:tcPr>
          <w:p w14:paraId="4DA13E84" w14:textId="77777777" w:rsidR="00D05ECF" w:rsidRPr="00B25DD3" w:rsidRDefault="00D05ECF" w:rsidP="008C6258">
            <w:pPr>
              <w:tabs>
                <w:tab w:val="left" w:pos="9072"/>
              </w:tabs>
              <w:bidi w:val="0"/>
              <w:spacing w:after="0" w:line="240" w:lineRule="auto"/>
              <w:ind w:left="336"/>
              <w:jc w:val="both"/>
              <w:rPr>
                <w:rFonts w:asciiTheme="minorBidi" w:hAnsiTheme="minorBidi" w:cstheme="minorBidi"/>
                <w:sz w:val="18"/>
                <w:szCs w:val="18"/>
                <w:rtl/>
              </w:rPr>
            </w:pPr>
            <w:r w:rsidRPr="00B25DD3">
              <w:rPr>
                <w:rFonts w:asciiTheme="minorBidi" w:hAnsiTheme="minorBidi" w:cstheme="minorBidi"/>
                <w:sz w:val="18"/>
                <w:szCs w:val="18"/>
              </w:rPr>
              <w:t>Indicator of Food Price Anomalies (IFPA) for Wheat(UN,2021, Index)</w:t>
            </w:r>
          </w:p>
        </w:tc>
        <w:tc>
          <w:tcPr>
            <w:tcW w:w="1436" w:type="dxa"/>
            <w:tcBorders>
              <w:top w:val="nil"/>
            </w:tcBorders>
            <w:shd w:val="clear" w:color="auto" w:fill="auto"/>
            <w:noWrap/>
          </w:tcPr>
          <w:p w14:paraId="3DE833EE" w14:textId="77777777" w:rsidR="00D05ECF" w:rsidRPr="00B25DD3" w:rsidRDefault="00D05ECF" w:rsidP="008C6258">
            <w:pPr>
              <w:tabs>
                <w:tab w:val="left" w:pos="9072"/>
              </w:tabs>
              <w:bidi w:val="0"/>
              <w:spacing w:after="0" w:line="240" w:lineRule="auto"/>
              <w:ind w:left="121"/>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563" w:type="dxa"/>
            <w:tcBorders>
              <w:top w:val="nil"/>
            </w:tcBorders>
          </w:tcPr>
          <w:p w14:paraId="101D1378" w14:textId="77777777" w:rsidR="00D05ECF" w:rsidRPr="00B25DD3" w:rsidRDefault="00D05ECF" w:rsidP="008C6258">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0.</w:t>
            </w:r>
            <w:r w:rsidR="00477E79" w:rsidRPr="00B25DD3">
              <w:rPr>
                <w:rFonts w:asciiTheme="minorBidi" w:hAnsiTheme="minorBidi" w:cstheme="minorBidi"/>
                <w:sz w:val="18"/>
                <w:szCs w:val="18"/>
              </w:rPr>
              <w:t>5</w:t>
            </w:r>
            <w:r w:rsidRPr="00B25DD3">
              <w:rPr>
                <w:rFonts w:asciiTheme="minorBidi" w:hAnsiTheme="minorBidi" w:cstheme="minorBidi"/>
                <w:sz w:val="18"/>
                <w:szCs w:val="18"/>
              </w:rPr>
              <w:t xml:space="preserve"> (20</w:t>
            </w:r>
            <w:r w:rsidR="00477E79" w:rsidRPr="00B25DD3">
              <w:rPr>
                <w:rFonts w:asciiTheme="minorBidi" w:hAnsiTheme="minorBidi" w:cstheme="minorBidi"/>
                <w:sz w:val="18"/>
                <w:szCs w:val="18"/>
              </w:rPr>
              <w:t>20</w:t>
            </w:r>
            <w:r w:rsidRPr="00B25DD3">
              <w:rPr>
                <w:rFonts w:asciiTheme="minorBidi" w:hAnsiTheme="minorBidi" w:cstheme="minorBidi"/>
                <w:sz w:val="18"/>
                <w:szCs w:val="18"/>
              </w:rPr>
              <w:t>)</w:t>
            </w:r>
          </w:p>
        </w:tc>
        <w:tc>
          <w:tcPr>
            <w:tcW w:w="1524" w:type="dxa"/>
            <w:tcBorders>
              <w:top w:val="nil"/>
            </w:tcBorders>
            <w:shd w:val="clear" w:color="auto" w:fill="auto"/>
            <w:noWrap/>
          </w:tcPr>
          <w:p w14:paraId="4680AC8C" w14:textId="77777777" w:rsidR="00D05ECF" w:rsidRPr="00B25DD3" w:rsidRDefault="00D05ECF" w:rsidP="008C6258">
            <w:pPr>
              <w:tabs>
                <w:tab w:val="left" w:pos="9072"/>
              </w:tabs>
              <w:bidi w:val="0"/>
              <w:spacing w:after="0" w:line="240" w:lineRule="auto"/>
              <w:ind w:left="466"/>
              <w:jc w:val="both"/>
              <w:rPr>
                <w:rFonts w:asciiTheme="minorBidi" w:hAnsiTheme="minorBidi" w:cstheme="minorBidi"/>
                <w:sz w:val="18"/>
                <w:szCs w:val="18"/>
              </w:rPr>
            </w:pPr>
            <w:r w:rsidRPr="00B25DD3">
              <w:rPr>
                <w:rFonts w:asciiTheme="minorBidi" w:hAnsiTheme="minorBidi" w:cstheme="minorBidi"/>
                <w:sz w:val="18"/>
                <w:szCs w:val="18"/>
              </w:rPr>
              <w:t>-0.16</w:t>
            </w:r>
          </w:p>
        </w:tc>
        <w:tc>
          <w:tcPr>
            <w:tcW w:w="1213" w:type="dxa"/>
            <w:tcBorders>
              <w:top w:val="nil"/>
            </w:tcBorders>
          </w:tcPr>
          <w:p w14:paraId="51685B6A" w14:textId="77777777" w:rsidR="00D05ECF" w:rsidRPr="00B25DD3" w:rsidRDefault="00C5198F" w:rsidP="00477193">
            <w:pPr>
              <w:tabs>
                <w:tab w:val="left" w:pos="9072"/>
              </w:tabs>
              <w:bidi w:val="0"/>
              <w:spacing w:after="0" w:line="240" w:lineRule="auto"/>
              <w:ind w:left="173"/>
              <w:jc w:val="center"/>
              <w:rPr>
                <w:rFonts w:asciiTheme="minorBidi" w:hAnsiTheme="minorBidi" w:cstheme="minorBidi"/>
                <w:sz w:val="18"/>
                <w:szCs w:val="18"/>
                <w:rtl/>
              </w:rPr>
            </w:pPr>
            <w:r w:rsidRPr="00B25DD3">
              <w:rPr>
                <w:rFonts w:asciiTheme="minorBidi" w:hAnsiTheme="minorBidi" w:cstheme="minorBidi"/>
                <w:sz w:val="18"/>
                <w:szCs w:val="18"/>
              </w:rPr>
              <w:t>In</w:t>
            </w:r>
            <w:r w:rsidR="00D05ECF" w:rsidRPr="00B25DD3">
              <w:rPr>
                <w:rFonts w:asciiTheme="minorBidi" w:hAnsiTheme="minorBidi" w:cstheme="minorBidi"/>
                <w:sz w:val="18"/>
                <w:szCs w:val="18"/>
              </w:rPr>
              <w:t>crease</w:t>
            </w:r>
          </w:p>
        </w:tc>
      </w:tr>
    </w:tbl>
    <w:p w14:paraId="123236C9" w14:textId="77777777" w:rsidR="00611C35" w:rsidRPr="00B25DD3" w:rsidRDefault="00611C35" w:rsidP="00611C35">
      <w:pPr>
        <w:pStyle w:val="ListParagraph"/>
        <w:autoSpaceDE w:val="0"/>
        <w:autoSpaceDN w:val="0"/>
        <w:adjustRightInd w:val="0"/>
        <w:spacing w:after="0" w:line="240" w:lineRule="auto"/>
        <w:jc w:val="both"/>
        <w:rPr>
          <w:rFonts w:ascii="Times New Roman" w:hAnsi="Times New Roman" w:cs="Times New Roman"/>
          <w:b/>
          <w:bCs/>
          <w:sz w:val="24"/>
          <w:szCs w:val="24"/>
        </w:rPr>
      </w:pPr>
    </w:p>
    <w:p w14:paraId="2B6C7418" w14:textId="77777777" w:rsidR="001F12C6" w:rsidRDefault="001F12C6" w:rsidP="00611C35">
      <w:pPr>
        <w:pStyle w:val="ListParagraph"/>
        <w:autoSpaceDE w:val="0"/>
        <w:autoSpaceDN w:val="0"/>
        <w:adjustRightInd w:val="0"/>
        <w:spacing w:after="0" w:line="240" w:lineRule="auto"/>
        <w:jc w:val="both"/>
        <w:rPr>
          <w:rFonts w:ascii="Times New Roman" w:hAnsi="Times New Roman" w:cs="Times New Roman"/>
          <w:b/>
          <w:bCs/>
          <w:sz w:val="24"/>
          <w:szCs w:val="24"/>
        </w:rPr>
      </w:pPr>
    </w:p>
    <w:p w14:paraId="7AAE8399" w14:textId="77777777" w:rsidR="00B25DD3" w:rsidRDefault="00B25DD3" w:rsidP="00611C35">
      <w:pPr>
        <w:pStyle w:val="ListParagraph"/>
        <w:autoSpaceDE w:val="0"/>
        <w:autoSpaceDN w:val="0"/>
        <w:adjustRightInd w:val="0"/>
        <w:spacing w:after="0" w:line="240" w:lineRule="auto"/>
        <w:jc w:val="both"/>
        <w:rPr>
          <w:rFonts w:ascii="Times New Roman" w:hAnsi="Times New Roman" w:cs="Times New Roman"/>
          <w:b/>
          <w:bCs/>
          <w:sz w:val="24"/>
          <w:szCs w:val="24"/>
        </w:rPr>
      </w:pPr>
    </w:p>
    <w:p w14:paraId="13FB7E58" w14:textId="77777777" w:rsidR="00B25DD3" w:rsidRDefault="00B25DD3" w:rsidP="00611C35">
      <w:pPr>
        <w:pStyle w:val="ListParagraph"/>
        <w:autoSpaceDE w:val="0"/>
        <w:autoSpaceDN w:val="0"/>
        <w:adjustRightInd w:val="0"/>
        <w:spacing w:after="0" w:line="240" w:lineRule="auto"/>
        <w:jc w:val="both"/>
        <w:rPr>
          <w:rFonts w:ascii="Times New Roman" w:hAnsi="Times New Roman" w:cs="Times New Roman"/>
          <w:b/>
          <w:bCs/>
          <w:sz w:val="24"/>
          <w:szCs w:val="24"/>
        </w:rPr>
      </w:pPr>
    </w:p>
    <w:p w14:paraId="322AAFE4" w14:textId="77777777" w:rsidR="00B25DD3" w:rsidRPr="00B25DD3" w:rsidRDefault="00B25DD3" w:rsidP="00611C35">
      <w:pPr>
        <w:pStyle w:val="ListParagraph"/>
        <w:autoSpaceDE w:val="0"/>
        <w:autoSpaceDN w:val="0"/>
        <w:adjustRightInd w:val="0"/>
        <w:spacing w:after="0" w:line="240" w:lineRule="auto"/>
        <w:jc w:val="both"/>
        <w:rPr>
          <w:rFonts w:ascii="Times New Roman" w:hAnsi="Times New Roman" w:cs="Times New Roman"/>
          <w:b/>
          <w:bCs/>
          <w:sz w:val="24"/>
          <w:szCs w:val="24"/>
        </w:rPr>
      </w:pPr>
    </w:p>
    <w:p w14:paraId="2AAA80F7" w14:textId="77777777" w:rsidR="00500C94" w:rsidRPr="00B25DD3" w:rsidRDefault="00500C94" w:rsidP="00FB1314">
      <w:pPr>
        <w:pStyle w:val="ListParagraph"/>
        <w:numPr>
          <w:ilvl w:val="0"/>
          <w:numId w:val="10"/>
        </w:numPr>
        <w:autoSpaceDE w:val="0"/>
        <w:autoSpaceDN w:val="0"/>
        <w:adjustRightInd w:val="0"/>
        <w:spacing w:after="0" w:line="240" w:lineRule="auto"/>
        <w:jc w:val="both"/>
        <w:rPr>
          <w:rFonts w:ascii="Times New Roman" w:hAnsi="Times New Roman" w:cs="Times New Roman"/>
          <w:b/>
          <w:bCs/>
          <w:sz w:val="24"/>
          <w:szCs w:val="24"/>
        </w:rPr>
      </w:pPr>
      <w:r w:rsidRPr="00B25DD3">
        <w:rPr>
          <w:rFonts w:ascii="Times New Roman" w:hAnsi="Times New Roman" w:cs="Times New Roman"/>
          <w:b/>
          <w:bCs/>
          <w:sz w:val="24"/>
          <w:szCs w:val="24"/>
        </w:rPr>
        <w:lastRenderedPageBreak/>
        <w:t xml:space="preserve">Reported </w:t>
      </w:r>
      <w:r w:rsidR="00D13307" w:rsidRPr="00B25DD3">
        <w:rPr>
          <w:rFonts w:ascii="Times New Roman" w:hAnsi="Times New Roman" w:cs="Times New Roman"/>
          <w:b/>
          <w:bCs/>
          <w:sz w:val="24"/>
          <w:szCs w:val="24"/>
        </w:rPr>
        <w:t>i</w:t>
      </w:r>
      <w:r w:rsidRPr="00B25DD3">
        <w:rPr>
          <w:rFonts w:ascii="Times New Roman" w:hAnsi="Times New Roman" w:cs="Times New Roman"/>
          <w:b/>
          <w:bCs/>
          <w:sz w:val="24"/>
          <w:szCs w:val="24"/>
        </w:rPr>
        <w:t xml:space="preserve">ndicators by </w:t>
      </w:r>
      <w:r w:rsidR="00D13307" w:rsidRPr="00B25DD3">
        <w:rPr>
          <w:rFonts w:ascii="Times New Roman" w:hAnsi="Times New Roman" w:cs="Times New Roman"/>
          <w:b/>
          <w:bCs/>
          <w:sz w:val="24"/>
          <w:szCs w:val="24"/>
        </w:rPr>
        <w:t>o</w:t>
      </w:r>
      <w:r w:rsidRPr="00B25DD3">
        <w:rPr>
          <w:rFonts w:ascii="Times New Roman" w:hAnsi="Times New Roman" w:cs="Times New Roman"/>
          <w:b/>
          <w:bCs/>
          <w:sz w:val="24"/>
          <w:szCs w:val="24"/>
        </w:rPr>
        <w:t xml:space="preserve">ther </w:t>
      </w:r>
      <w:r w:rsidR="00D13307" w:rsidRPr="00B25DD3">
        <w:rPr>
          <w:rFonts w:ascii="Times New Roman" w:hAnsi="Times New Roman" w:cs="Times New Roman"/>
          <w:b/>
          <w:bCs/>
          <w:sz w:val="24"/>
          <w:szCs w:val="24"/>
        </w:rPr>
        <w:t>s</w:t>
      </w:r>
      <w:r w:rsidRPr="00B25DD3">
        <w:rPr>
          <w:rFonts w:ascii="Times New Roman" w:hAnsi="Times New Roman" w:cs="Times New Roman"/>
          <w:b/>
          <w:bCs/>
          <w:sz w:val="24"/>
          <w:szCs w:val="24"/>
        </w:rPr>
        <w:t>ources</w:t>
      </w:r>
    </w:p>
    <w:p w14:paraId="6A2253FA" w14:textId="77777777" w:rsidR="00C035E4" w:rsidRDefault="00500C94" w:rsidP="00C035E4">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w:t>
      </w:r>
      <w:r w:rsidR="008B6C2A">
        <w:rPr>
          <w:rFonts w:ascii="Times New Roman" w:hAnsi="Times New Roman" w:cs="Times New Roman"/>
          <w:sz w:val="24"/>
          <w:szCs w:val="24"/>
        </w:rPr>
        <w:t xml:space="preserve"> is one additional</w:t>
      </w:r>
      <w:r w:rsidRPr="00C134AE">
        <w:rPr>
          <w:rFonts w:ascii="Times New Roman" w:hAnsi="Times New Roman" w:cs="Times New Roman"/>
          <w:sz w:val="24"/>
          <w:szCs w:val="24"/>
        </w:rPr>
        <w:t xml:space="preserve"> indicator</w:t>
      </w:r>
      <w:r w:rsidR="008B6C2A">
        <w:rPr>
          <w:rFonts w:ascii="Times New Roman" w:hAnsi="Times New Roman" w:cs="Times New Roman"/>
          <w:sz w:val="24"/>
          <w:szCs w:val="24"/>
        </w:rPr>
        <w:t xml:space="preserve"> reported</w:t>
      </w:r>
      <w:r w:rsidRPr="00C134AE">
        <w:rPr>
          <w:rFonts w:ascii="Times New Roman" w:hAnsi="Times New Roman" w:cs="Times New Roman"/>
          <w:sz w:val="24"/>
          <w:szCs w:val="24"/>
        </w:rPr>
        <w:t xml:space="preserve"> by</w:t>
      </w:r>
      <w:r>
        <w:rPr>
          <w:rFonts w:ascii="Times New Roman" w:hAnsi="Times New Roman" w:cs="Times New Roman"/>
          <w:sz w:val="24"/>
          <w:szCs w:val="24"/>
        </w:rPr>
        <w:t xml:space="preserve"> other sources that </w:t>
      </w:r>
      <w:r w:rsidR="008B6C2A">
        <w:rPr>
          <w:rFonts w:ascii="Times New Roman" w:hAnsi="Times New Roman" w:cs="Times New Roman"/>
          <w:sz w:val="24"/>
          <w:szCs w:val="24"/>
        </w:rPr>
        <w:t xml:space="preserve">is </w:t>
      </w:r>
      <w:r>
        <w:rPr>
          <w:rFonts w:ascii="Times New Roman" w:hAnsi="Times New Roman" w:cs="Times New Roman"/>
          <w:sz w:val="24"/>
          <w:szCs w:val="24"/>
        </w:rPr>
        <w:t>available on</w:t>
      </w:r>
      <w:r w:rsidRPr="001D5BA6">
        <w:rPr>
          <w:rFonts w:ascii="Times New Roman" w:hAnsi="Times New Roman" w:cs="Times New Roman"/>
          <w:sz w:val="24"/>
          <w:szCs w:val="24"/>
        </w:rPr>
        <w:t>UNSD-Database</w:t>
      </w:r>
      <w:r>
        <w:rPr>
          <w:rFonts w:ascii="Times New Roman" w:hAnsi="Times New Roman" w:cs="Times New Roman"/>
          <w:sz w:val="24"/>
          <w:szCs w:val="24"/>
        </w:rPr>
        <w:t xml:space="preserve"> for Goal 2 </w:t>
      </w:r>
      <w:r w:rsidRPr="00C134AE">
        <w:rPr>
          <w:rFonts w:ascii="Times New Roman" w:hAnsi="Times New Roman" w:cs="Times New Roman"/>
          <w:sz w:val="24"/>
          <w:szCs w:val="24"/>
        </w:rPr>
        <w:t>referring to</w:t>
      </w:r>
      <w:r w:rsidR="008B6C2A">
        <w:rPr>
          <w:rFonts w:ascii="Times New Roman" w:hAnsi="Times New Roman" w:cs="Times New Roman"/>
          <w:sz w:val="24"/>
          <w:szCs w:val="24"/>
        </w:rPr>
        <w:t xml:space="preserve">one </w:t>
      </w:r>
      <w:r w:rsidR="007679D9">
        <w:rPr>
          <w:rFonts w:ascii="Times New Roman" w:hAnsi="Times New Roman" w:cs="Times New Roman"/>
          <w:sz w:val="24"/>
          <w:szCs w:val="24"/>
        </w:rPr>
        <w:t>o</w:t>
      </w:r>
      <w:r>
        <w:rPr>
          <w:rFonts w:ascii="Times New Roman" w:hAnsi="Times New Roman" w:cs="Times New Roman"/>
          <w:sz w:val="24"/>
          <w:szCs w:val="24"/>
        </w:rPr>
        <w:t>f</w:t>
      </w:r>
      <w:r w:rsidRPr="00C134AE">
        <w:rPr>
          <w:rFonts w:ascii="Times New Roman" w:hAnsi="Times New Roman" w:cs="Times New Roman"/>
          <w:sz w:val="24"/>
          <w:szCs w:val="24"/>
        </w:rPr>
        <w:t xml:space="preserve"> the </w:t>
      </w:r>
      <w:r w:rsidR="008B6C2A">
        <w:rPr>
          <w:rFonts w:ascii="Times New Roman" w:hAnsi="Times New Roman" w:cs="Times New Roman"/>
          <w:sz w:val="24"/>
          <w:szCs w:val="24"/>
        </w:rPr>
        <w:t>eight</w:t>
      </w:r>
      <w:r w:rsidRPr="00C134AE">
        <w:rPr>
          <w:rFonts w:ascii="Times New Roman" w:hAnsi="Times New Roman" w:cs="Times New Roman"/>
          <w:sz w:val="24"/>
          <w:szCs w:val="24"/>
        </w:rPr>
        <w:t>targets</w:t>
      </w:r>
      <w:r w:rsidR="00D13307">
        <w:rPr>
          <w:rFonts w:ascii="Times New Roman" w:hAnsi="Times New Roman" w:cs="Times New Roman"/>
          <w:sz w:val="24"/>
          <w:szCs w:val="24"/>
        </w:rPr>
        <w:t>;t</w:t>
      </w:r>
      <w:r w:rsidR="00C035E4" w:rsidRPr="001D5BA6">
        <w:rPr>
          <w:rFonts w:ascii="Times New Roman" w:hAnsi="Times New Roman" w:cs="Times New Roman"/>
          <w:sz w:val="24"/>
          <w:szCs w:val="24"/>
        </w:rPr>
        <w:t xml:space="preserve">herefore, </w:t>
      </w:r>
      <w:r w:rsidR="00C035E4">
        <w:rPr>
          <w:rFonts w:ascii="Times New Roman" w:hAnsi="Times New Roman" w:cs="Times New Roman"/>
          <w:sz w:val="24"/>
          <w:szCs w:val="24"/>
        </w:rPr>
        <w:t xml:space="preserve">50.0% </w:t>
      </w:r>
      <w:r w:rsidR="00C035E4" w:rsidRPr="001D5BA6">
        <w:rPr>
          <w:rFonts w:ascii="Times New Roman" w:hAnsi="Times New Roman" w:cs="Times New Roman"/>
          <w:sz w:val="24"/>
          <w:szCs w:val="24"/>
        </w:rPr>
        <w:t>of the goal targets</w:t>
      </w:r>
      <w:r w:rsidR="00C035E4">
        <w:rPr>
          <w:rFonts w:ascii="Times New Roman" w:hAnsi="Times New Roman" w:cs="Times New Roman"/>
          <w:sz w:val="24"/>
          <w:szCs w:val="24"/>
        </w:rPr>
        <w:t xml:space="preserve"> (</w:t>
      </w:r>
      <w:r w:rsidR="00C035E4" w:rsidRPr="00C035E4">
        <w:rPr>
          <w:rFonts w:ascii="Times New Roman" w:hAnsi="Times New Roman" w:cs="Times New Roman"/>
          <w:sz w:val="24"/>
          <w:szCs w:val="24"/>
        </w:rPr>
        <w:t>four</w:t>
      </w:r>
      <w:r w:rsidR="00C035E4">
        <w:rPr>
          <w:rFonts w:ascii="Times New Roman" w:hAnsi="Times New Roman" w:cs="Times New Roman"/>
          <w:sz w:val="24"/>
          <w:szCs w:val="24"/>
        </w:rPr>
        <w:t>out of eight)</w:t>
      </w:r>
      <w:r w:rsidR="008B6C2A">
        <w:rPr>
          <w:rFonts w:ascii="Times New Roman" w:hAnsi="Times New Roman" w:cs="Times New Roman"/>
          <w:sz w:val="24"/>
          <w:szCs w:val="24"/>
        </w:rPr>
        <w:t xml:space="preserve">have </w:t>
      </w:r>
      <w:r w:rsidR="00C035E4" w:rsidRPr="001D5BA6">
        <w:rPr>
          <w:rFonts w:ascii="Times New Roman" w:hAnsi="Times New Roman" w:cs="Times New Roman"/>
          <w:sz w:val="24"/>
          <w:szCs w:val="24"/>
        </w:rPr>
        <w:t xml:space="preserve">either </w:t>
      </w:r>
      <w:r w:rsidR="008B6C2A">
        <w:rPr>
          <w:rFonts w:ascii="Times New Roman" w:hAnsi="Times New Roman" w:cs="Times New Roman"/>
          <w:sz w:val="24"/>
          <w:szCs w:val="24"/>
        </w:rPr>
        <w:t xml:space="preserve">been </w:t>
      </w:r>
      <w:r w:rsidR="00C035E4" w:rsidRPr="001D5BA6">
        <w:rPr>
          <w:rFonts w:ascii="Times New Roman" w:hAnsi="Times New Roman" w:cs="Times New Roman"/>
          <w:sz w:val="24"/>
          <w:szCs w:val="24"/>
        </w:rPr>
        <w:t>fully or partially</w:t>
      </w:r>
      <w:r w:rsidR="008B6C2A">
        <w:rPr>
          <w:rFonts w:ascii="Times New Roman" w:hAnsi="Times New Roman" w:cs="Times New Roman"/>
          <w:sz w:val="24"/>
          <w:szCs w:val="24"/>
        </w:rPr>
        <w:t xml:space="preserve"> covered</w:t>
      </w:r>
      <w:r w:rsidR="00C035E4" w:rsidRPr="001D5BA6">
        <w:rPr>
          <w:rFonts w:ascii="Times New Roman" w:hAnsi="Times New Roman" w:cs="Times New Roman"/>
          <w:sz w:val="24"/>
          <w:szCs w:val="24"/>
        </w:rPr>
        <w:t>.</w:t>
      </w:r>
    </w:p>
    <w:p w14:paraId="41FC8C44" w14:textId="77777777" w:rsidR="008B6C2A" w:rsidRPr="001D5BA6" w:rsidRDefault="008B6C2A" w:rsidP="008B6C2A">
      <w:pPr>
        <w:autoSpaceDE w:val="0"/>
        <w:autoSpaceDN w:val="0"/>
        <w:bidi w:val="0"/>
        <w:adjustRightInd w:val="0"/>
        <w:spacing w:after="0" w:line="240" w:lineRule="auto"/>
        <w:jc w:val="both"/>
        <w:rPr>
          <w:rFonts w:ascii="Times New Roman" w:hAnsi="Times New Roman" w:cs="Times New Roman"/>
          <w:sz w:val="24"/>
          <w:szCs w:val="24"/>
        </w:rPr>
      </w:pPr>
    </w:p>
    <w:p w14:paraId="109DDC81" w14:textId="77777777" w:rsidR="00500C94" w:rsidRPr="00184EED" w:rsidRDefault="00500C94" w:rsidP="008C6258">
      <w:pPr>
        <w:pStyle w:val="ListParagraph"/>
        <w:spacing w:after="0" w:line="240" w:lineRule="auto"/>
        <w:ind w:left="502"/>
        <w:jc w:val="center"/>
        <w:rPr>
          <w:rFonts w:asciiTheme="minorBidi" w:hAnsiTheme="minorBidi" w:cstheme="minorBidi"/>
          <w:b/>
          <w:bCs/>
          <w:lang w:eastAsia="ar-SA"/>
        </w:rPr>
      </w:pPr>
      <w:r w:rsidRPr="00184EED">
        <w:rPr>
          <w:rFonts w:asciiTheme="minorBidi" w:hAnsiTheme="minorBidi" w:cstheme="minorBidi"/>
          <w:b/>
          <w:bCs/>
          <w:lang w:eastAsia="ar-SA"/>
        </w:rPr>
        <w:t xml:space="preserve">Table 2.2: List of SDGs </w:t>
      </w:r>
      <w:r w:rsidR="008B6C2A">
        <w:rPr>
          <w:rFonts w:asciiTheme="minorBidi" w:hAnsiTheme="minorBidi" w:cstheme="minorBidi"/>
          <w:b/>
          <w:bCs/>
          <w:lang w:eastAsia="ar-SA"/>
        </w:rPr>
        <w:t>I</w:t>
      </w:r>
      <w:r w:rsidRPr="00184EED">
        <w:rPr>
          <w:rFonts w:asciiTheme="minorBidi" w:hAnsiTheme="minorBidi" w:cstheme="minorBidi"/>
          <w:b/>
          <w:bCs/>
          <w:lang w:eastAsia="ar-SA"/>
        </w:rPr>
        <w:t xml:space="preserve">ndicators </w:t>
      </w:r>
      <w:r w:rsidR="008B6C2A">
        <w:rPr>
          <w:rFonts w:asciiTheme="minorBidi" w:hAnsiTheme="minorBidi" w:cstheme="minorBidi"/>
          <w:b/>
          <w:bCs/>
          <w:lang w:eastAsia="ar-SA"/>
        </w:rPr>
        <w:t>R</w:t>
      </w:r>
      <w:r w:rsidRPr="00184EED">
        <w:rPr>
          <w:rFonts w:asciiTheme="minorBidi" w:hAnsiTheme="minorBidi" w:cstheme="minorBidi"/>
          <w:b/>
          <w:bCs/>
          <w:lang w:eastAsia="ar-SA"/>
        </w:rPr>
        <w:t xml:space="preserve">eleased by </w:t>
      </w:r>
      <w:r w:rsidRPr="00184EED">
        <w:rPr>
          <w:rFonts w:asciiTheme="minorBidi" w:hAnsiTheme="minorBidi" w:cstheme="minorBidi"/>
          <w:b/>
          <w:bCs/>
        </w:rPr>
        <w:t>Other Sources</w:t>
      </w:r>
    </w:p>
    <w:p w14:paraId="13210580" w14:textId="77777777" w:rsidR="00500C94" w:rsidRPr="00080517" w:rsidRDefault="00500C94" w:rsidP="008C6258">
      <w:pPr>
        <w:bidi w:val="0"/>
        <w:spacing w:after="0" w:line="240" w:lineRule="auto"/>
        <w:jc w:val="center"/>
        <w:rPr>
          <w:rStyle w:val="Bodytext8pt"/>
          <w:bCs w:val="0"/>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500C94" w:rsidRPr="000D2E4D" w14:paraId="5FAEB7E2" w14:textId="77777777" w:rsidTr="00500C94">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CC1A9" w14:textId="77777777" w:rsidR="00500C94" w:rsidRPr="00A16230" w:rsidRDefault="00500C94" w:rsidP="008C6258">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53FE5925" w14:textId="77777777" w:rsidR="00500C94" w:rsidRPr="001D5BA6" w:rsidRDefault="00500C94" w:rsidP="008C6258">
            <w:pPr>
              <w:bidi w:val="0"/>
              <w:spacing w:after="0" w:line="240" w:lineRule="auto"/>
              <w:jc w:val="center"/>
            </w:pPr>
            <w:r w:rsidRPr="001D5BA6">
              <w:rPr>
                <w:rFonts w:ascii="Arial" w:hAnsi="Arial"/>
                <w:b/>
                <w:bCs/>
                <w:sz w:val="18"/>
                <w:szCs w:val="18"/>
              </w:rPr>
              <w:t>Most Recent Year</w:t>
            </w:r>
          </w:p>
        </w:tc>
      </w:tr>
      <w:tr w:rsidR="00500C94" w:rsidRPr="000D2E4D" w14:paraId="1B12ECA8" w14:textId="77777777" w:rsidTr="00120C51">
        <w:trPr>
          <w:trHeight w:val="553"/>
        </w:trPr>
        <w:tc>
          <w:tcPr>
            <w:tcW w:w="6826" w:type="dxa"/>
            <w:tcBorders>
              <w:top w:val="single" w:sz="4" w:space="0" w:color="auto"/>
              <w:left w:val="single" w:sz="4" w:space="0" w:color="auto"/>
              <w:bottom w:val="single" w:sz="4" w:space="0" w:color="auto"/>
              <w:right w:val="single" w:sz="4" w:space="0" w:color="auto"/>
            </w:tcBorders>
            <w:shd w:val="clear" w:color="auto" w:fill="auto"/>
            <w:noWrap/>
          </w:tcPr>
          <w:p w14:paraId="4CD131F7" w14:textId="77777777" w:rsidR="00F13199" w:rsidRPr="00B25DD3" w:rsidRDefault="00500C94" w:rsidP="00120C51">
            <w:pPr>
              <w:tabs>
                <w:tab w:val="left" w:pos="9072"/>
              </w:tabs>
              <w:bidi w:val="0"/>
              <w:spacing w:after="0" w:line="240" w:lineRule="auto"/>
              <w:rPr>
                <w:rFonts w:ascii="Arial" w:hAnsi="Arial"/>
                <w:color w:val="000000"/>
                <w:sz w:val="18"/>
                <w:szCs w:val="18"/>
              </w:rPr>
            </w:pPr>
            <w:r w:rsidRPr="00B25DD3">
              <w:rPr>
                <w:rFonts w:ascii="Arial" w:hAnsi="Arial"/>
                <w:b/>
                <w:sz w:val="18"/>
                <w:szCs w:val="18"/>
              </w:rPr>
              <w:t>Indicator2.a.2</w:t>
            </w:r>
            <w:r w:rsidRPr="00B25DD3">
              <w:rPr>
                <w:rFonts w:ascii="Arial" w:hAnsi="Arial"/>
                <w:sz w:val="18"/>
                <w:szCs w:val="18"/>
              </w:rPr>
              <w:t>Total official flows (official development assistance plus other official flows) to the agriculture sector</w:t>
            </w:r>
          </w:p>
        </w:tc>
        <w:tc>
          <w:tcPr>
            <w:tcW w:w="2234" w:type="dxa"/>
            <w:tcBorders>
              <w:top w:val="single" w:sz="4" w:space="0" w:color="auto"/>
              <w:left w:val="nil"/>
              <w:bottom w:val="single" w:sz="4" w:space="0" w:color="auto"/>
              <w:right w:val="single" w:sz="4" w:space="0" w:color="auto"/>
            </w:tcBorders>
            <w:vAlign w:val="center"/>
          </w:tcPr>
          <w:p w14:paraId="1076BAE8" w14:textId="77777777" w:rsidR="00500C94" w:rsidRPr="00B25DD3" w:rsidRDefault="00EA10A7" w:rsidP="007679D9">
            <w:pPr>
              <w:spacing w:after="0" w:line="240" w:lineRule="auto"/>
              <w:ind w:right="57"/>
              <w:jc w:val="center"/>
              <w:rPr>
                <w:rFonts w:ascii="Arial" w:hAnsi="Arial"/>
                <w:color w:val="000000"/>
                <w:sz w:val="18"/>
                <w:szCs w:val="18"/>
              </w:rPr>
            </w:pPr>
            <w:r w:rsidRPr="00B25DD3">
              <w:rPr>
                <w:rFonts w:ascii="Arial" w:hAnsi="Arial"/>
                <w:color w:val="000000"/>
                <w:sz w:val="18"/>
                <w:szCs w:val="18"/>
              </w:rPr>
              <w:t>2021</w:t>
            </w:r>
          </w:p>
          <w:p w14:paraId="35ED1885" w14:textId="77777777" w:rsidR="00F13199" w:rsidRPr="00B25DD3" w:rsidRDefault="00F13199" w:rsidP="007679D9">
            <w:pPr>
              <w:spacing w:after="0" w:line="240" w:lineRule="auto"/>
              <w:ind w:right="57"/>
              <w:jc w:val="center"/>
              <w:rPr>
                <w:rFonts w:ascii="Arial" w:hAnsi="Arial"/>
                <w:color w:val="000000"/>
                <w:sz w:val="18"/>
                <w:szCs w:val="18"/>
              </w:rPr>
            </w:pPr>
          </w:p>
          <w:p w14:paraId="63D26FAB" w14:textId="77777777" w:rsidR="00F13199" w:rsidRPr="00B25DD3" w:rsidRDefault="00F13199" w:rsidP="007679D9">
            <w:pPr>
              <w:spacing w:after="0" w:line="240" w:lineRule="auto"/>
              <w:ind w:right="57"/>
              <w:jc w:val="center"/>
              <w:rPr>
                <w:rFonts w:ascii="Arial" w:hAnsi="Arial"/>
                <w:color w:val="000000"/>
                <w:sz w:val="18"/>
                <w:szCs w:val="18"/>
              </w:rPr>
            </w:pPr>
          </w:p>
        </w:tc>
      </w:tr>
    </w:tbl>
    <w:p w14:paraId="400DB456" w14:textId="77777777" w:rsidR="00500C94" w:rsidRDefault="00500C94"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68CC0FC5"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2.1.2 Prevalence of moderate or severe food insecurity in the population, based on the Food Ins</w:t>
      </w:r>
      <w:r w:rsidR="002F0A63">
        <w:rPr>
          <w:rFonts w:ascii="Times New Roman" w:hAnsi="Times New Roman" w:cs="Times New Roman"/>
          <w:b/>
          <w:bCs/>
          <w:i/>
          <w:iCs/>
          <w:sz w:val="24"/>
          <w:szCs w:val="24"/>
        </w:rPr>
        <w:t>ecurity Experience Scale (FIES)</w:t>
      </w:r>
    </w:p>
    <w:p w14:paraId="7785F22C"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Based on the Food Insecurity Experience Scale (FIES) in Palestine during </w:t>
      </w:r>
      <w:r w:rsidRPr="00184EED">
        <w:rPr>
          <w:rFonts w:ascii="Times New Roman" w:hAnsi="Times New Roman" w:cs="Times New Roman"/>
          <w:sz w:val="24"/>
          <w:szCs w:val="24"/>
        </w:rPr>
        <w:t>2014-</w:t>
      </w:r>
      <w:r w:rsidR="00636DAE" w:rsidRPr="00184EED">
        <w:rPr>
          <w:rFonts w:ascii="Times New Roman" w:hAnsi="Times New Roman" w:cs="Times New Roman"/>
          <w:sz w:val="24"/>
          <w:szCs w:val="24"/>
        </w:rPr>
        <w:t>2019</w:t>
      </w:r>
      <w:r w:rsidRPr="008A4E00">
        <w:rPr>
          <w:rFonts w:ascii="Times New Roman" w:hAnsi="Times New Roman" w:cs="Times New Roman"/>
          <w:sz w:val="24"/>
          <w:szCs w:val="24"/>
        </w:rPr>
        <w:t>, about 1.</w:t>
      </w:r>
      <w:r w:rsidR="0013555B">
        <w:rPr>
          <w:rFonts w:ascii="Times New Roman" w:hAnsi="Times New Roman" w:cs="Times New Roman" w:hint="cs"/>
          <w:sz w:val="24"/>
          <w:szCs w:val="24"/>
          <w:rtl/>
        </w:rPr>
        <w:t>3</w:t>
      </w:r>
      <w:r w:rsidRPr="008A4E00">
        <w:rPr>
          <w:rFonts w:ascii="Times New Roman" w:hAnsi="Times New Roman" w:cs="Times New Roman"/>
          <w:sz w:val="24"/>
          <w:szCs w:val="24"/>
        </w:rPr>
        <w:t xml:space="preserve"> million individuals suffered from moderate food insecurity that formulated about </w:t>
      </w:r>
      <w:r w:rsidR="00636DAE">
        <w:rPr>
          <w:rFonts w:ascii="Times New Roman" w:hAnsi="Times New Roman" w:cs="Times New Roman"/>
          <w:sz w:val="24"/>
          <w:szCs w:val="24"/>
        </w:rPr>
        <w:t>26.3% of the population, while its value for 2020 increased to 37.9%.</w:t>
      </w:r>
    </w:p>
    <w:p w14:paraId="68A87A9E" w14:textId="77777777" w:rsidR="0086098A" w:rsidRDefault="0086098A" w:rsidP="008C6258">
      <w:pPr>
        <w:tabs>
          <w:tab w:val="left" w:pos="9072"/>
        </w:tabs>
        <w:bidi w:val="0"/>
        <w:spacing w:after="0" w:line="240" w:lineRule="auto"/>
        <w:jc w:val="center"/>
        <w:rPr>
          <w:rFonts w:ascii="Times New Roman" w:hAnsi="Times New Roman" w:cs="Times New Roman"/>
          <w:sz w:val="16"/>
          <w:szCs w:val="16"/>
        </w:rPr>
      </w:pPr>
    </w:p>
    <w:p w14:paraId="2274EA53" w14:textId="77777777" w:rsidR="0086098A" w:rsidRDefault="0086098A" w:rsidP="0086098A">
      <w:pPr>
        <w:tabs>
          <w:tab w:val="left" w:pos="9072"/>
        </w:tabs>
        <w:bidi w:val="0"/>
        <w:spacing w:after="0" w:line="240" w:lineRule="auto"/>
        <w:jc w:val="center"/>
        <w:rPr>
          <w:rFonts w:ascii="Arial" w:hAnsi="Arial"/>
          <w:b/>
          <w:bCs/>
        </w:rPr>
      </w:pPr>
    </w:p>
    <w:p w14:paraId="7A4E2D58" w14:textId="77777777" w:rsidR="007D39B6" w:rsidRPr="00DB7680" w:rsidRDefault="007D39B6" w:rsidP="00D31662">
      <w:pPr>
        <w:tabs>
          <w:tab w:val="left" w:pos="9072"/>
        </w:tabs>
        <w:bidi w:val="0"/>
        <w:spacing w:after="0" w:line="240" w:lineRule="auto"/>
        <w:jc w:val="center"/>
        <w:rPr>
          <w:rFonts w:ascii="Arial" w:hAnsi="Arial"/>
          <w:b/>
          <w:bCs/>
        </w:rPr>
      </w:pPr>
      <w:r w:rsidRPr="00DB7680">
        <w:rPr>
          <w:rFonts w:ascii="Arial" w:hAnsi="Arial"/>
          <w:b/>
          <w:bCs/>
        </w:rPr>
        <w:t>Prevalence of Moderate Food Insecurity Among Palestinians, 20</w:t>
      </w:r>
      <w:r w:rsidR="00D31662" w:rsidRPr="00DB7680">
        <w:rPr>
          <w:rFonts w:ascii="Arial" w:hAnsi="Arial"/>
          <w:b/>
          <w:bCs/>
        </w:rPr>
        <w:t>20</w:t>
      </w:r>
      <w:r w:rsidRPr="00DB768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9"/>
      </w:tblGrid>
      <w:tr w:rsidR="007D39B6" w:rsidRPr="008A4E00" w14:paraId="256B9019" w14:textId="77777777" w:rsidTr="00F13199">
        <w:trPr>
          <w:trHeight w:val="3108"/>
        </w:trPr>
        <w:tc>
          <w:tcPr>
            <w:tcW w:w="8949" w:type="dxa"/>
            <w:shd w:val="clear" w:color="auto" w:fill="auto"/>
            <w:vAlign w:val="center"/>
          </w:tcPr>
          <w:p w14:paraId="242E75D7" w14:textId="77777777" w:rsidR="007D39B6" w:rsidRPr="0018618D" w:rsidRDefault="0018618D" w:rsidP="00F13199">
            <w:pPr>
              <w:tabs>
                <w:tab w:val="left" w:pos="9072"/>
              </w:tabs>
              <w:bidi w:val="0"/>
              <w:spacing w:after="0" w:line="240" w:lineRule="auto"/>
              <w:jc w:val="center"/>
              <w:rPr>
                <w:rFonts w:ascii="Arial" w:hAnsi="Arial"/>
                <w:b/>
                <w:bCs/>
              </w:rPr>
            </w:pPr>
            <w:r w:rsidRPr="008A4E00">
              <w:rPr>
                <w:rFonts w:ascii="Times New Roman" w:hAnsi="Times New Roman" w:cs="Times New Roman"/>
                <w:noProof/>
                <w:sz w:val="24"/>
                <w:szCs w:val="24"/>
              </w:rPr>
              <w:drawing>
                <wp:inline distT="0" distB="0" distL="0" distR="0" wp14:anchorId="6CDE69BD" wp14:editId="2B8B5A7E">
                  <wp:extent cx="4611188" cy="2188845"/>
                  <wp:effectExtent l="0" t="0" r="0" b="1905"/>
                  <wp:docPr id="22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2A83E480" w14:textId="77777777" w:rsidR="007D39B6" w:rsidRDefault="007D39B6" w:rsidP="00636DAE">
      <w:pPr>
        <w:tabs>
          <w:tab w:val="left" w:pos="9072"/>
        </w:tabs>
        <w:bidi w:val="0"/>
        <w:spacing w:after="0" w:line="240" w:lineRule="auto"/>
        <w:jc w:val="both"/>
        <w:rPr>
          <w:rFonts w:ascii="Times New Roman" w:hAnsi="Times New Roman" w:cs="Times New Roman"/>
          <w:sz w:val="24"/>
          <w:szCs w:val="24"/>
        </w:rPr>
      </w:pPr>
      <w:r w:rsidRPr="008A4E00">
        <w:rPr>
          <w:rFonts w:ascii="Arial" w:hAnsi="Arial"/>
          <w:b/>
          <w:bCs/>
          <w:sz w:val="18"/>
          <w:szCs w:val="18"/>
        </w:rPr>
        <w:t xml:space="preserve">Source: </w:t>
      </w:r>
      <w:r w:rsidR="00636DAE" w:rsidRPr="00500499">
        <w:rPr>
          <w:rFonts w:ascii="Arial" w:hAnsi="Arial"/>
          <w:b/>
          <w:bCs/>
          <w:sz w:val="18"/>
          <w:szCs w:val="18"/>
        </w:rPr>
        <w:t>Palestinian Central Bureau of Statistics</w:t>
      </w:r>
      <w:r w:rsidR="0018618D">
        <w:rPr>
          <w:rFonts w:ascii="Arial" w:hAnsi="Arial"/>
          <w:sz w:val="18"/>
          <w:szCs w:val="18"/>
        </w:rPr>
        <w:t>, 2022.</w:t>
      </w:r>
      <w:r w:rsidR="00636DAE" w:rsidRPr="00636DAE">
        <w:rPr>
          <w:rFonts w:ascii="Arial" w:hAnsi="Arial"/>
          <w:sz w:val="18"/>
          <w:szCs w:val="18"/>
        </w:rPr>
        <w:t xml:space="preserve"> Socio-Economic Conditions Survey, 2020</w:t>
      </w:r>
    </w:p>
    <w:p w14:paraId="20E1DF0A" w14:textId="77777777" w:rsidR="00636DAE" w:rsidRPr="008A4E00" w:rsidRDefault="00636DAE" w:rsidP="00636DAE">
      <w:pPr>
        <w:tabs>
          <w:tab w:val="left" w:pos="9072"/>
        </w:tabs>
        <w:bidi w:val="0"/>
        <w:spacing w:after="0" w:line="240" w:lineRule="auto"/>
        <w:jc w:val="both"/>
        <w:rPr>
          <w:rFonts w:ascii="Times New Roman" w:hAnsi="Times New Roman" w:cs="Times New Roman"/>
          <w:sz w:val="24"/>
          <w:szCs w:val="24"/>
          <w:rtl/>
        </w:rPr>
      </w:pPr>
    </w:p>
    <w:p w14:paraId="143642A0" w14:textId="77777777" w:rsidR="007D39B6" w:rsidRPr="008A4E00" w:rsidRDefault="007D39B6" w:rsidP="00E02CB6">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The results indicate that </w:t>
      </w:r>
      <w:r w:rsidR="008B6C2A">
        <w:rPr>
          <w:rFonts w:ascii="Times New Roman" w:hAnsi="Times New Roman" w:cs="Times New Roman"/>
          <w:sz w:val="24"/>
          <w:szCs w:val="24"/>
        </w:rPr>
        <w:t>p</w:t>
      </w:r>
      <w:r w:rsidRPr="008A4E00">
        <w:rPr>
          <w:rFonts w:ascii="Times New Roman" w:hAnsi="Times New Roman" w:cs="Times New Roman"/>
          <w:sz w:val="24"/>
          <w:szCs w:val="24"/>
        </w:rPr>
        <w:t xml:space="preserve">revalence of severe food insecurity in the population, based on the Food Insecurity Experience Scale (FIES) in Palestine during </w:t>
      </w:r>
      <w:r w:rsidRPr="00184EED">
        <w:rPr>
          <w:rFonts w:ascii="Times New Roman" w:hAnsi="Times New Roman" w:cs="Times New Roman"/>
          <w:sz w:val="24"/>
          <w:szCs w:val="24"/>
        </w:rPr>
        <w:t>2014-20</w:t>
      </w:r>
      <w:r w:rsidR="00E02CB6" w:rsidRPr="00184EED">
        <w:rPr>
          <w:rFonts w:ascii="Times New Roman" w:hAnsi="Times New Roman" w:cs="Times New Roman"/>
          <w:sz w:val="24"/>
          <w:szCs w:val="24"/>
        </w:rPr>
        <w:t>19</w:t>
      </w:r>
      <w:r w:rsidR="008B6C2A">
        <w:rPr>
          <w:rFonts w:ascii="Times New Roman" w:hAnsi="Times New Roman" w:cs="Times New Roman"/>
          <w:sz w:val="24"/>
          <w:szCs w:val="24"/>
        </w:rPr>
        <w:t>reached</w:t>
      </w:r>
      <w:r w:rsidR="00E02CB6">
        <w:rPr>
          <w:rFonts w:ascii="Times New Roman" w:hAnsi="Times New Roman" w:cs="Times New Roman"/>
          <w:sz w:val="24"/>
          <w:szCs w:val="24"/>
        </w:rPr>
        <w:t>4.4</w:t>
      </w:r>
      <w:r w:rsidRPr="008A4E00">
        <w:rPr>
          <w:rFonts w:ascii="Times New Roman" w:hAnsi="Times New Roman" w:cs="Times New Roman"/>
          <w:sz w:val="24"/>
          <w:szCs w:val="24"/>
        </w:rPr>
        <w:t>%</w:t>
      </w:r>
      <w:r w:rsidR="00E02CB6">
        <w:rPr>
          <w:rFonts w:ascii="Times New Roman" w:hAnsi="Times New Roman" w:cs="Times New Roman"/>
          <w:sz w:val="24"/>
          <w:szCs w:val="24"/>
        </w:rPr>
        <w:t>, while its value for 2020 increased to 6.7%.</w:t>
      </w:r>
    </w:p>
    <w:p w14:paraId="00A6AC40" w14:textId="77777777" w:rsidR="007D39B6" w:rsidRDefault="007D39B6" w:rsidP="008C6258">
      <w:pPr>
        <w:tabs>
          <w:tab w:val="left" w:pos="9072"/>
        </w:tabs>
        <w:bidi w:val="0"/>
        <w:spacing w:after="0" w:line="240" w:lineRule="auto"/>
        <w:jc w:val="center"/>
        <w:rPr>
          <w:rFonts w:ascii="Times New Roman" w:hAnsi="Times New Roman" w:cs="Times New Roman"/>
          <w:b/>
          <w:bCs/>
          <w:sz w:val="16"/>
          <w:szCs w:val="16"/>
        </w:rPr>
      </w:pPr>
    </w:p>
    <w:p w14:paraId="152AC89A"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255E7C03"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34C849AF"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02BF7E74"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0762E8FF"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789126FC"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73918E67"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3210FE47"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50F7C32F"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4C07B04D"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5E0345B9"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3E96BC8C"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37CC27BE"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2E1D788B"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3BA64224" w14:textId="77777777" w:rsidR="001F12C6" w:rsidRDefault="001F12C6" w:rsidP="001F12C6">
      <w:pPr>
        <w:tabs>
          <w:tab w:val="left" w:pos="9072"/>
        </w:tabs>
        <w:bidi w:val="0"/>
        <w:spacing w:after="0" w:line="240" w:lineRule="auto"/>
        <w:jc w:val="center"/>
        <w:rPr>
          <w:rFonts w:ascii="Times New Roman" w:hAnsi="Times New Roman" w:cs="Times New Roman"/>
          <w:b/>
          <w:bCs/>
          <w:sz w:val="16"/>
          <w:szCs w:val="16"/>
        </w:rPr>
      </w:pPr>
    </w:p>
    <w:p w14:paraId="74442A27" w14:textId="77777777" w:rsidR="001F12C6" w:rsidRPr="008A4E00" w:rsidRDefault="001F12C6" w:rsidP="001F12C6">
      <w:pPr>
        <w:tabs>
          <w:tab w:val="left" w:pos="9072"/>
        </w:tabs>
        <w:bidi w:val="0"/>
        <w:spacing w:after="0" w:line="240" w:lineRule="auto"/>
        <w:jc w:val="center"/>
        <w:rPr>
          <w:rFonts w:ascii="Times New Roman" w:hAnsi="Times New Roman" w:cs="Times New Roman"/>
          <w:b/>
          <w:bCs/>
          <w:sz w:val="16"/>
          <w:szCs w:val="16"/>
        </w:rPr>
      </w:pPr>
    </w:p>
    <w:p w14:paraId="76121A84" w14:textId="77777777" w:rsidR="007679D9" w:rsidRDefault="007679D9" w:rsidP="007679D9">
      <w:pPr>
        <w:tabs>
          <w:tab w:val="left" w:pos="9072"/>
        </w:tabs>
        <w:bidi w:val="0"/>
        <w:spacing w:after="0" w:line="240" w:lineRule="auto"/>
        <w:jc w:val="center"/>
        <w:rPr>
          <w:rFonts w:ascii="Arial" w:hAnsi="Arial"/>
          <w:b/>
          <w:bCs/>
        </w:rPr>
      </w:pPr>
    </w:p>
    <w:p w14:paraId="2F904000" w14:textId="77777777" w:rsidR="007D39B6" w:rsidRPr="008A4E00" w:rsidRDefault="007D39B6" w:rsidP="00AE0A47">
      <w:pPr>
        <w:tabs>
          <w:tab w:val="left" w:pos="9072"/>
        </w:tabs>
        <w:bidi w:val="0"/>
        <w:spacing w:after="0" w:line="240" w:lineRule="auto"/>
        <w:jc w:val="center"/>
        <w:rPr>
          <w:rFonts w:ascii="Arial" w:hAnsi="Arial"/>
          <w:b/>
          <w:bCs/>
        </w:rPr>
      </w:pPr>
      <w:r w:rsidRPr="008A4E00">
        <w:rPr>
          <w:rFonts w:ascii="Arial" w:hAnsi="Arial"/>
          <w:b/>
          <w:bCs/>
        </w:rPr>
        <w:lastRenderedPageBreak/>
        <w:t>Prevalence of Severe Food Insecurity Among Palestinians, 20</w:t>
      </w:r>
      <w:r w:rsidR="00AE0A47">
        <w:rPr>
          <w:rFonts w:ascii="Arial" w:hAnsi="Arial"/>
          <w:b/>
          <w:bCs/>
        </w:rPr>
        <w:t>20</w:t>
      </w:r>
      <w:r w:rsidRPr="008A4E0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6E50E19F" w14:textId="77777777" w:rsidTr="00F13199">
        <w:trPr>
          <w:trHeight w:val="3503"/>
        </w:trPr>
        <w:tc>
          <w:tcPr>
            <w:tcW w:w="9286" w:type="dxa"/>
            <w:shd w:val="clear" w:color="auto" w:fill="auto"/>
            <w:vAlign w:val="center"/>
          </w:tcPr>
          <w:p w14:paraId="4BF41831" w14:textId="77777777" w:rsidR="007D39B6" w:rsidRPr="008A4E00" w:rsidRDefault="007D39B6" w:rsidP="00F13199">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1C1B5DBB" wp14:editId="60E78D1F">
                  <wp:extent cx="4611188" cy="2188845"/>
                  <wp:effectExtent l="0" t="0" r="0" b="1905"/>
                  <wp:docPr id="11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2FEC7817" w14:textId="77777777" w:rsidR="00E02CB6" w:rsidRDefault="007D39B6" w:rsidP="00E02CB6">
      <w:pPr>
        <w:tabs>
          <w:tab w:val="left" w:pos="9072"/>
        </w:tabs>
        <w:bidi w:val="0"/>
        <w:spacing w:after="0" w:line="240" w:lineRule="auto"/>
        <w:jc w:val="both"/>
        <w:rPr>
          <w:rFonts w:ascii="Times New Roman" w:hAnsi="Times New Roman" w:cs="Times New Roman"/>
          <w:b/>
          <w:bCs/>
          <w:i/>
          <w:iCs/>
          <w:sz w:val="24"/>
          <w:szCs w:val="24"/>
        </w:rPr>
      </w:pPr>
      <w:r w:rsidRPr="008A4E00">
        <w:rPr>
          <w:rFonts w:ascii="Arial" w:hAnsi="Arial"/>
          <w:b/>
          <w:bCs/>
          <w:sz w:val="18"/>
          <w:szCs w:val="18"/>
        </w:rPr>
        <w:t xml:space="preserve">Source: </w:t>
      </w:r>
      <w:r w:rsidR="00E02CB6" w:rsidRPr="00500499">
        <w:rPr>
          <w:rFonts w:ascii="Arial" w:hAnsi="Arial"/>
          <w:b/>
          <w:bCs/>
          <w:sz w:val="18"/>
          <w:szCs w:val="18"/>
        </w:rPr>
        <w:t>Palestinian Central Bureau of Statistics</w:t>
      </w:r>
      <w:r w:rsidR="0018618D">
        <w:rPr>
          <w:rFonts w:ascii="Arial" w:hAnsi="Arial"/>
          <w:sz w:val="18"/>
          <w:szCs w:val="18"/>
        </w:rPr>
        <w:t xml:space="preserve">, 2022. </w:t>
      </w:r>
      <w:r w:rsidR="00E02CB6" w:rsidRPr="00E02CB6">
        <w:rPr>
          <w:rFonts w:ascii="Arial" w:hAnsi="Arial"/>
          <w:sz w:val="18"/>
          <w:szCs w:val="18"/>
        </w:rPr>
        <w:t>Socio-Economic Conditions Survey, 2020</w:t>
      </w:r>
    </w:p>
    <w:p w14:paraId="1DC7D06A" w14:textId="77777777" w:rsidR="00E02CB6" w:rsidRPr="00E665C5" w:rsidRDefault="00E02CB6" w:rsidP="00E665C5">
      <w:pPr>
        <w:tabs>
          <w:tab w:val="left" w:pos="9072"/>
        </w:tabs>
        <w:bidi w:val="0"/>
        <w:spacing w:after="0" w:line="240" w:lineRule="auto"/>
        <w:jc w:val="both"/>
        <w:rPr>
          <w:rFonts w:ascii="Times New Roman" w:hAnsi="Times New Roman"/>
          <w:b/>
          <w:i/>
          <w:sz w:val="24"/>
        </w:rPr>
      </w:pPr>
    </w:p>
    <w:p w14:paraId="159345FB" w14:textId="77777777" w:rsidR="007D39B6" w:rsidRPr="008A4E00" w:rsidRDefault="007D39B6" w:rsidP="00E665C5">
      <w:pPr>
        <w:tabs>
          <w:tab w:val="left" w:pos="9072"/>
        </w:tabs>
        <w:bidi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2.2.1 Prevalence of stunting (height for age &lt;-2 standard deviation from the median of the WHO Child Growth Standards) among children under 5 years of age</w:t>
      </w:r>
    </w:p>
    <w:p w14:paraId="4DF06EFF" w14:textId="77777777" w:rsidR="007D39B6" w:rsidRPr="008A4E00" w:rsidRDefault="007D39B6" w:rsidP="00F46624">
      <w:pPr>
        <w:autoSpaceDE w:val="0"/>
        <w:autoSpaceDN w:val="0"/>
        <w:bidi w:val="0"/>
        <w:adjustRightInd w:val="0"/>
        <w:spacing w:after="0" w:line="240" w:lineRule="auto"/>
        <w:jc w:val="right"/>
        <w:rPr>
          <w:rFonts w:ascii="Times New Roman" w:hAnsi="Times New Roman" w:cs="Times New Roman"/>
          <w:b/>
          <w:bCs/>
          <w:i/>
          <w:iCs/>
          <w:sz w:val="24"/>
          <w:szCs w:val="24"/>
        </w:rPr>
      </w:pPr>
    </w:p>
    <w:p w14:paraId="1BDF0B0D" w14:textId="77777777" w:rsidR="007D39B6" w:rsidRPr="008970F7" w:rsidRDefault="007D39B6" w:rsidP="008C6258">
      <w:pPr>
        <w:autoSpaceDE w:val="0"/>
        <w:autoSpaceDN w:val="0"/>
        <w:bidi w:val="0"/>
        <w:adjustRightInd w:val="0"/>
        <w:spacing w:after="0" w:line="240" w:lineRule="auto"/>
        <w:jc w:val="both"/>
        <w:rPr>
          <w:rFonts w:ascii="Times New Roman" w:hAnsi="Times New Roman" w:cs="Times New Roman"/>
          <w:sz w:val="24"/>
          <w:szCs w:val="24"/>
          <w:rtl/>
        </w:rPr>
      </w:pPr>
      <w:r w:rsidRPr="008970F7">
        <w:rPr>
          <w:rFonts w:ascii="Times New Roman" w:hAnsi="Times New Roman" w:cs="Times New Roman"/>
          <w:sz w:val="24"/>
          <w:szCs w:val="24"/>
        </w:rPr>
        <w:t>Prevalence of stunting (height for age &lt;-2 standard deviation from the median of the W</w:t>
      </w:r>
      <w:r w:rsidR="008B6C2A">
        <w:rPr>
          <w:rFonts w:ascii="Times New Roman" w:hAnsi="Times New Roman" w:cs="Times New Roman"/>
          <w:sz w:val="24"/>
          <w:szCs w:val="24"/>
        </w:rPr>
        <w:t>HO</w:t>
      </w:r>
      <w:r w:rsidRPr="008970F7">
        <w:rPr>
          <w:rFonts w:ascii="Times New Roman" w:hAnsi="Times New Roman" w:cs="Times New Roman"/>
          <w:sz w:val="24"/>
          <w:szCs w:val="24"/>
        </w:rPr>
        <w:t xml:space="preserve"> Child Growth Standards) among children under five </w:t>
      </w:r>
      <w:r w:rsidR="008B6C2A">
        <w:rPr>
          <w:rFonts w:ascii="Times New Roman" w:hAnsi="Times New Roman" w:cs="Times New Roman"/>
          <w:sz w:val="24"/>
          <w:szCs w:val="24"/>
        </w:rPr>
        <w:t xml:space="preserve">reached </w:t>
      </w:r>
      <w:r w:rsidRPr="008970F7">
        <w:rPr>
          <w:rFonts w:ascii="Times New Roman" w:hAnsi="Times New Roman" w:cs="Times New Roman"/>
          <w:sz w:val="24"/>
          <w:szCs w:val="24"/>
        </w:rPr>
        <w:t>8.7% compared</w:t>
      </w:r>
      <w:r>
        <w:rPr>
          <w:rFonts w:ascii="Times New Roman" w:hAnsi="Times New Roman" w:cs="Times New Roman"/>
          <w:sz w:val="24"/>
          <w:szCs w:val="24"/>
        </w:rPr>
        <w:t xml:space="preserve"> to 7.4% for year 2014 </w:t>
      </w:r>
      <w:r w:rsidRPr="008970F7">
        <w:rPr>
          <w:rFonts w:ascii="Times New Roman" w:hAnsi="Times New Roman" w:cs="Times New Roman"/>
          <w:sz w:val="24"/>
          <w:szCs w:val="24"/>
        </w:rPr>
        <w:t>in Palestine: 8.5% in the West Bank and 9.0% in Gaza Strip during 2019; 8.6% for males and 8.8% for females</w:t>
      </w:r>
      <w:r>
        <w:rPr>
          <w:rFonts w:ascii="Times New Roman" w:hAnsi="Times New Roman" w:cs="Times New Roman"/>
          <w:sz w:val="24"/>
          <w:szCs w:val="24"/>
        </w:rPr>
        <w:t xml:space="preserve"> for the same period</w:t>
      </w:r>
      <w:r w:rsidRPr="008970F7">
        <w:rPr>
          <w:rFonts w:ascii="Times New Roman" w:hAnsi="Times New Roman" w:cs="Times New Roman"/>
          <w:sz w:val="24"/>
          <w:szCs w:val="24"/>
        </w:rPr>
        <w:t>.</w:t>
      </w:r>
    </w:p>
    <w:p w14:paraId="56B7A01A" w14:textId="77777777" w:rsidR="007D39B6" w:rsidRPr="003A32B8" w:rsidRDefault="007D39B6" w:rsidP="008C6258">
      <w:pPr>
        <w:tabs>
          <w:tab w:val="left" w:pos="9072"/>
        </w:tabs>
        <w:bidi w:val="0"/>
        <w:spacing w:after="0" w:line="240" w:lineRule="auto"/>
        <w:jc w:val="center"/>
        <w:rPr>
          <w:rFonts w:ascii="Arial" w:hAnsi="Arial"/>
          <w:b/>
          <w:sz w:val="18"/>
          <w:szCs w:val="16"/>
        </w:rPr>
      </w:pPr>
    </w:p>
    <w:p w14:paraId="5D85EFFE" w14:textId="77777777" w:rsidR="007D39B6" w:rsidRPr="008A4E00" w:rsidRDefault="007D39B6" w:rsidP="008C6258">
      <w:pPr>
        <w:tabs>
          <w:tab w:val="left" w:pos="9072"/>
        </w:tabs>
        <w:bidi w:val="0"/>
        <w:spacing w:after="0" w:line="240" w:lineRule="auto"/>
        <w:jc w:val="center"/>
        <w:rPr>
          <w:rFonts w:ascii="Arial" w:hAnsi="Arial"/>
          <w:b/>
          <w:bCs/>
        </w:rPr>
      </w:pPr>
      <w:r w:rsidRPr="008A4E00">
        <w:rPr>
          <w:rFonts w:ascii="Arial" w:hAnsi="Arial"/>
          <w:b/>
          <w:bCs/>
        </w:rPr>
        <w:t>Prevalence of Stunting* Among Children Under Five Years of Age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2D96FFCF" w14:textId="77777777" w:rsidTr="00F13199">
        <w:tc>
          <w:tcPr>
            <w:tcW w:w="9286" w:type="dxa"/>
            <w:shd w:val="clear" w:color="auto" w:fill="auto"/>
            <w:vAlign w:val="center"/>
          </w:tcPr>
          <w:p w14:paraId="7654C859" w14:textId="77777777" w:rsidR="007D39B6" w:rsidRPr="008A4E00" w:rsidRDefault="007D39B6" w:rsidP="00F13199">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2E1DD553" wp14:editId="498D9CAE">
                  <wp:extent cx="5535930" cy="2182266"/>
                  <wp:effectExtent l="0" t="0" r="7620" b="8890"/>
                  <wp:docPr id="114"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14E07D3F" w14:textId="77777777" w:rsidR="007D39B6" w:rsidRPr="00184EED" w:rsidRDefault="007D39B6" w:rsidP="008C6258">
      <w:pPr>
        <w:tabs>
          <w:tab w:val="left" w:pos="9072"/>
        </w:tabs>
        <w:bidi w:val="0"/>
        <w:spacing w:after="0" w:line="240" w:lineRule="auto"/>
        <w:jc w:val="both"/>
        <w:rPr>
          <w:rFonts w:ascii="Arial" w:hAnsi="Arial"/>
          <w:b/>
          <w:bCs/>
          <w:sz w:val="18"/>
          <w:szCs w:val="18"/>
        </w:rPr>
      </w:pPr>
      <w:r w:rsidRPr="00184EED">
        <w:rPr>
          <w:rFonts w:ascii="Arial" w:hAnsi="Arial"/>
          <w:b/>
          <w:bCs/>
          <w:sz w:val="18"/>
          <w:szCs w:val="18"/>
        </w:rPr>
        <w:t>Source: Palestinian Central Bureau of Statistics,</w:t>
      </w:r>
      <w:r w:rsidRPr="00184EED">
        <w:rPr>
          <w:rFonts w:ascii="Arial" w:hAnsi="Arial"/>
          <w:sz w:val="18"/>
          <w:szCs w:val="18"/>
        </w:rPr>
        <w:t>Health Surveys 2000 Database</w:t>
      </w:r>
      <w:r w:rsidRPr="00184EED">
        <w:rPr>
          <w:rFonts w:ascii="Arial" w:hAnsi="Arial"/>
          <w:b/>
          <w:bCs/>
          <w:sz w:val="18"/>
          <w:szCs w:val="18"/>
        </w:rPr>
        <w:t xml:space="preserve">. </w:t>
      </w:r>
      <w:r w:rsidRPr="00184EED">
        <w:rPr>
          <w:rFonts w:ascii="Arial" w:hAnsi="Arial"/>
          <w:sz w:val="18"/>
          <w:szCs w:val="18"/>
        </w:rPr>
        <w:t>Ramallah – Palestine.</w:t>
      </w:r>
    </w:p>
    <w:p w14:paraId="03319396" w14:textId="77777777" w:rsidR="007D39B6" w:rsidRPr="00184EED" w:rsidRDefault="007D39B6" w:rsidP="008C6258">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Palestinian Central Bureau of Statistics,</w:t>
      </w:r>
      <w:r w:rsidRPr="00184EED">
        <w:rPr>
          <w:rFonts w:ascii="Arial" w:hAnsi="Arial"/>
          <w:sz w:val="18"/>
          <w:szCs w:val="18"/>
        </w:rPr>
        <w:t>Palestinian Family Health Survey 2006 Database. Ramallah– Palestine.</w:t>
      </w:r>
    </w:p>
    <w:p w14:paraId="1FF78FBA" w14:textId="77777777" w:rsidR="00520FCA" w:rsidRPr="00184EED" w:rsidRDefault="00520FCA" w:rsidP="00520FCA">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Palestinian Central Bureau of Statistics,</w:t>
      </w:r>
      <w:r w:rsidRPr="00184EED">
        <w:rPr>
          <w:rFonts w:ascii="Arial" w:hAnsi="Arial"/>
          <w:sz w:val="18"/>
          <w:szCs w:val="18"/>
        </w:rPr>
        <w:t>Palestinian Multiple Indicator Cluster Survey 2014 Database. Ramallah – Palestine</w:t>
      </w:r>
    </w:p>
    <w:p w14:paraId="775188D1" w14:textId="77777777" w:rsidR="007D39B6" w:rsidRPr="00184EED" w:rsidRDefault="007D39B6" w:rsidP="008C6258">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Palestinian Central Bureau of Statistics,</w:t>
      </w:r>
      <w:r w:rsidRPr="00184EED">
        <w:rPr>
          <w:rFonts w:ascii="Arial" w:hAnsi="Arial"/>
          <w:sz w:val="18"/>
          <w:szCs w:val="18"/>
        </w:rPr>
        <w:t>Palestinian Multiple Indicator Cluster Survey 2019 Database. Ramallah – Palestine</w:t>
      </w:r>
    </w:p>
    <w:p w14:paraId="0DFABE41" w14:textId="77777777" w:rsidR="007D39B6" w:rsidRPr="00184EED" w:rsidRDefault="007D39B6" w:rsidP="008C6258">
      <w:pPr>
        <w:bidi w:val="0"/>
        <w:spacing w:after="0" w:line="240" w:lineRule="auto"/>
        <w:contextualSpacing/>
        <w:rPr>
          <w:rFonts w:ascii="Arial" w:hAnsi="Arial"/>
          <w:bCs/>
          <w:sz w:val="18"/>
          <w:szCs w:val="18"/>
        </w:rPr>
      </w:pPr>
      <w:r w:rsidRPr="00184EED">
        <w:rPr>
          <w:rFonts w:ascii="Arial" w:hAnsi="Arial"/>
          <w:bCs/>
          <w:sz w:val="18"/>
          <w:szCs w:val="18"/>
        </w:rPr>
        <w:t>(*):height for age &lt;-2 standard deviation from the median of the World Health Organization Child Growth Standards</w:t>
      </w:r>
    </w:p>
    <w:p w14:paraId="67616EB2" w14:textId="77777777" w:rsidR="00CA080A" w:rsidRPr="003A32B8" w:rsidRDefault="00CA080A" w:rsidP="008C6258">
      <w:pPr>
        <w:tabs>
          <w:tab w:val="left" w:pos="9072"/>
        </w:tabs>
        <w:bidi w:val="0"/>
        <w:spacing w:after="0" w:line="240" w:lineRule="auto"/>
        <w:jc w:val="center"/>
        <w:rPr>
          <w:rFonts w:ascii="Arial" w:hAnsi="Arial"/>
          <w:b/>
          <w:sz w:val="14"/>
          <w:szCs w:val="14"/>
        </w:rPr>
      </w:pPr>
    </w:p>
    <w:p w14:paraId="1FE08D84" w14:textId="77777777" w:rsidR="001F12C6" w:rsidRDefault="001F12C6" w:rsidP="00520FCA">
      <w:pPr>
        <w:tabs>
          <w:tab w:val="left" w:pos="9072"/>
        </w:tabs>
        <w:bidi w:val="0"/>
        <w:spacing w:after="0" w:line="240" w:lineRule="auto"/>
        <w:jc w:val="center"/>
        <w:rPr>
          <w:rFonts w:ascii="Arial" w:hAnsi="Arial"/>
          <w:b/>
          <w:bCs/>
        </w:rPr>
      </w:pPr>
    </w:p>
    <w:p w14:paraId="04A1B52F" w14:textId="77777777" w:rsidR="001F12C6" w:rsidRDefault="001F12C6" w:rsidP="001F12C6">
      <w:pPr>
        <w:tabs>
          <w:tab w:val="left" w:pos="9072"/>
        </w:tabs>
        <w:bidi w:val="0"/>
        <w:spacing w:after="0" w:line="240" w:lineRule="auto"/>
        <w:jc w:val="center"/>
        <w:rPr>
          <w:rFonts w:ascii="Arial" w:hAnsi="Arial"/>
          <w:b/>
          <w:bCs/>
        </w:rPr>
      </w:pPr>
    </w:p>
    <w:p w14:paraId="4AB07057" w14:textId="77777777" w:rsidR="001F12C6" w:rsidRDefault="001F12C6" w:rsidP="001F12C6">
      <w:pPr>
        <w:tabs>
          <w:tab w:val="left" w:pos="9072"/>
        </w:tabs>
        <w:bidi w:val="0"/>
        <w:spacing w:after="0" w:line="240" w:lineRule="auto"/>
        <w:jc w:val="center"/>
        <w:rPr>
          <w:rFonts w:ascii="Arial" w:hAnsi="Arial"/>
          <w:b/>
          <w:bCs/>
        </w:rPr>
      </w:pPr>
    </w:p>
    <w:p w14:paraId="6DD29025" w14:textId="77777777" w:rsidR="001F12C6" w:rsidRDefault="001F12C6" w:rsidP="001F12C6">
      <w:pPr>
        <w:tabs>
          <w:tab w:val="left" w:pos="9072"/>
        </w:tabs>
        <w:bidi w:val="0"/>
        <w:spacing w:after="0" w:line="240" w:lineRule="auto"/>
        <w:jc w:val="center"/>
        <w:rPr>
          <w:rFonts w:ascii="Arial" w:hAnsi="Arial"/>
          <w:b/>
          <w:bCs/>
        </w:rPr>
      </w:pPr>
    </w:p>
    <w:p w14:paraId="41F0D3C7" w14:textId="77777777" w:rsidR="001F12C6" w:rsidRDefault="001F12C6" w:rsidP="001F12C6">
      <w:pPr>
        <w:tabs>
          <w:tab w:val="left" w:pos="9072"/>
        </w:tabs>
        <w:bidi w:val="0"/>
        <w:spacing w:after="0" w:line="240" w:lineRule="auto"/>
        <w:jc w:val="center"/>
        <w:rPr>
          <w:rFonts w:ascii="Arial" w:hAnsi="Arial"/>
          <w:b/>
          <w:bCs/>
        </w:rPr>
      </w:pPr>
    </w:p>
    <w:p w14:paraId="4EF94857" w14:textId="77777777" w:rsidR="001F12C6" w:rsidRDefault="001F12C6" w:rsidP="001F12C6">
      <w:pPr>
        <w:tabs>
          <w:tab w:val="left" w:pos="9072"/>
        </w:tabs>
        <w:bidi w:val="0"/>
        <w:spacing w:after="0" w:line="240" w:lineRule="auto"/>
        <w:jc w:val="center"/>
        <w:rPr>
          <w:rFonts w:ascii="Arial" w:hAnsi="Arial"/>
          <w:b/>
          <w:bCs/>
        </w:rPr>
      </w:pPr>
    </w:p>
    <w:p w14:paraId="4C5923A5" w14:textId="77777777" w:rsidR="007D39B6" w:rsidRPr="008A4E00" w:rsidRDefault="007D39B6" w:rsidP="001F12C6">
      <w:pPr>
        <w:tabs>
          <w:tab w:val="left" w:pos="9072"/>
        </w:tabs>
        <w:bidi w:val="0"/>
        <w:spacing w:after="0" w:line="240" w:lineRule="auto"/>
        <w:jc w:val="center"/>
        <w:rPr>
          <w:rFonts w:ascii="Arial" w:hAnsi="Arial"/>
          <w:b/>
          <w:bCs/>
        </w:rPr>
      </w:pPr>
      <w:r w:rsidRPr="008A4E00">
        <w:rPr>
          <w:rFonts w:ascii="Arial" w:hAnsi="Arial"/>
          <w:b/>
          <w:bCs/>
        </w:rPr>
        <w:lastRenderedPageBreak/>
        <w:t xml:space="preserve">Prevalence of </w:t>
      </w:r>
      <w:r w:rsidR="008B6C2A">
        <w:rPr>
          <w:rFonts w:ascii="Arial" w:hAnsi="Arial"/>
          <w:b/>
          <w:bCs/>
        </w:rPr>
        <w:t>S</w:t>
      </w:r>
      <w:r w:rsidRPr="008A4E00">
        <w:rPr>
          <w:rFonts w:ascii="Arial" w:hAnsi="Arial"/>
          <w:b/>
          <w:bCs/>
        </w:rPr>
        <w:t xml:space="preserve">tunting* among </w:t>
      </w:r>
      <w:r w:rsidR="00520FCA">
        <w:rPr>
          <w:rFonts w:ascii="Arial" w:hAnsi="Arial"/>
          <w:b/>
          <w:bCs/>
        </w:rPr>
        <w:t>C</w:t>
      </w:r>
      <w:r w:rsidRPr="008A4E00">
        <w:rPr>
          <w:rFonts w:ascii="Arial" w:hAnsi="Arial"/>
          <w:b/>
          <w:bCs/>
        </w:rPr>
        <w:t xml:space="preserve">hildren </w:t>
      </w:r>
      <w:r w:rsidR="00520FCA">
        <w:rPr>
          <w:rFonts w:ascii="Arial" w:hAnsi="Arial"/>
          <w:b/>
          <w:bCs/>
        </w:rPr>
        <w:t>U</w:t>
      </w:r>
      <w:r w:rsidRPr="008A4E00">
        <w:rPr>
          <w:rFonts w:ascii="Arial" w:hAnsi="Arial"/>
          <w:b/>
          <w:bCs/>
        </w:rPr>
        <w:t>nder</w:t>
      </w:r>
      <w:r w:rsidR="00520FCA">
        <w:rPr>
          <w:rFonts w:ascii="Arial" w:hAnsi="Arial"/>
          <w:b/>
          <w:bCs/>
        </w:rPr>
        <w:t>F</w:t>
      </w:r>
      <w:r w:rsidRPr="008A4E00">
        <w:rPr>
          <w:rFonts w:ascii="Arial" w:hAnsi="Arial"/>
          <w:b/>
          <w:bCs/>
        </w:rPr>
        <w:t xml:space="preserve">ive </w:t>
      </w:r>
      <w:r w:rsidR="00520FCA">
        <w:rPr>
          <w:rFonts w:ascii="Arial" w:hAnsi="Arial"/>
          <w:b/>
          <w:bCs/>
        </w:rPr>
        <w:t>Y</w:t>
      </w:r>
      <w:r w:rsidRPr="008A4E00">
        <w:rPr>
          <w:rFonts w:ascii="Arial" w:hAnsi="Arial"/>
          <w:b/>
          <w:bCs/>
        </w:rPr>
        <w:t xml:space="preserve">ears of </w:t>
      </w:r>
      <w:r w:rsidR="00520FCA">
        <w:rPr>
          <w:rFonts w:ascii="Arial" w:hAnsi="Arial"/>
          <w:b/>
          <w:bCs/>
        </w:rPr>
        <w:t>A</w:t>
      </w:r>
      <w:r w:rsidRPr="008A4E00">
        <w:rPr>
          <w:rFonts w:ascii="Arial" w:hAnsi="Arial"/>
          <w:b/>
          <w:bCs/>
        </w:rPr>
        <w:t>ge by sex,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6C174E10" w14:textId="77777777" w:rsidTr="003A32B8">
        <w:trPr>
          <w:trHeight w:val="3369"/>
        </w:trPr>
        <w:tc>
          <w:tcPr>
            <w:tcW w:w="9286" w:type="dxa"/>
            <w:shd w:val="clear" w:color="auto" w:fill="auto"/>
          </w:tcPr>
          <w:p w14:paraId="12B95C51"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58C09CA5" wp14:editId="7046532F">
                  <wp:extent cx="5605780" cy="2067005"/>
                  <wp:effectExtent l="0" t="0" r="0" b="0"/>
                  <wp:docPr id="115"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551AB652" w14:textId="77777777" w:rsidR="007D39B6" w:rsidRPr="00184EED" w:rsidRDefault="00111EFC" w:rsidP="008C6258">
      <w:pPr>
        <w:tabs>
          <w:tab w:val="left" w:pos="9072"/>
        </w:tabs>
        <w:bidi w:val="0"/>
        <w:spacing w:after="0" w:line="240" w:lineRule="auto"/>
        <w:jc w:val="both"/>
        <w:rPr>
          <w:rFonts w:ascii="Arial" w:hAnsi="Arial"/>
          <w:b/>
          <w:bCs/>
          <w:sz w:val="18"/>
          <w:szCs w:val="18"/>
        </w:rPr>
      </w:pPr>
      <w:r>
        <w:rPr>
          <w:rFonts w:ascii="Arial" w:hAnsi="Arial"/>
          <w:b/>
          <w:bCs/>
          <w:sz w:val="18"/>
          <w:szCs w:val="18"/>
        </w:rPr>
        <w:t xml:space="preserve">Source: </w:t>
      </w:r>
      <w:r w:rsidR="007D39B6" w:rsidRPr="00184EED">
        <w:rPr>
          <w:rFonts w:ascii="Arial" w:hAnsi="Arial"/>
          <w:b/>
          <w:bCs/>
          <w:sz w:val="18"/>
          <w:szCs w:val="18"/>
        </w:rPr>
        <w:t xml:space="preserve">Palestinian Central Bureau of Statistics, </w:t>
      </w:r>
      <w:r w:rsidR="007D39B6" w:rsidRPr="00184EED">
        <w:rPr>
          <w:rFonts w:ascii="Arial" w:hAnsi="Arial"/>
          <w:sz w:val="18"/>
          <w:szCs w:val="18"/>
        </w:rPr>
        <w:t>Health Surveys 2000 Database</w:t>
      </w:r>
      <w:r w:rsidR="007D39B6" w:rsidRPr="00184EED">
        <w:rPr>
          <w:rFonts w:ascii="Arial" w:hAnsi="Arial"/>
          <w:b/>
          <w:bCs/>
          <w:sz w:val="18"/>
          <w:szCs w:val="18"/>
        </w:rPr>
        <w:t xml:space="preserve">. </w:t>
      </w:r>
      <w:r w:rsidR="007D39B6" w:rsidRPr="00184EED">
        <w:rPr>
          <w:rFonts w:ascii="Arial" w:hAnsi="Arial"/>
          <w:sz w:val="18"/>
          <w:szCs w:val="18"/>
        </w:rPr>
        <w:t>Ramallah – Palestine.</w:t>
      </w:r>
    </w:p>
    <w:p w14:paraId="7CD14106" w14:textId="77777777" w:rsidR="007D39B6" w:rsidRPr="00184EED" w:rsidRDefault="007D39B6" w:rsidP="008C6258">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Family Health Survey 2006 Database. Ramallah– Palestine.</w:t>
      </w:r>
    </w:p>
    <w:p w14:paraId="02B89033" w14:textId="77777777" w:rsidR="00991080" w:rsidRPr="00184EED" w:rsidRDefault="00991080" w:rsidP="00991080">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2014. Database. Ramallah – Palestine</w:t>
      </w:r>
    </w:p>
    <w:p w14:paraId="7D80A24E" w14:textId="77777777" w:rsidR="007D39B6" w:rsidRPr="00184EED" w:rsidRDefault="007D39B6" w:rsidP="00991080">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2019. Database. Ramallah – Palestine</w:t>
      </w:r>
    </w:p>
    <w:p w14:paraId="4ADF89DE" w14:textId="77777777" w:rsidR="00184EED" w:rsidRPr="00184EED" w:rsidRDefault="007D39B6" w:rsidP="003A32B8">
      <w:pPr>
        <w:bidi w:val="0"/>
        <w:spacing w:after="0" w:line="240" w:lineRule="auto"/>
        <w:contextualSpacing/>
        <w:jc w:val="both"/>
        <w:rPr>
          <w:rFonts w:ascii="Arial" w:hAnsi="Arial"/>
          <w:sz w:val="18"/>
          <w:szCs w:val="18"/>
        </w:rPr>
      </w:pPr>
      <w:r w:rsidRPr="00184EED">
        <w:rPr>
          <w:rFonts w:ascii="Arial" w:hAnsi="Arial"/>
          <w:sz w:val="18"/>
          <w:szCs w:val="18"/>
        </w:rPr>
        <w:t>(*): height for age &lt;-2 standard deviation from the median of the World Health Organization Child Growth Standards</w:t>
      </w:r>
    </w:p>
    <w:p w14:paraId="7CB8DA0B" w14:textId="77777777" w:rsidR="008B6C2A" w:rsidRDefault="008B6C2A" w:rsidP="0086098A">
      <w:pPr>
        <w:autoSpaceDE w:val="0"/>
        <w:autoSpaceDN w:val="0"/>
        <w:bidi w:val="0"/>
        <w:adjustRightInd w:val="0"/>
        <w:spacing w:after="0" w:line="240" w:lineRule="auto"/>
        <w:jc w:val="both"/>
        <w:rPr>
          <w:rFonts w:ascii="Times New Roman" w:hAnsi="Times New Roman" w:cs="Times New Roman"/>
          <w:sz w:val="24"/>
          <w:szCs w:val="24"/>
        </w:rPr>
      </w:pPr>
    </w:p>
    <w:p w14:paraId="5A91D460" w14:textId="77777777" w:rsidR="007D39B6" w:rsidRPr="008A4E00" w:rsidRDefault="007D39B6" w:rsidP="008B6C2A">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Prevalence of </w:t>
      </w:r>
      <w:r w:rsidR="000179B6" w:rsidRPr="008A4E00">
        <w:rPr>
          <w:rFonts w:ascii="Times New Roman" w:hAnsi="Times New Roman" w:cs="Times New Roman"/>
          <w:sz w:val="24"/>
          <w:szCs w:val="24"/>
        </w:rPr>
        <w:t xml:space="preserve">wasting </w:t>
      </w:r>
      <w:r w:rsidRPr="008A4E00">
        <w:rPr>
          <w:rFonts w:ascii="Times New Roman" w:hAnsi="Times New Roman" w:cs="Times New Roman"/>
          <w:sz w:val="24"/>
          <w:szCs w:val="24"/>
        </w:rPr>
        <w:t>malnutrition (weight for height &gt;+</w:t>
      </w:r>
      <w:r w:rsidR="001F6FBA" w:rsidRPr="008A4E00">
        <w:rPr>
          <w:rFonts w:ascii="Times New Roman" w:hAnsi="Times New Roman" w:cs="Times New Roman"/>
          <w:sz w:val="24"/>
          <w:szCs w:val="24"/>
        </w:rPr>
        <w:t>2 or</w:t>
      </w:r>
      <w:r w:rsidRPr="008A4E00">
        <w:rPr>
          <w:rFonts w:ascii="Times New Roman" w:hAnsi="Times New Roman" w:cs="Times New Roman"/>
          <w:sz w:val="24"/>
          <w:szCs w:val="24"/>
        </w:rPr>
        <w:t>&lt;-2 standard deviation from the median of the W</w:t>
      </w:r>
      <w:r w:rsidR="008B6C2A">
        <w:rPr>
          <w:rFonts w:ascii="Times New Roman" w:hAnsi="Times New Roman" w:cs="Times New Roman"/>
          <w:sz w:val="24"/>
          <w:szCs w:val="24"/>
        </w:rPr>
        <w:t xml:space="preserve">HO </w:t>
      </w:r>
      <w:r w:rsidR="001F6FBA" w:rsidRPr="008A4E00">
        <w:rPr>
          <w:rFonts w:ascii="Times New Roman" w:hAnsi="Times New Roman" w:cs="Times New Roman"/>
          <w:sz w:val="24"/>
          <w:szCs w:val="24"/>
        </w:rPr>
        <w:t>ChildGrowth Standards</w:t>
      </w:r>
      <w:r w:rsidRPr="008A4E00">
        <w:rPr>
          <w:rFonts w:ascii="Times New Roman" w:hAnsi="Times New Roman" w:cs="Times New Roman"/>
          <w:sz w:val="24"/>
          <w:szCs w:val="24"/>
        </w:rPr>
        <w:t>) among children under five, were 1.3</w:t>
      </w:r>
      <w:r w:rsidR="001F6FBA" w:rsidRPr="008A4E00">
        <w:rPr>
          <w:rFonts w:ascii="Times New Roman" w:hAnsi="Times New Roman" w:cs="Times New Roman"/>
          <w:sz w:val="24"/>
          <w:szCs w:val="24"/>
        </w:rPr>
        <w:t>% in</w:t>
      </w:r>
      <w:r w:rsidRPr="008A4E00">
        <w:rPr>
          <w:rFonts w:ascii="Times New Roman" w:hAnsi="Times New Roman" w:cs="Times New Roman"/>
          <w:sz w:val="24"/>
          <w:szCs w:val="24"/>
        </w:rPr>
        <w:t xml:space="preserve"> Palestine: 1.7 % in the West Bank and 0.8% in Gaza Strip during 2019. The percentage during 2019 at the sex level indicates that it was equal between males and females </w:t>
      </w:r>
      <w:r w:rsidR="008B6C2A">
        <w:rPr>
          <w:rFonts w:ascii="Times New Roman" w:hAnsi="Times New Roman" w:cs="Times New Roman"/>
          <w:sz w:val="24"/>
          <w:szCs w:val="24"/>
        </w:rPr>
        <w:t xml:space="preserve">at </w:t>
      </w:r>
      <w:r w:rsidRPr="008A4E00">
        <w:rPr>
          <w:rFonts w:ascii="Times New Roman" w:hAnsi="Times New Roman" w:cs="Times New Roman"/>
          <w:sz w:val="24"/>
          <w:szCs w:val="24"/>
        </w:rPr>
        <w:t>1.3%.</w:t>
      </w:r>
    </w:p>
    <w:p w14:paraId="278D54CC" w14:textId="77777777" w:rsidR="007D39B6" w:rsidRPr="003A32B8" w:rsidRDefault="007D39B6" w:rsidP="008C6258">
      <w:pPr>
        <w:bidi w:val="0"/>
        <w:spacing w:after="0" w:line="240" w:lineRule="auto"/>
        <w:ind w:left="70"/>
        <w:jc w:val="center"/>
        <w:rPr>
          <w:rFonts w:ascii="Arial" w:hAnsi="Arial"/>
          <w:b/>
          <w:sz w:val="16"/>
          <w:szCs w:val="14"/>
        </w:rPr>
      </w:pPr>
    </w:p>
    <w:p w14:paraId="73FADB7D" w14:textId="77777777" w:rsidR="007D39B6" w:rsidRPr="008A4E00" w:rsidRDefault="007D39B6" w:rsidP="008C6258">
      <w:pPr>
        <w:bidi w:val="0"/>
        <w:spacing w:after="0" w:line="240" w:lineRule="auto"/>
        <w:ind w:left="70"/>
        <w:jc w:val="center"/>
        <w:rPr>
          <w:rFonts w:ascii="Arial" w:hAnsi="Arial"/>
          <w:b/>
          <w:bCs/>
        </w:rPr>
      </w:pPr>
      <w:r w:rsidRPr="008A4E00">
        <w:rPr>
          <w:rFonts w:ascii="Arial" w:hAnsi="Arial"/>
          <w:b/>
          <w:bCs/>
        </w:rPr>
        <w:t>Prevalence of Malnutrition (Wasting)* Among Children Under Five Years of Age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55376D97" w14:textId="77777777" w:rsidTr="007D39B6">
        <w:tc>
          <w:tcPr>
            <w:tcW w:w="9286" w:type="dxa"/>
            <w:shd w:val="clear" w:color="auto" w:fill="auto"/>
          </w:tcPr>
          <w:p w14:paraId="79C35240"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54F22BD5" wp14:editId="69886AA9">
                  <wp:extent cx="5939790" cy="2337435"/>
                  <wp:effectExtent l="0" t="0" r="3810" b="5715"/>
                  <wp:docPr id="116"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4A741BF0" w14:textId="77777777" w:rsidR="007D39B6" w:rsidRPr="00184EED" w:rsidRDefault="007D39B6" w:rsidP="008C6258">
      <w:pPr>
        <w:tabs>
          <w:tab w:val="left" w:pos="9072"/>
        </w:tabs>
        <w:bidi w:val="0"/>
        <w:spacing w:after="0" w:line="240" w:lineRule="auto"/>
        <w:jc w:val="both"/>
        <w:rPr>
          <w:rFonts w:ascii="Arial" w:hAnsi="Arial"/>
          <w:b/>
          <w:bCs/>
          <w:sz w:val="18"/>
          <w:szCs w:val="18"/>
        </w:rPr>
      </w:pPr>
      <w:r w:rsidRPr="00184EED">
        <w:rPr>
          <w:rFonts w:ascii="Arial" w:hAnsi="Arial"/>
          <w:b/>
          <w:bCs/>
          <w:sz w:val="18"/>
          <w:szCs w:val="18"/>
        </w:rPr>
        <w:t xml:space="preserve">Source:Palestinian Central Bureau of Statistics, </w:t>
      </w:r>
      <w:r w:rsidRPr="00184EED">
        <w:rPr>
          <w:rFonts w:ascii="Arial" w:hAnsi="Arial"/>
          <w:sz w:val="18"/>
          <w:szCs w:val="18"/>
        </w:rPr>
        <w:t>Health Surveys 2000 Database</w:t>
      </w:r>
      <w:r w:rsidRPr="00184EED">
        <w:rPr>
          <w:rFonts w:ascii="Arial" w:hAnsi="Arial"/>
          <w:b/>
          <w:bCs/>
          <w:sz w:val="18"/>
          <w:szCs w:val="18"/>
        </w:rPr>
        <w:t xml:space="preserve">. </w:t>
      </w:r>
      <w:r w:rsidRPr="00184EED">
        <w:rPr>
          <w:rFonts w:ascii="Arial" w:hAnsi="Arial"/>
          <w:sz w:val="18"/>
          <w:szCs w:val="18"/>
        </w:rPr>
        <w:t>Ramallah – Palestine</w:t>
      </w:r>
      <w:r w:rsidRPr="00184EED">
        <w:rPr>
          <w:rFonts w:ascii="Arial" w:hAnsi="Arial"/>
          <w:b/>
          <w:bCs/>
          <w:sz w:val="18"/>
          <w:szCs w:val="18"/>
        </w:rPr>
        <w:t>.</w:t>
      </w:r>
    </w:p>
    <w:p w14:paraId="6360971C" w14:textId="77777777" w:rsidR="007D39B6" w:rsidRPr="00184EED" w:rsidRDefault="007D39B6" w:rsidP="008C6258">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Family Health Survey 2006 Database</w:t>
      </w:r>
      <w:r w:rsidRPr="00184EED">
        <w:rPr>
          <w:rFonts w:ascii="Arial" w:hAnsi="Arial"/>
          <w:b/>
          <w:bCs/>
          <w:sz w:val="18"/>
          <w:szCs w:val="18"/>
        </w:rPr>
        <w:t xml:space="preserve">. </w:t>
      </w:r>
      <w:r w:rsidRPr="00184EED">
        <w:rPr>
          <w:rFonts w:ascii="Arial" w:hAnsi="Arial"/>
          <w:sz w:val="18"/>
          <w:szCs w:val="18"/>
        </w:rPr>
        <w:t>Ramallah– Palestine</w:t>
      </w:r>
      <w:r w:rsidRPr="00184EED">
        <w:rPr>
          <w:rFonts w:ascii="Arial" w:hAnsi="Arial"/>
          <w:b/>
          <w:bCs/>
          <w:sz w:val="18"/>
          <w:szCs w:val="18"/>
        </w:rPr>
        <w:t>.</w:t>
      </w:r>
    </w:p>
    <w:p w14:paraId="0B91ED9C" w14:textId="77777777" w:rsidR="00874C56" w:rsidRPr="00184EED" w:rsidRDefault="00874C56" w:rsidP="00874C56">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2014 Database</w:t>
      </w:r>
      <w:r w:rsidRPr="00184EED">
        <w:rPr>
          <w:rFonts w:ascii="Arial" w:hAnsi="Arial"/>
          <w:b/>
          <w:bCs/>
          <w:sz w:val="18"/>
          <w:szCs w:val="18"/>
        </w:rPr>
        <w:t xml:space="preserve">. </w:t>
      </w:r>
      <w:r w:rsidRPr="00184EED">
        <w:rPr>
          <w:rFonts w:ascii="Arial" w:hAnsi="Arial"/>
          <w:sz w:val="18"/>
          <w:szCs w:val="18"/>
        </w:rPr>
        <w:t>Ramallah – Palestine</w:t>
      </w:r>
    </w:p>
    <w:p w14:paraId="78552461" w14:textId="77777777" w:rsidR="007D39B6" w:rsidRPr="00184EED" w:rsidRDefault="007D39B6" w:rsidP="00874C56">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2019 Database</w:t>
      </w:r>
      <w:r w:rsidRPr="00184EED">
        <w:rPr>
          <w:rFonts w:ascii="Arial" w:hAnsi="Arial"/>
          <w:b/>
          <w:bCs/>
          <w:sz w:val="18"/>
          <w:szCs w:val="18"/>
        </w:rPr>
        <w:t xml:space="preserve">. </w:t>
      </w:r>
      <w:r w:rsidRPr="00184EED">
        <w:rPr>
          <w:rFonts w:ascii="Arial" w:hAnsi="Arial"/>
          <w:sz w:val="18"/>
          <w:szCs w:val="18"/>
        </w:rPr>
        <w:t>Ramallah – Palestine</w:t>
      </w:r>
    </w:p>
    <w:p w14:paraId="75618B9B" w14:textId="77777777" w:rsidR="007D39B6" w:rsidRPr="00184EED" w:rsidRDefault="007D39B6" w:rsidP="008C6258">
      <w:pPr>
        <w:bidi w:val="0"/>
        <w:spacing w:after="0" w:line="240" w:lineRule="auto"/>
        <w:contextualSpacing/>
        <w:jc w:val="both"/>
        <w:rPr>
          <w:rFonts w:ascii="Arial" w:hAnsi="Arial"/>
          <w:bCs/>
          <w:sz w:val="18"/>
          <w:szCs w:val="18"/>
        </w:rPr>
      </w:pPr>
      <w:r w:rsidRPr="00184EED">
        <w:rPr>
          <w:rFonts w:ascii="Arial" w:hAnsi="Arial"/>
          <w:bCs/>
          <w:sz w:val="18"/>
          <w:szCs w:val="18"/>
        </w:rPr>
        <w:t>(*): weight for height &gt;+</w:t>
      </w:r>
      <w:r w:rsidR="001F6FBA" w:rsidRPr="00184EED">
        <w:rPr>
          <w:rFonts w:ascii="Arial" w:hAnsi="Arial"/>
          <w:bCs/>
          <w:sz w:val="18"/>
          <w:szCs w:val="18"/>
        </w:rPr>
        <w:t>2 or</w:t>
      </w:r>
      <w:r w:rsidRPr="00184EED">
        <w:rPr>
          <w:rFonts w:ascii="Arial" w:hAnsi="Arial"/>
          <w:bCs/>
          <w:sz w:val="18"/>
          <w:szCs w:val="18"/>
        </w:rPr>
        <w:t xml:space="preserve">&lt;-2 standard deviation from the median of the World Health Organization Child </w:t>
      </w:r>
      <w:r w:rsidR="001F6FBA" w:rsidRPr="00184EED">
        <w:rPr>
          <w:rFonts w:ascii="Arial" w:hAnsi="Arial"/>
          <w:bCs/>
          <w:sz w:val="18"/>
          <w:szCs w:val="18"/>
        </w:rPr>
        <w:t>Growth Standards</w:t>
      </w:r>
    </w:p>
    <w:p w14:paraId="3A35A894" w14:textId="77777777" w:rsidR="007D39B6" w:rsidRDefault="007D39B6" w:rsidP="008C6258">
      <w:pPr>
        <w:bidi w:val="0"/>
        <w:spacing w:after="0" w:line="240" w:lineRule="auto"/>
        <w:contextualSpacing/>
        <w:jc w:val="center"/>
        <w:rPr>
          <w:rFonts w:ascii="Times New Roman" w:hAnsi="Times New Roman" w:cs="Times New Roman"/>
          <w:bCs/>
          <w:sz w:val="24"/>
          <w:szCs w:val="24"/>
        </w:rPr>
      </w:pPr>
    </w:p>
    <w:p w14:paraId="37910591" w14:textId="77777777" w:rsidR="00B25DD3" w:rsidRDefault="00B25DD3" w:rsidP="008C6258">
      <w:pPr>
        <w:tabs>
          <w:tab w:val="left" w:pos="9072"/>
        </w:tabs>
        <w:bidi w:val="0"/>
        <w:spacing w:after="0" w:line="240" w:lineRule="auto"/>
        <w:jc w:val="center"/>
        <w:rPr>
          <w:rFonts w:ascii="Arial" w:hAnsi="Arial"/>
          <w:b/>
          <w:bCs/>
        </w:rPr>
      </w:pPr>
    </w:p>
    <w:p w14:paraId="518F504F" w14:textId="77777777" w:rsidR="007D39B6" w:rsidRPr="008A4E00" w:rsidRDefault="007D39B6" w:rsidP="00B25DD3">
      <w:pPr>
        <w:tabs>
          <w:tab w:val="left" w:pos="9072"/>
        </w:tabs>
        <w:bidi w:val="0"/>
        <w:spacing w:after="0" w:line="240" w:lineRule="auto"/>
        <w:jc w:val="center"/>
        <w:rPr>
          <w:rFonts w:ascii="Arial" w:hAnsi="Arial"/>
          <w:b/>
          <w:bCs/>
        </w:rPr>
      </w:pPr>
      <w:r w:rsidRPr="008A4E00">
        <w:rPr>
          <w:rFonts w:ascii="Arial" w:hAnsi="Arial"/>
          <w:b/>
          <w:bCs/>
        </w:rPr>
        <w:lastRenderedPageBreak/>
        <w:t>Prevalence of Malnutrition (Wasting)* Among Children Under Five Years of Age bySexfor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2702A675" w14:textId="77777777" w:rsidTr="007D39B6">
        <w:tc>
          <w:tcPr>
            <w:tcW w:w="9286" w:type="dxa"/>
            <w:shd w:val="clear" w:color="auto" w:fill="auto"/>
          </w:tcPr>
          <w:p w14:paraId="0208CF3A"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3170BEE5" wp14:editId="4D582770">
                  <wp:extent cx="5574030" cy="2345690"/>
                  <wp:effectExtent l="0" t="0" r="7620" b="0"/>
                  <wp:docPr id="11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2BB8ADCD" w14:textId="77777777" w:rsidR="007D39B6" w:rsidRPr="00184EED" w:rsidRDefault="00111EFC" w:rsidP="008C6258">
      <w:pPr>
        <w:tabs>
          <w:tab w:val="left" w:pos="9072"/>
        </w:tabs>
        <w:bidi w:val="0"/>
        <w:spacing w:after="0" w:line="240" w:lineRule="auto"/>
        <w:jc w:val="both"/>
        <w:rPr>
          <w:rFonts w:ascii="Arial" w:hAnsi="Arial"/>
          <w:b/>
          <w:bCs/>
          <w:sz w:val="18"/>
          <w:szCs w:val="18"/>
        </w:rPr>
      </w:pPr>
      <w:r>
        <w:rPr>
          <w:rFonts w:ascii="Arial" w:hAnsi="Arial"/>
          <w:b/>
          <w:bCs/>
          <w:sz w:val="18"/>
          <w:szCs w:val="18"/>
        </w:rPr>
        <w:t xml:space="preserve">Source: </w:t>
      </w:r>
      <w:r w:rsidR="007D39B6" w:rsidRPr="00184EED">
        <w:rPr>
          <w:rFonts w:ascii="Arial" w:hAnsi="Arial"/>
          <w:b/>
          <w:bCs/>
          <w:sz w:val="18"/>
          <w:szCs w:val="18"/>
        </w:rPr>
        <w:t xml:space="preserve">Palestinian Central Bureau of Statistics, </w:t>
      </w:r>
      <w:r w:rsidR="007D39B6" w:rsidRPr="00184EED">
        <w:rPr>
          <w:rFonts w:ascii="Arial" w:hAnsi="Arial"/>
          <w:sz w:val="18"/>
          <w:szCs w:val="18"/>
        </w:rPr>
        <w:t>Health Surveys 2000 Database</w:t>
      </w:r>
      <w:r w:rsidR="007D39B6" w:rsidRPr="00184EED">
        <w:rPr>
          <w:rFonts w:ascii="Arial" w:hAnsi="Arial"/>
          <w:b/>
          <w:bCs/>
          <w:sz w:val="18"/>
          <w:szCs w:val="18"/>
        </w:rPr>
        <w:t xml:space="preserve">. </w:t>
      </w:r>
      <w:r w:rsidR="007D39B6" w:rsidRPr="00184EED">
        <w:rPr>
          <w:rFonts w:ascii="Arial" w:hAnsi="Arial"/>
          <w:sz w:val="18"/>
          <w:szCs w:val="18"/>
        </w:rPr>
        <w:t>Ramallah – Palestine</w:t>
      </w:r>
      <w:r w:rsidR="007D39B6" w:rsidRPr="00184EED">
        <w:rPr>
          <w:rFonts w:ascii="Arial" w:hAnsi="Arial"/>
          <w:b/>
          <w:bCs/>
          <w:sz w:val="18"/>
          <w:szCs w:val="18"/>
        </w:rPr>
        <w:t>.</w:t>
      </w:r>
    </w:p>
    <w:p w14:paraId="66F04D0A" w14:textId="77777777" w:rsidR="007D39B6" w:rsidRPr="00184EED" w:rsidRDefault="007D39B6" w:rsidP="008C6258">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Family Health Survey 2006 Database. Ramallah– Palestine.</w:t>
      </w:r>
    </w:p>
    <w:p w14:paraId="2BC861FC" w14:textId="77777777" w:rsidR="00874C56" w:rsidRPr="00184EED" w:rsidRDefault="00874C56" w:rsidP="00874C56">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2014 Database. Ramallah – Palestine</w:t>
      </w:r>
    </w:p>
    <w:p w14:paraId="4163C2DC" w14:textId="77777777" w:rsidR="007D39B6" w:rsidRPr="00184EED" w:rsidRDefault="007D39B6" w:rsidP="007F568E">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 xml:space="preserve">Palestinian Multiple Indicator Cluster Survey </w:t>
      </w:r>
      <w:r w:rsidR="007F568E" w:rsidRPr="00184EED">
        <w:rPr>
          <w:rFonts w:ascii="Arial" w:hAnsi="Arial"/>
          <w:sz w:val="18"/>
          <w:szCs w:val="18"/>
        </w:rPr>
        <w:t xml:space="preserve">Database </w:t>
      </w:r>
      <w:r w:rsidRPr="00184EED">
        <w:rPr>
          <w:rFonts w:ascii="Arial" w:hAnsi="Arial"/>
          <w:sz w:val="18"/>
          <w:szCs w:val="18"/>
        </w:rPr>
        <w:t>2019. Ramallah – Palestine</w:t>
      </w:r>
    </w:p>
    <w:p w14:paraId="2B37423F" w14:textId="77777777" w:rsidR="007D39B6" w:rsidRPr="00184EED" w:rsidRDefault="007D39B6" w:rsidP="008C6258">
      <w:pPr>
        <w:bidi w:val="0"/>
        <w:spacing w:after="0" w:line="240" w:lineRule="auto"/>
        <w:contextualSpacing/>
        <w:jc w:val="both"/>
        <w:rPr>
          <w:rFonts w:ascii="Arial" w:hAnsi="Arial"/>
          <w:sz w:val="18"/>
          <w:szCs w:val="18"/>
        </w:rPr>
      </w:pPr>
      <w:r w:rsidRPr="00184EED">
        <w:rPr>
          <w:rFonts w:ascii="Arial" w:hAnsi="Arial"/>
          <w:sz w:val="18"/>
          <w:szCs w:val="18"/>
        </w:rPr>
        <w:t>(*</w:t>
      </w:r>
      <w:r w:rsidR="00AC2E62" w:rsidRPr="00184EED">
        <w:rPr>
          <w:rFonts w:ascii="Arial" w:hAnsi="Arial"/>
          <w:sz w:val="18"/>
          <w:szCs w:val="18"/>
        </w:rPr>
        <w:t>): weight</w:t>
      </w:r>
      <w:r w:rsidRPr="00184EED">
        <w:rPr>
          <w:rFonts w:ascii="Arial" w:hAnsi="Arial"/>
          <w:sz w:val="18"/>
          <w:szCs w:val="18"/>
        </w:rPr>
        <w:t xml:space="preserve"> for height &gt;+</w:t>
      </w:r>
      <w:r w:rsidR="001F6FBA" w:rsidRPr="00184EED">
        <w:rPr>
          <w:rFonts w:ascii="Arial" w:hAnsi="Arial"/>
          <w:sz w:val="18"/>
          <w:szCs w:val="18"/>
        </w:rPr>
        <w:t>2 or</w:t>
      </w:r>
      <w:r w:rsidRPr="00184EED">
        <w:rPr>
          <w:rFonts w:ascii="Arial" w:hAnsi="Arial"/>
          <w:sz w:val="18"/>
          <w:szCs w:val="18"/>
        </w:rPr>
        <w:t xml:space="preserve">&lt;-2 standard deviation from the median of the World Health </w:t>
      </w:r>
      <w:r w:rsidR="001F6FBA" w:rsidRPr="00184EED">
        <w:rPr>
          <w:rFonts w:ascii="Arial" w:hAnsi="Arial"/>
          <w:sz w:val="18"/>
          <w:szCs w:val="18"/>
        </w:rPr>
        <w:t>Organization ChildGrowth Standards</w:t>
      </w:r>
    </w:p>
    <w:p w14:paraId="01F539F1" w14:textId="77777777" w:rsidR="0086098A" w:rsidRDefault="0086098A" w:rsidP="008C6258">
      <w:pPr>
        <w:autoSpaceDE w:val="0"/>
        <w:autoSpaceDN w:val="0"/>
        <w:bidi w:val="0"/>
        <w:adjustRightInd w:val="0"/>
        <w:spacing w:after="0" w:line="240" w:lineRule="auto"/>
        <w:jc w:val="both"/>
        <w:rPr>
          <w:rFonts w:ascii="Times New Roman" w:hAnsi="Times New Roman" w:cs="Times New Roman"/>
          <w:sz w:val="24"/>
          <w:szCs w:val="24"/>
        </w:rPr>
      </w:pPr>
    </w:p>
    <w:p w14:paraId="37BC77DE" w14:textId="77777777" w:rsidR="007D39B6" w:rsidRDefault="007D39B6" w:rsidP="0086098A">
      <w:pPr>
        <w:autoSpaceDE w:val="0"/>
        <w:autoSpaceDN w:val="0"/>
        <w:bidi w:val="0"/>
        <w:adjustRightInd w:val="0"/>
        <w:spacing w:after="0" w:line="240" w:lineRule="auto"/>
        <w:jc w:val="both"/>
        <w:rPr>
          <w:rFonts w:ascii="Times New Roman" w:hAnsi="Times New Roman" w:cs="Times New Roman"/>
          <w:sz w:val="24"/>
          <w:szCs w:val="24"/>
        </w:rPr>
      </w:pPr>
      <w:r w:rsidRPr="008970F7">
        <w:rPr>
          <w:rFonts w:ascii="Times New Roman" w:hAnsi="Times New Roman" w:cs="Times New Roman"/>
          <w:sz w:val="24"/>
          <w:szCs w:val="24"/>
        </w:rPr>
        <w:t xml:space="preserve">Prevalence of </w:t>
      </w:r>
      <w:r w:rsidR="00AC2E62" w:rsidRPr="00D13307">
        <w:rPr>
          <w:rFonts w:ascii="Times New Roman" w:hAnsi="Times New Roman" w:cs="Times New Roman"/>
          <w:sz w:val="24"/>
          <w:szCs w:val="24"/>
        </w:rPr>
        <w:t>overweigh</w:t>
      </w:r>
      <w:r w:rsidR="007C1CF7" w:rsidRPr="00D13307">
        <w:rPr>
          <w:rFonts w:ascii="Times New Roman" w:hAnsi="Times New Roman" w:cs="Times New Roman"/>
          <w:sz w:val="24"/>
          <w:szCs w:val="24"/>
        </w:rPr>
        <w:t>t</w:t>
      </w:r>
      <w:r w:rsidR="00AC2E62" w:rsidRPr="00D13307">
        <w:rPr>
          <w:rFonts w:ascii="Times New Roman" w:hAnsi="Times New Roman" w:cs="Times New Roman"/>
          <w:sz w:val="24"/>
          <w:szCs w:val="24"/>
        </w:rPr>
        <w:t xml:space="preserve"> m</w:t>
      </w:r>
      <w:r w:rsidR="00AC2E62" w:rsidRPr="008970F7">
        <w:rPr>
          <w:rFonts w:ascii="Times New Roman" w:hAnsi="Times New Roman" w:cs="Times New Roman"/>
          <w:sz w:val="24"/>
          <w:szCs w:val="24"/>
        </w:rPr>
        <w:t>alnutrition</w:t>
      </w:r>
      <w:r w:rsidRPr="008970F7">
        <w:rPr>
          <w:rFonts w:ascii="Times New Roman" w:hAnsi="Times New Roman" w:cs="Times New Roman"/>
          <w:sz w:val="24"/>
          <w:szCs w:val="24"/>
        </w:rPr>
        <w:t xml:space="preserve"> (weight for height &gt;+</w:t>
      </w:r>
      <w:r w:rsidR="001F6FBA" w:rsidRPr="008970F7">
        <w:rPr>
          <w:rFonts w:ascii="Times New Roman" w:hAnsi="Times New Roman" w:cs="Times New Roman"/>
          <w:sz w:val="24"/>
          <w:szCs w:val="24"/>
        </w:rPr>
        <w:t>2 or</w:t>
      </w:r>
      <w:r w:rsidRPr="008970F7">
        <w:rPr>
          <w:rFonts w:ascii="Times New Roman" w:hAnsi="Times New Roman" w:cs="Times New Roman"/>
          <w:sz w:val="24"/>
          <w:szCs w:val="24"/>
        </w:rPr>
        <w:t>&lt;-2 standard deviation from the median of the W</w:t>
      </w:r>
      <w:r w:rsidR="00D13307">
        <w:rPr>
          <w:rFonts w:ascii="Times New Roman" w:hAnsi="Times New Roman" w:cs="Times New Roman"/>
          <w:sz w:val="24"/>
          <w:szCs w:val="24"/>
        </w:rPr>
        <w:t>HO</w:t>
      </w:r>
      <w:r w:rsidRPr="008970F7">
        <w:rPr>
          <w:rFonts w:ascii="Times New Roman" w:hAnsi="Times New Roman" w:cs="Times New Roman"/>
          <w:sz w:val="24"/>
          <w:szCs w:val="24"/>
        </w:rPr>
        <w:t xml:space="preserve"> Child Growth Standards) among children under five in 2019 was 8.6% in Palestine: 10.9% in the West Bank and 5.8% and in Gaza Strip. At </w:t>
      </w:r>
      <w:r w:rsidR="008B6C2A">
        <w:rPr>
          <w:rFonts w:ascii="Times New Roman" w:hAnsi="Times New Roman" w:cs="Times New Roman"/>
          <w:sz w:val="24"/>
          <w:szCs w:val="24"/>
        </w:rPr>
        <w:t xml:space="preserve">the </w:t>
      </w:r>
      <w:r w:rsidRPr="008970F7">
        <w:rPr>
          <w:rFonts w:ascii="Times New Roman" w:hAnsi="Times New Roman" w:cs="Times New Roman"/>
          <w:sz w:val="24"/>
          <w:szCs w:val="24"/>
        </w:rPr>
        <w:t xml:space="preserve">gender </w:t>
      </w:r>
      <w:r w:rsidR="001F6FBA" w:rsidRPr="008970F7">
        <w:rPr>
          <w:rFonts w:ascii="Times New Roman" w:hAnsi="Times New Roman" w:cs="Times New Roman"/>
          <w:sz w:val="24"/>
          <w:szCs w:val="24"/>
        </w:rPr>
        <w:t>level,</w:t>
      </w:r>
      <w:r w:rsidRPr="008970F7">
        <w:rPr>
          <w:rFonts w:ascii="Times New Roman" w:hAnsi="Times New Roman" w:cs="Times New Roman"/>
          <w:sz w:val="24"/>
          <w:szCs w:val="24"/>
        </w:rPr>
        <w:t xml:space="preserve"> the results indicate that the </w:t>
      </w:r>
      <w:r w:rsidR="001F6FBA" w:rsidRPr="008970F7">
        <w:rPr>
          <w:rFonts w:ascii="Times New Roman" w:hAnsi="Times New Roman" w:cs="Times New Roman"/>
          <w:sz w:val="24"/>
          <w:szCs w:val="24"/>
        </w:rPr>
        <w:t>male's</w:t>
      </w:r>
      <w:r w:rsidRPr="008970F7">
        <w:rPr>
          <w:rFonts w:ascii="Times New Roman" w:hAnsi="Times New Roman" w:cs="Times New Roman"/>
          <w:sz w:val="24"/>
          <w:szCs w:val="24"/>
        </w:rPr>
        <w:t xml:space="preserve"> percentage is 10.2% and </w:t>
      </w:r>
      <w:r w:rsidR="001F6FBA" w:rsidRPr="008970F7">
        <w:rPr>
          <w:rFonts w:ascii="Times New Roman" w:hAnsi="Times New Roman" w:cs="Times New Roman"/>
          <w:sz w:val="24"/>
          <w:szCs w:val="24"/>
        </w:rPr>
        <w:t>female's</w:t>
      </w:r>
      <w:r w:rsidRPr="008970F7">
        <w:rPr>
          <w:rFonts w:ascii="Times New Roman" w:hAnsi="Times New Roman" w:cs="Times New Roman"/>
          <w:sz w:val="24"/>
          <w:szCs w:val="24"/>
        </w:rPr>
        <w:t xml:space="preserve"> percentage is 6.9%.</w:t>
      </w:r>
    </w:p>
    <w:p w14:paraId="544F44A9" w14:textId="77777777" w:rsidR="007679D9" w:rsidRPr="008970F7" w:rsidRDefault="007679D9" w:rsidP="007679D9">
      <w:pPr>
        <w:autoSpaceDE w:val="0"/>
        <w:autoSpaceDN w:val="0"/>
        <w:bidi w:val="0"/>
        <w:adjustRightInd w:val="0"/>
        <w:spacing w:after="0" w:line="240" w:lineRule="auto"/>
        <w:jc w:val="both"/>
        <w:rPr>
          <w:rFonts w:ascii="Times New Roman" w:hAnsi="Times New Roman" w:cs="Times New Roman"/>
          <w:sz w:val="24"/>
          <w:szCs w:val="24"/>
        </w:rPr>
      </w:pPr>
    </w:p>
    <w:p w14:paraId="0009DD0B" w14:textId="77777777" w:rsidR="007D39B6" w:rsidRPr="008A4E00" w:rsidRDefault="007D39B6" w:rsidP="008C6258">
      <w:pPr>
        <w:bidi w:val="0"/>
        <w:spacing w:after="0" w:line="240" w:lineRule="auto"/>
        <w:contextualSpacing/>
        <w:jc w:val="both"/>
        <w:rPr>
          <w:rFonts w:ascii="Times New Roman" w:hAnsi="Times New Roman" w:cs="Times New Roman"/>
          <w:sz w:val="8"/>
          <w:szCs w:val="8"/>
        </w:rPr>
      </w:pPr>
    </w:p>
    <w:p w14:paraId="157193B7" w14:textId="77777777" w:rsidR="007D39B6" w:rsidRPr="008A4E00" w:rsidRDefault="007D39B6" w:rsidP="008C6258">
      <w:pPr>
        <w:tabs>
          <w:tab w:val="left" w:pos="9072"/>
        </w:tabs>
        <w:bidi w:val="0"/>
        <w:spacing w:after="0" w:line="240" w:lineRule="auto"/>
        <w:jc w:val="center"/>
        <w:rPr>
          <w:rFonts w:ascii="Arial" w:hAnsi="Arial"/>
          <w:b/>
          <w:bCs/>
        </w:rPr>
      </w:pPr>
      <w:r w:rsidRPr="008A4E00">
        <w:rPr>
          <w:rFonts w:ascii="Arial" w:hAnsi="Arial"/>
          <w:b/>
          <w:bCs/>
        </w:rPr>
        <w:t>Prevalence of Malnutrition (Overweigh</w:t>
      </w:r>
      <w:r w:rsidR="00FF4315">
        <w:rPr>
          <w:rFonts w:ascii="Arial" w:hAnsi="Arial"/>
          <w:b/>
          <w:bCs/>
        </w:rPr>
        <w:t>t</w:t>
      </w:r>
      <w:r w:rsidRPr="008A4E00">
        <w:rPr>
          <w:rFonts w:ascii="Arial" w:hAnsi="Arial"/>
          <w:b/>
          <w:bCs/>
        </w:rPr>
        <w:t>)* Among Children Under Five Years of Age, 2019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4A180413" w14:textId="77777777" w:rsidTr="007679D9">
        <w:trPr>
          <w:trHeight w:val="3898"/>
        </w:trPr>
        <w:tc>
          <w:tcPr>
            <w:tcW w:w="9286" w:type="dxa"/>
            <w:shd w:val="clear" w:color="auto" w:fill="auto"/>
          </w:tcPr>
          <w:p w14:paraId="413C871C" w14:textId="77777777" w:rsidR="007D39B6" w:rsidRPr="008A4E00" w:rsidRDefault="007D39B6" w:rsidP="008C6258">
            <w:pPr>
              <w:tabs>
                <w:tab w:val="left" w:pos="9072"/>
              </w:tabs>
              <w:bidi w:val="0"/>
              <w:spacing w:after="0" w:line="240" w:lineRule="auto"/>
              <w:jc w:val="center"/>
              <w:rPr>
                <w:rFonts w:ascii="Arial" w:hAnsi="Arial"/>
                <w:b/>
                <w:bCs/>
                <w:rtl/>
                <w:lang w:val="it-IT"/>
              </w:rPr>
            </w:pPr>
            <w:r w:rsidRPr="008A4E00">
              <w:rPr>
                <w:rFonts w:ascii="Times New Roman" w:hAnsi="Times New Roman" w:cs="Times New Roman"/>
                <w:b/>
                <w:bCs/>
                <w:noProof/>
                <w:sz w:val="24"/>
                <w:szCs w:val="24"/>
              </w:rPr>
              <w:drawing>
                <wp:inline distT="0" distB="0" distL="0" distR="0" wp14:anchorId="49EDE222" wp14:editId="46090226">
                  <wp:extent cx="5502275" cy="2381250"/>
                  <wp:effectExtent l="0" t="0" r="3175" b="0"/>
                  <wp:docPr id="11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1661186F" w14:textId="77777777" w:rsidR="007D39B6" w:rsidRPr="00802088" w:rsidRDefault="007D39B6" w:rsidP="007F568E">
      <w:pPr>
        <w:tabs>
          <w:tab w:val="left" w:pos="9072"/>
        </w:tabs>
        <w:bidi w:val="0"/>
        <w:spacing w:after="0" w:line="240" w:lineRule="auto"/>
        <w:jc w:val="both"/>
        <w:rPr>
          <w:rFonts w:ascii="Arial" w:hAnsi="Arial"/>
          <w:sz w:val="18"/>
          <w:szCs w:val="18"/>
        </w:rPr>
      </w:pPr>
      <w:r w:rsidRPr="00802088">
        <w:rPr>
          <w:rFonts w:ascii="Arial" w:hAnsi="Arial"/>
          <w:b/>
          <w:bCs/>
          <w:sz w:val="18"/>
          <w:szCs w:val="18"/>
        </w:rPr>
        <w:t xml:space="preserve">Source: Palestinian Central Bureau of </w:t>
      </w:r>
      <w:r w:rsidR="001F6FBA" w:rsidRPr="00802088">
        <w:rPr>
          <w:rFonts w:ascii="Arial" w:hAnsi="Arial"/>
          <w:b/>
          <w:bCs/>
          <w:sz w:val="18"/>
          <w:szCs w:val="18"/>
        </w:rPr>
        <w:t xml:space="preserve">Statistics, </w:t>
      </w:r>
      <w:r w:rsidR="001F6FBA" w:rsidRPr="00802088">
        <w:rPr>
          <w:rFonts w:ascii="Arial" w:hAnsi="Arial"/>
          <w:sz w:val="18"/>
          <w:szCs w:val="18"/>
        </w:rPr>
        <w:t>Palestinian</w:t>
      </w:r>
      <w:r w:rsidRPr="00802088">
        <w:rPr>
          <w:rFonts w:ascii="Arial" w:hAnsi="Arial"/>
          <w:sz w:val="18"/>
          <w:szCs w:val="18"/>
        </w:rPr>
        <w:t xml:space="preserve"> Multiple Indicator Cluster Survey </w:t>
      </w:r>
      <w:r w:rsidR="007F568E" w:rsidRPr="00802088">
        <w:rPr>
          <w:rFonts w:ascii="Arial" w:hAnsi="Arial"/>
          <w:sz w:val="18"/>
          <w:szCs w:val="18"/>
        </w:rPr>
        <w:t xml:space="preserve">Database </w:t>
      </w:r>
      <w:r w:rsidRPr="00802088">
        <w:rPr>
          <w:rFonts w:ascii="Arial" w:hAnsi="Arial"/>
          <w:sz w:val="18"/>
          <w:szCs w:val="18"/>
        </w:rPr>
        <w:t xml:space="preserve">2019 </w:t>
      </w:r>
    </w:p>
    <w:p w14:paraId="25F31166" w14:textId="77777777" w:rsidR="007D39B6" w:rsidRPr="00802088" w:rsidRDefault="007D39B6" w:rsidP="008C6258">
      <w:pPr>
        <w:bidi w:val="0"/>
        <w:spacing w:after="0" w:line="240" w:lineRule="auto"/>
        <w:contextualSpacing/>
        <w:jc w:val="both"/>
        <w:rPr>
          <w:rFonts w:ascii="Arial" w:hAnsi="Arial"/>
          <w:bCs/>
          <w:sz w:val="18"/>
          <w:szCs w:val="18"/>
          <w:rtl/>
        </w:rPr>
      </w:pPr>
      <w:r w:rsidRPr="00802088">
        <w:rPr>
          <w:rFonts w:ascii="Arial" w:hAnsi="Arial"/>
          <w:bCs/>
          <w:sz w:val="18"/>
          <w:szCs w:val="18"/>
        </w:rPr>
        <w:t>(*): weight for height &gt;+</w:t>
      </w:r>
      <w:r w:rsidR="001F6FBA" w:rsidRPr="00802088">
        <w:rPr>
          <w:rFonts w:ascii="Arial" w:hAnsi="Arial"/>
          <w:bCs/>
          <w:sz w:val="18"/>
          <w:szCs w:val="18"/>
        </w:rPr>
        <w:t>2 or</w:t>
      </w:r>
      <w:r w:rsidRPr="00802088">
        <w:rPr>
          <w:rFonts w:ascii="Arial" w:hAnsi="Arial"/>
          <w:bCs/>
          <w:sz w:val="18"/>
          <w:szCs w:val="18"/>
        </w:rPr>
        <w:t xml:space="preserve">&lt;-2 standard deviation from the median of the World Health Organization Child </w:t>
      </w:r>
      <w:r w:rsidR="001F6FBA" w:rsidRPr="00802088">
        <w:rPr>
          <w:rFonts w:ascii="Arial" w:hAnsi="Arial"/>
          <w:bCs/>
          <w:sz w:val="18"/>
          <w:szCs w:val="18"/>
        </w:rPr>
        <w:t>Growth Standards</w:t>
      </w:r>
    </w:p>
    <w:p w14:paraId="78EF3CEF" w14:textId="77777777" w:rsidR="007D39B6" w:rsidRDefault="007D39B6" w:rsidP="008C6258">
      <w:pPr>
        <w:tabs>
          <w:tab w:val="left" w:pos="9072"/>
        </w:tabs>
        <w:bidi w:val="0"/>
        <w:spacing w:after="0" w:line="240" w:lineRule="auto"/>
        <w:jc w:val="center"/>
        <w:rPr>
          <w:rFonts w:ascii="Times New Roman" w:hAnsi="Times New Roman"/>
          <w:b/>
          <w:sz w:val="24"/>
        </w:rPr>
      </w:pPr>
    </w:p>
    <w:p w14:paraId="0D019696" w14:textId="77777777" w:rsidR="001F12C6" w:rsidRPr="00E665C5" w:rsidRDefault="001F12C6" w:rsidP="001F12C6">
      <w:pPr>
        <w:tabs>
          <w:tab w:val="left" w:pos="9072"/>
        </w:tabs>
        <w:bidi w:val="0"/>
        <w:spacing w:after="0" w:line="240" w:lineRule="auto"/>
        <w:jc w:val="center"/>
        <w:rPr>
          <w:rFonts w:ascii="Times New Roman" w:hAnsi="Times New Roman"/>
          <w:b/>
          <w:sz w:val="24"/>
        </w:rPr>
      </w:pPr>
    </w:p>
    <w:p w14:paraId="10FAB26A" w14:textId="77777777" w:rsidR="002F0A63" w:rsidRPr="008A4E00" w:rsidRDefault="002F0A63" w:rsidP="002F0A63">
      <w:pPr>
        <w:tabs>
          <w:tab w:val="left" w:pos="9072"/>
        </w:tabs>
        <w:bidi w:val="0"/>
        <w:spacing w:after="0" w:line="240" w:lineRule="auto"/>
        <w:jc w:val="center"/>
        <w:rPr>
          <w:rFonts w:ascii="Times New Roman" w:hAnsi="Times New Roman" w:cs="Times New Roman"/>
          <w:b/>
          <w:bCs/>
          <w:sz w:val="16"/>
          <w:szCs w:val="16"/>
        </w:rPr>
      </w:pPr>
    </w:p>
    <w:p w14:paraId="7C9B4FA4" w14:textId="77777777" w:rsidR="007D39B6" w:rsidRPr="008A4E00" w:rsidRDefault="007D39B6" w:rsidP="008C6258">
      <w:pPr>
        <w:tabs>
          <w:tab w:val="left" w:pos="9072"/>
        </w:tabs>
        <w:bidi w:val="0"/>
        <w:spacing w:after="0" w:line="240" w:lineRule="auto"/>
        <w:jc w:val="center"/>
        <w:rPr>
          <w:rFonts w:ascii="Arial" w:hAnsi="Arial"/>
          <w:b/>
          <w:bCs/>
        </w:rPr>
      </w:pPr>
      <w:r w:rsidRPr="008A4E00">
        <w:rPr>
          <w:rFonts w:ascii="Arial" w:hAnsi="Arial"/>
          <w:b/>
          <w:bCs/>
        </w:rPr>
        <w:lastRenderedPageBreak/>
        <w:t>Prevalence of Malnutrition (Overweigh</w:t>
      </w:r>
      <w:r w:rsidR="00FF4315">
        <w:rPr>
          <w:rFonts w:ascii="Arial" w:hAnsi="Arial"/>
          <w:b/>
          <w:bCs/>
        </w:rPr>
        <w:t>t</w:t>
      </w:r>
      <w:r w:rsidRPr="008A4E00">
        <w:rPr>
          <w:rFonts w:ascii="Arial" w:hAnsi="Arial"/>
          <w:b/>
          <w:bCs/>
        </w:rPr>
        <w:t>*) Among Children Under Five Years of Age by Sex, 2019 (%)</w:t>
      </w:r>
    </w:p>
    <w:tbl>
      <w:tblPr>
        <w:tblW w:w="9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9"/>
      </w:tblGrid>
      <w:tr w:rsidR="007D39B6" w:rsidRPr="008A4E00" w14:paraId="7A7748F4" w14:textId="77777777" w:rsidTr="00BD1435">
        <w:trPr>
          <w:trHeight w:val="3074"/>
        </w:trPr>
        <w:tc>
          <w:tcPr>
            <w:tcW w:w="9119" w:type="dxa"/>
            <w:shd w:val="clear" w:color="auto" w:fill="auto"/>
          </w:tcPr>
          <w:p w14:paraId="6D4B3D30"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b/>
                <w:bCs/>
                <w:noProof/>
                <w:sz w:val="8"/>
                <w:szCs w:val="8"/>
              </w:rPr>
              <w:drawing>
                <wp:inline distT="0" distB="0" distL="0" distR="0" wp14:anchorId="62A456CD" wp14:editId="55A2DEFF">
                  <wp:extent cx="5419725" cy="1733550"/>
                  <wp:effectExtent l="0" t="0" r="0" b="0"/>
                  <wp:docPr id="11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4D36B5D8" w14:textId="77777777" w:rsidR="007D39B6" w:rsidRPr="00802088" w:rsidRDefault="007D39B6" w:rsidP="007F568E">
      <w:pPr>
        <w:bidi w:val="0"/>
        <w:spacing w:after="0" w:line="240" w:lineRule="auto"/>
        <w:contextualSpacing/>
        <w:jc w:val="both"/>
        <w:rPr>
          <w:rFonts w:ascii="Arial" w:hAnsi="Arial"/>
          <w:sz w:val="18"/>
          <w:szCs w:val="18"/>
        </w:rPr>
      </w:pPr>
      <w:r w:rsidRPr="00802088">
        <w:rPr>
          <w:rFonts w:ascii="Arial" w:hAnsi="Arial"/>
          <w:b/>
          <w:bCs/>
          <w:sz w:val="18"/>
          <w:szCs w:val="18"/>
        </w:rPr>
        <w:t xml:space="preserve">Source: Palestinian Central Bureau of </w:t>
      </w:r>
      <w:r w:rsidR="001F6FBA" w:rsidRPr="00802088">
        <w:rPr>
          <w:rFonts w:ascii="Arial" w:hAnsi="Arial"/>
          <w:b/>
          <w:bCs/>
          <w:sz w:val="18"/>
          <w:szCs w:val="18"/>
        </w:rPr>
        <w:t xml:space="preserve">Statistics, </w:t>
      </w:r>
      <w:r w:rsidR="001F6FBA" w:rsidRPr="00802088">
        <w:rPr>
          <w:rFonts w:ascii="Arial" w:hAnsi="Arial"/>
          <w:sz w:val="18"/>
          <w:szCs w:val="18"/>
        </w:rPr>
        <w:t>Palestinian</w:t>
      </w:r>
      <w:r w:rsidRPr="00802088">
        <w:rPr>
          <w:rFonts w:ascii="Arial" w:hAnsi="Arial"/>
          <w:sz w:val="18"/>
          <w:szCs w:val="18"/>
        </w:rPr>
        <w:t xml:space="preserve"> Multiple Indicator Cluster Survey </w:t>
      </w:r>
      <w:r w:rsidR="007F568E" w:rsidRPr="00802088">
        <w:rPr>
          <w:rFonts w:ascii="Arial" w:hAnsi="Arial"/>
          <w:sz w:val="18"/>
          <w:szCs w:val="18"/>
        </w:rPr>
        <w:t>Database,</w:t>
      </w:r>
      <w:r w:rsidRPr="00802088">
        <w:rPr>
          <w:rFonts w:ascii="Arial" w:hAnsi="Arial"/>
          <w:sz w:val="18"/>
          <w:szCs w:val="18"/>
        </w:rPr>
        <w:t>2019. Ramallah- Palestine.</w:t>
      </w:r>
    </w:p>
    <w:p w14:paraId="46EB0D63" w14:textId="77777777" w:rsidR="00B51061" w:rsidRPr="003A32B8" w:rsidRDefault="007D39B6" w:rsidP="003A32B8">
      <w:pPr>
        <w:autoSpaceDE w:val="0"/>
        <w:autoSpaceDN w:val="0"/>
        <w:bidi w:val="0"/>
        <w:adjustRightInd w:val="0"/>
        <w:spacing w:after="0" w:line="240" w:lineRule="auto"/>
        <w:jc w:val="both"/>
        <w:rPr>
          <w:rFonts w:ascii="Arial" w:hAnsi="Arial"/>
          <w:sz w:val="18"/>
          <w:szCs w:val="18"/>
        </w:rPr>
      </w:pPr>
      <w:r w:rsidRPr="00802088">
        <w:rPr>
          <w:rFonts w:ascii="Arial" w:hAnsi="Arial"/>
          <w:sz w:val="18"/>
          <w:szCs w:val="18"/>
        </w:rPr>
        <w:t>(*)</w:t>
      </w:r>
      <w:r w:rsidR="001F6FBA" w:rsidRPr="00802088">
        <w:rPr>
          <w:rFonts w:ascii="Arial" w:hAnsi="Arial"/>
          <w:sz w:val="18"/>
          <w:szCs w:val="18"/>
        </w:rPr>
        <w:t>: weight</w:t>
      </w:r>
      <w:r w:rsidRPr="00802088">
        <w:rPr>
          <w:rFonts w:ascii="Arial" w:hAnsi="Arial"/>
          <w:sz w:val="18"/>
          <w:szCs w:val="18"/>
        </w:rPr>
        <w:t xml:space="preserve"> for height &gt;+</w:t>
      </w:r>
      <w:r w:rsidR="001F6FBA" w:rsidRPr="00802088">
        <w:rPr>
          <w:rFonts w:ascii="Arial" w:hAnsi="Arial"/>
          <w:sz w:val="18"/>
          <w:szCs w:val="18"/>
        </w:rPr>
        <w:t>2 or</w:t>
      </w:r>
      <w:r w:rsidRPr="00802088">
        <w:rPr>
          <w:rFonts w:ascii="Arial" w:hAnsi="Arial"/>
          <w:sz w:val="18"/>
          <w:szCs w:val="18"/>
        </w:rPr>
        <w:t xml:space="preserve">&lt;-2 standard deviation from the median of the World Health Organization Child </w:t>
      </w:r>
      <w:r w:rsidR="001F6FBA" w:rsidRPr="00802088">
        <w:rPr>
          <w:rFonts w:ascii="Arial" w:hAnsi="Arial"/>
          <w:sz w:val="18"/>
          <w:szCs w:val="18"/>
        </w:rPr>
        <w:t>Growth Standards</w:t>
      </w:r>
    </w:p>
    <w:p w14:paraId="426D7AB6" w14:textId="77777777" w:rsidR="00877949" w:rsidRDefault="00877949" w:rsidP="00877949">
      <w:pPr>
        <w:tabs>
          <w:tab w:val="left" w:pos="9072"/>
        </w:tabs>
        <w:bidi w:val="0"/>
        <w:spacing w:after="0" w:line="240" w:lineRule="auto"/>
        <w:jc w:val="both"/>
        <w:rPr>
          <w:rFonts w:ascii="Times New Roman" w:hAnsi="Times New Roman" w:cs="Times New Roman"/>
          <w:sz w:val="24"/>
          <w:szCs w:val="24"/>
        </w:rPr>
      </w:pPr>
    </w:p>
    <w:p w14:paraId="7D097998" w14:textId="77777777" w:rsidR="007D39B6" w:rsidRPr="00B25DD3" w:rsidRDefault="007D39B6" w:rsidP="008C6258">
      <w:pPr>
        <w:tabs>
          <w:tab w:val="left" w:pos="9072"/>
        </w:tabs>
        <w:bidi w:val="0"/>
        <w:spacing w:after="0" w:line="240" w:lineRule="auto"/>
        <w:jc w:val="both"/>
        <w:rPr>
          <w:rFonts w:ascii="Times New Roman" w:hAnsi="Times New Roman" w:cs="Times New Roman"/>
          <w:b/>
          <w:bCs/>
          <w:i/>
          <w:iCs/>
          <w:sz w:val="24"/>
          <w:szCs w:val="24"/>
        </w:rPr>
      </w:pPr>
      <w:r w:rsidRPr="00B25DD3">
        <w:rPr>
          <w:rFonts w:ascii="Times New Roman" w:hAnsi="Times New Roman" w:cs="Times New Roman"/>
          <w:b/>
          <w:bCs/>
          <w:i/>
          <w:iCs/>
          <w:sz w:val="24"/>
          <w:szCs w:val="24"/>
        </w:rPr>
        <w:t xml:space="preserve">Indicator 2.a.1 The agriculture orientation index for government expenditures </w:t>
      </w:r>
    </w:p>
    <w:p w14:paraId="6F8AC87B" w14:textId="77777777" w:rsidR="00877949" w:rsidRPr="00B25DD3" w:rsidRDefault="00877949" w:rsidP="00877949">
      <w:pPr>
        <w:tabs>
          <w:tab w:val="left" w:pos="9072"/>
        </w:tabs>
        <w:bidi w:val="0"/>
        <w:spacing w:after="0" w:line="240" w:lineRule="auto"/>
        <w:jc w:val="both"/>
        <w:rPr>
          <w:rFonts w:ascii="Times New Roman" w:hAnsi="Times New Roman" w:cs="Times New Roman"/>
          <w:b/>
          <w:bCs/>
          <w:i/>
          <w:iCs/>
          <w:sz w:val="24"/>
          <w:szCs w:val="24"/>
        </w:rPr>
      </w:pPr>
    </w:p>
    <w:p w14:paraId="3A3A1816" w14:textId="77777777" w:rsidR="007D39B6" w:rsidRPr="00B25DD3" w:rsidRDefault="007C1CF7" w:rsidP="000B381B">
      <w:pPr>
        <w:autoSpaceDE w:val="0"/>
        <w:autoSpaceDN w:val="0"/>
        <w:bidi w:val="0"/>
        <w:adjustRightInd w:val="0"/>
        <w:spacing w:after="0" w:line="240" w:lineRule="auto"/>
        <w:jc w:val="both"/>
        <w:rPr>
          <w:rFonts w:ascii="Times New Roman" w:hAnsi="Times New Roman" w:cs="Times New Roman"/>
          <w:sz w:val="24"/>
          <w:szCs w:val="24"/>
        </w:rPr>
      </w:pPr>
      <w:r w:rsidRPr="00B25DD3">
        <w:rPr>
          <w:rFonts w:ascii="Times New Roman" w:hAnsi="Times New Roman" w:cs="Times New Roman"/>
          <w:sz w:val="24"/>
          <w:szCs w:val="24"/>
        </w:rPr>
        <w:t>R</w:t>
      </w:r>
      <w:r w:rsidR="007D39B6" w:rsidRPr="00B25DD3">
        <w:rPr>
          <w:rFonts w:ascii="Times New Roman" w:hAnsi="Times New Roman" w:cs="Times New Roman"/>
          <w:sz w:val="24"/>
          <w:szCs w:val="24"/>
        </w:rPr>
        <w:t xml:space="preserve">esults within the national accounts estimates in the FAO form indicate that the agricultural orientation index for government expenditures </w:t>
      </w:r>
      <w:r w:rsidR="00020043" w:rsidRPr="00B25DD3">
        <w:rPr>
          <w:rFonts w:ascii="Times New Roman" w:hAnsi="Times New Roman" w:cs="Times New Roman"/>
          <w:sz w:val="24"/>
          <w:szCs w:val="24"/>
        </w:rPr>
        <w:t xml:space="preserve">in </w:t>
      </w:r>
      <w:r w:rsidR="00D3372C" w:rsidRPr="00B25DD3">
        <w:rPr>
          <w:rFonts w:ascii="Times New Roman" w:hAnsi="Times New Roman" w:cs="Times New Roman" w:hint="cs"/>
          <w:sz w:val="24"/>
          <w:szCs w:val="24"/>
          <w:rtl/>
        </w:rPr>
        <w:t>2018</w:t>
      </w:r>
      <w:r w:rsidR="00EA10A7" w:rsidRPr="00B25DD3">
        <w:rPr>
          <w:rFonts w:ascii="Times New Roman" w:hAnsi="Times New Roman" w:cs="Times New Roman"/>
          <w:sz w:val="24"/>
          <w:szCs w:val="24"/>
        </w:rPr>
        <w:t xml:space="preserve"> </w:t>
      </w:r>
      <w:r w:rsidR="00020043" w:rsidRPr="00B25DD3">
        <w:rPr>
          <w:rFonts w:ascii="Times New Roman" w:hAnsi="Times New Roman" w:cs="Times New Roman"/>
          <w:sz w:val="24"/>
          <w:szCs w:val="24"/>
        </w:rPr>
        <w:t xml:space="preserve">was </w:t>
      </w:r>
      <w:r w:rsidR="000B381B" w:rsidRPr="00B25DD3">
        <w:rPr>
          <w:rFonts w:ascii="Times New Roman" w:hAnsi="Times New Roman" w:cs="Times New Roman"/>
          <w:sz w:val="24"/>
          <w:szCs w:val="24"/>
        </w:rPr>
        <w:t>0.</w:t>
      </w:r>
      <w:r w:rsidR="00D3372C" w:rsidRPr="00B25DD3">
        <w:rPr>
          <w:rFonts w:ascii="Times New Roman" w:hAnsi="Times New Roman" w:cs="Times New Roman" w:hint="cs"/>
          <w:sz w:val="24"/>
          <w:szCs w:val="24"/>
          <w:rtl/>
        </w:rPr>
        <w:t>12</w:t>
      </w:r>
      <w:r w:rsidR="007D39B6" w:rsidRPr="00B25DD3">
        <w:rPr>
          <w:rFonts w:ascii="Times New Roman" w:hAnsi="Times New Roman" w:cs="Times New Roman"/>
          <w:sz w:val="24"/>
          <w:szCs w:val="24"/>
        </w:rPr>
        <w:t xml:space="preserve">, while its value for </w:t>
      </w:r>
      <w:r w:rsidR="00D3372C" w:rsidRPr="00B25DD3">
        <w:rPr>
          <w:rFonts w:ascii="Times New Roman" w:hAnsi="Times New Roman" w:cs="Times New Roman" w:hint="cs"/>
          <w:sz w:val="24"/>
          <w:szCs w:val="24"/>
          <w:rtl/>
        </w:rPr>
        <w:t>2019</w:t>
      </w:r>
      <w:r w:rsidR="00EA10A7" w:rsidRPr="00B25DD3">
        <w:rPr>
          <w:rFonts w:ascii="Times New Roman" w:hAnsi="Times New Roman" w:cs="Times New Roman"/>
          <w:sz w:val="24"/>
          <w:szCs w:val="24"/>
        </w:rPr>
        <w:t xml:space="preserve"> </w:t>
      </w:r>
      <w:r w:rsidR="00D3372C" w:rsidRPr="00B25DD3">
        <w:rPr>
          <w:rFonts w:ascii="Times New Roman" w:hAnsi="Times New Roman" w:cs="Times New Roman"/>
          <w:sz w:val="24"/>
          <w:szCs w:val="24"/>
        </w:rPr>
        <w:t>decreased</w:t>
      </w:r>
      <w:r w:rsidR="00EA10A7" w:rsidRPr="00B25DD3">
        <w:rPr>
          <w:rFonts w:ascii="Times New Roman" w:hAnsi="Times New Roman" w:cs="Times New Roman"/>
          <w:sz w:val="24"/>
          <w:szCs w:val="24"/>
        </w:rPr>
        <w:t xml:space="preserve"> </w:t>
      </w:r>
      <w:r w:rsidR="007D39B6" w:rsidRPr="00B25DD3">
        <w:rPr>
          <w:rFonts w:ascii="Times New Roman" w:hAnsi="Times New Roman" w:cs="Times New Roman"/>
          <w:sz w:val="24"/>
          <w:szCs w:val="24"/>
        </w:rPr>
        <w:t>to 0.</w:t>
      </w:r>
      <w:r w:rsidR="00D3372C" w:rsidRPr="00B25DD3">
        <w:rPr>
          <w:rFonts w:ascii="Times New Roman" w:hAnsi="Times New Roman" w:cs="Times New Roman"/>
          <w:sz w:val="24"/>
          <w:szCs w:val="24"/>
        </w:rPr>
        <w:t>10</w:t>
      </w:r>
      <w:r w:rsidR="007D39B6" w:rsidRPr="00B25DD3">
        <w:rPr>
          <w:rFonts w:ascii="Times New Roman" w:hAnsi="Times New Roman" w:cs="Times New Roman"/>
          <w:sz w:val="24"/>
          <w:szCs w:val="24"/>
        </w:rPr>
        <w:t>.</w:t>
      </w:r>
    </w:p>
    <w:p w14:paraId="61BAD224" w14:textId="77777777" w:rsidR="00472C74" w:rsidRPr="00B25DD3" w:rsidRDefault="00472C74" w:rsidP="008C6258">
      <w:pPr>
        <w:tabs>
          <w:tab w:val="left" w:pos="9072"/>
        </w:tabs>
        <w:bidi w:val="0"/>
        <w:spacing w:after="0" w:line="240" w:lineRule="auto"/>
        <w:jc w:val="center"/>
        <w:rPr>
          <w:rFonts w:ascii="Arial" w:hAnsi="Arial"/>
          <w:b/>
          <w:bCs/>
        </w:rPr>
      </w:pPr>
    </w:p>
    <w:p w14:paraId="571C9A39" w14:textId="77777777" w:rsidR="007679D9" w:rsidRPr="00B25DD3" w:rsidRDefault="007679D9" w:rsidP="00E665C5">
      <w:pPr>
        <w:tabs>
          <w:tab w:val="left" w:pos="9072"/>
        </w:tabs>
        <w:bidi w:val="0"/>
        <w:spacing w:after="0" w:line="240" w:lineRule="auto"/>
        <w:rPr>
          <w:rFonts w:ascii="Arial" w:hAnsi="Arial"/>
          <w:b/>
          <w:bCs/>
        </w:rPr>
      </w:pPr>
    </w:p>
    <w:p w14:paraId="7F55732A" w14:textId="77777777" w:rsidR="007D39B6" w:rsidRPr="00B25DD3" w:rsidRDefault="007D39B6" w:rsidP="002F0A63">
      <w:pPr>
        <w:tabs>
          <w:tab w:val="left" w:pos="9072"/>
        </w:tabs>
        <w:bidi w:val="0"/>
        <w:spacing w:after="0" w:line="240" w:lineRule="auto"/>
        <w:jc w:val="center"/>
        <w:rPr>
          <w:rFonts w:ascii="Arial" w:hAnsi="Arial"/>
          <w:b/>
          <w:bCs/>
        </w:rPr>
      </w:pPr>
      <w:r w:rsidRPr="00B25DD3">
        <w:rPr>
          <w:rFonts w:ascii="Arial" w:hAnsi="Arial"/>
          <w:b/>
          <w:bCs/>
        </w:rPr>
        <w:t>Agriculture Orientation Index for Government Expenditures,</w:t>
      </w:r>
    </w:p>
    <w:p w14:paraId="0C301922" w14:textId="77777777" w:rsidR="007D39B6" w:rsidRPr="00B25DD3" w:rsidRDefault="003158CD" w:rsidP="00D3372C">
      <w:pPr>
        <w:tabs>
          <w:tab w:val="left" w:pos="9072"/>
        </w:tabs>
        <w:bidi w:val="0"/>
        <w:spacing w:after="0" w:line="240" w:lineRule="auto"/>
        <w:jc w:val="center"/>
        <w:rPr>
          <w:rFonts w:ascii="Arial" w:hAnsi="Arial"/>
          <w:b/>
          <w:bCs/>
        </w:rPr>
      </w:pPr>
      <w:r w:rsidRPr="00B25DD3">
        <w:rPr>
          <w:rFonts w:ascii="Arial" w:hAnsi="Arial"/>
          <w:b/>
          <w:bCs/>
        </w:rPr>
        <w:t>2015</w:t>
      </w:r>
      <w:r w:rsidR="007D39B6" w:rsidRPr="00B25DD3">
        <w:rPr>
          <w:rFonts w:ascii="Arial" w:hAnsi="Arial"/>
          <w:b/>
          <w:bCs/>
        </w:rPr>
        <w:t xml:space="preserve"> – </w:t>
      </w:r>
      <w:r w:rsidR="00D3372C" w:rsidRPr="00B25DD3">
        <w:rPr>
          <w:rFonts w:ascii="Arial" w:hAnsi="Arial"/>
          <w:b/>
          <w:bCs/>
        </w:rPr>
        <w:t>2019</w:t>
      </w:r>
      <w:r w:rsidR="007D39B6" w:rsidRPr="00B25DD3">
        <w:rPr>
          <w:rFonts w:ascii="Arial" w:hAnsi="Arial"/>
          <w:b/>
          <w:bCs/>
        </w:rPr>
        <w:t>(Index)</w:t>
      </w:r>
    </w:p>
    <w:tbl>
      <w:tblPr>
        <w:tblW w:w="8734" w:type="dxa"/>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4"/>
      </w:tblGrid>
      <w:tr w:rsidR="007D39B6" w:rsidRPr="00B25DD3" w14:paraId="4FB8F9CA" w14:textId="77777777" w:rsidTr="009F4E67">
        <w:trPr>
          <w:trHeight w:val="3404"/>
        </w:trPr>
        <w:tc>
          <w:tcPr>
            <w:tcW w:w="8734" w:type="dxa"/>
            <w:shd w:val="clear" w:color="auto" w:fill="auto"/>
          </w:tcPr>
          <w:p w14:paraId="2C40DF08" w14:textId="77777777" w:rsidR="007D39B6" w:rsidRPr="00B25DD3" w:rsidRDefault="009B6D43" w:rsidP="008C6258">
            <w:pPr>
              <w:tabs>
                <w:tab w:val="left" w:pos="9072"/>
              </w:tabs>
              <w:bidi w:val="0"/>
              <w:spacing w:after="0" w:line="240" w:lineRule="auto"/>
              <w:jc w:val="center"/>
              <w:rPr>
                <w:rFonts w:ascii="Arial" w:hAnsi="Arial"/>
                <w:b/>
                <w:bCs/>
                <w:lang w:val="it-IT"/>
              </w:rPr>
            </w:pPr>
            <w:r w:rsidRPr="00B25DD3">
              <w:rPr>
                <w:rFonts w:ascii="Simplified Arabic" w:hAnsi="Simplified Arabic" w:cs="Simplified Arabic"/>
                <w:noProof/>
                <w:sz w:val="24"/>
                <w:szCs w:val="24"/>
                <w:bdr w:val="single" w:sz="4" w:space="0" w:color="auto"/>
              </w:rPr>
              <w:drawing>
                <wp:inline distT="0" distB="0" distL="0" distR="0" wp14:anchorId="6451C562" wp14:editId="300E3E42">
                  <wp:extent cx="5554980" cy="2206625"/>
                  <wp:effectExtent l="0" t="0" r="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0653A9F4" w14:textId="77777777" w:rsidR="007D39B6" w:rsidRPr="00B25DD3" w:rsidRDefault="007D39B6" w:rsidP="008C6258">
      <w:pPr>
        <w:pStyle w:val="FootnoteText"/>
        <w:bidi w:val="0"/>
        <w:rPr>
          <w:rFonts w:asciiTheme="minorBidi" w:hAnsiTheme="minorBidi" w:cstheme="minorBidi"/>
          <w:sz w:val="18"/>
          <w:szCs w:val="18"/>
        </w:rPr>
      </w:pPr>
      <w:r w:rsidRPr="00B25DD3">
        <w:rPr>
          <w:rFonts w:asciiTheme="minorBidi" w:hAnsiTheme="minorBidi" w:cstheme="minorBidi"/>
          <w:b/>
          <w:bCs/>
          <w:sz w:val="18"/>
          <w:szCs w:val="18"/>
        </w:rPr>
        <w:t>Source:</w:t>
      </w:r>
      <w:hyperlink r:id="rId53" w:history="1">
        <w:r w:rsidRPr="00B25DD3">
          <w:rPr>
            <w:rFonts w:asciiTheme="minorBidi" w:hAnsiTheme="minorBidi" w:cstheme="minorBidi"/>
            <w:b/>
            <w:bCs/>
            <w:sz w:val="18"/>
            <w:szCs w:val="18"/>
            <w:u w:val="single"/>
          </w:rPr>
          <w:t>https://unstats.un.org/sdgs/indicators/database</w:t>
        </w:r>
      </w:hyperlink>
    </w:p>
    <w:p w14:paraId="52ABBAE0" w14:textId="77777777" w:rsidR="007D39B6" w:rsidRPr="00B25DD3"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212CF6EC" w14:textId="77777777" w:rsidR="007D39B6" w:rsidRPr="00B25DD3" w:rsidRDefault="007C1CF7" w:rsidP="000B381B">
      <w:pPr>
        <w:autoSpaceDE w:val="0"/>
        <w:autoSpaceDN w:val="0"/>
        <w:bidi w:val="0"/>
        <w:adjustRightInd w:val="0"/>
        <w:spacing w:after="0" w:line="240" w:lineRule="auto"/>
        <w:jc w:val="both"/>
        <w:rPr>
          <w:rFonts w:ascii="Times New Roman" w:hAnsi="Times New Roman" w:cs="Times New Roman"/>
          <w:sz w:val="24"/>
          <w:szCs w:val="24"/>
        </w:rPr>
      </w:pPr>
      <w:r w:rsidRPr="00B25DD3">
        <w:rPr>
          <w:rFonts w:ascii="Times New Roman" w:hAnsi="Times New Roman" w:cs="Times New Roman"/>
          <w:sz w:val="24"/>
          <w:szCs w:val="24"/>
        </w:rPr>
        <w:t>The a</w:t>
      </w:r>
      <w:r w:rsidR="007D39B6" w:rsidRPr="00B25DD3">
        <w:rPr>
          <w:rFonts w:ascii="Times New Roman" w:hAnsi="Times New Roman" w:cs="Times New Roman"/>
          <w:sz w:val="24"/>
          <w:szCs w:val="24"/>
        </w:rPr>
        <w:t xml:space="preserve">griculture share of </w:t>
      </w:r>
      <w:r w:rsidRPr="00B25DD3">
        <w:rPr>
          <w:rFonts w:ascii="Times New Roman" w:hAnsi="Times New Roman" w:cs="Times New Roman"/>
          <w:sz w:val="24"/>
          <w:szCs w:val="24"/>
        </w:rPr>
        <w:t>g</w:t>
      </w:r>
      <w:r w:rsidR="007D39B6" w:rsidRPr="00B25DD3">
        <w:rPr>
          <w:rFonts w:ascii="Times New Roman" w:hAnsi="Times New Roman" w:cs="Times New Roman"/>
          <w:sz w:val="24"/>
          <w:szCs w:val="24"/>
        </w:rPr>
        <w:t xml:space="preserve">overnment </w:t>
      </w:r>
      <w:r w:rsidRPr="00B25DD3">
        <w:rPr>
          <w:rFonts w:ascii="Times New Roman" w:hAnsi="Times New Roman" w:cs="Times New Roman"/>
          <w:sz w:val="24"/>
          <w:szCs w:val="24"/>
        </w:rPr>
        <w:t>e</w:t>
      </w:r>
      <w:r w:rsidR="007D39B6" w:rsidRPr="00B25DD3">
        <w:rPr>
          <w:rFonts w:ascii="Times New Roman" w:hAnsi="Times New Roman" w:cs="Times New Roman"/>
          <w:sz w:val="24"/>
          <w:szCs w:val="24"/>
        </w:rPr>
        <w:t xml:space="preserve">xpenditure </w:t>
      </w:r>
      <w:r w:rsidR="00371292" w:rsidRPr="00B25DD3">
        <w:rPr>
          <w:rFonts w:ascii="Times New Roman" w:hAnsi="Times New Roman" w:cs="Times New Roman"/>
          <w:sz w:val="24"/>
          <w:szCs w:val="24"/>
        </w:rPr>
        <w:t xml:space="preserve">decreased </w:t>
      </w:r>
      <w:r w:rsidR="000B381B" w:rsidRPr="00B25DD3">
        <w:rPr>
          <w:rFonts w:ascii="Times New Roman" w:hAnsi="Times New Roman" w:cs="Times New Roman"/>
          <w:sz w:val="24"/>
          <w:szCs w:val="24"/>
        </w:rPr>
        <w:t xml:space="preserve">in </w:t>
      </w:r>
      <w:r w:rsidR="00EA10A7" w:rsidRPr="00B25DD3">
        <w:rPr>
          <w:rFonts w:ascii="Times New Roman" w:hAnsi="Times New Roman" w:cs="Times New Roman"/>
          <w:sz w:val="24"/>
          <w:szCs w:val="24"/>
        </w:rPr>
        <w:t xml:space="preserve">2022 and </w:t>
      </w:r>
      <w:r w:rsidR="000B381B" w:rsidRPr="00B25DD3">
        <w:rPr>
          <w:rFonts w:ascii="Times New Roman" w:hAnsi="Times New Roman" w:cs="Times New Roman"/>
          <w:sz w:val="24"/>
          <w:szCs w:val="24"/>
        </w:rPr>
        <w:t xml:space="preserve">2021 </w:t>
      </w:r>
      <w:r w:rsidR="00371292" w:rsidRPr="00B25DD3">
        <w:rPr>
          <w:rFonts w:ascii="Times New Roman" w:hAnsi="Times New Roman" w:cs="Times New Roman"/>
          <w:sz w:val="24"/>
          <w:szCs w:val="24"/>
        </w:rPr>
        <w:t>to 0.73</w:t>
      </w:r>
      <w:r w:rsidR="00EA10A7" w:rsidRPr="00B25DD3">
        <w:rPr>
          <w:rFonts w:ascii="Times New Roman" w:hAnsi="Times New Roman" w:cs="Times New Roman"/>
          <w:sz w:val="24"/>
          <w:szCs w:val="24"/>
        </w:rPr>
        <w:t xml:space="preserve"> </w:t>
      </w:r>
      <w:r w:rsidR="000B381B" w:rsidRPr="00B25DD3">
        <w:rPr>
          <w:rFonts w:ascii="Times New Roman" w:hAnsi="Times New Roman" w:cs="Times New Roman"/>
          <w:sz w:val="24"/>
          <w:szCs w:val="24"/>
        </w:rPr>
        <w:t>for</w:t>
      </w:r>
      <w:r w:rsidR="007D39B6" w:rsidRPr="00B25DD3">
        <w:rPr>
          <w:rFonts w:ascii="Times New Roman" w:hAnsi="Times New Roman" w:cs="Times New Roman"/>
          <w:sz w:val="24"/>
          <w:szCs w:val="24"/>
        </w:rPr>
        <w:t xml:space="preserve"> Palestine</w:t>
      </w:r>
      <w:r w:rsidR="000B381B" w:rsidRPr="00B25DD3">
        <w:rPr>
          <w:rFonts w:ascii="Times New Roman" w:hAnsi="Times New Roman" w:cs="Times New Roman"/>
          <w:sz w:val="24"/>
          <w:szCs w:val="24"/>
        </w:rPr>
        <w:t>,</w:t>
      </w:r>
      <w:r w:rsidR="007D39B6" w:rsidRPr="00B25DD3">
        <w:rPr>
          <w:rFonts w:ascii="Times New Roman" w:hAnsi="Times New Roman" w:cs="Times New Roman"/>
          <w:sz w:val="24"/>
          <w:szCs w:val="24"/>
        </w:rPr>
        <w:t xml:space="preserve"> compared to 0.</w:t>
      </w:r>
      <w:r w:rsidR="00371292" w:rsidRPr="00B25DD3">
        <w:rPr>
          <w:rFonts w:ascii="Times New Roman" w:hAnsi="Times New Roman" w:cs="Times New Roman"/>
          <w:sz w:val="24"/>
          <w:szCs w:val="24"/>
        </w:rPr>
        <w:t>97</w:t>
      </w:r>
      <w:r w:rsidR="007D39B6" w:rsidRPr="00B25DD3">
        <w:rPr>
          <w:rFonts w:ascii="Times New Roman" w:hAnsi="Times New Roman" w:cs="Times New Roman"/>
          <w:sz w:val="24"/>
          <w:szCs w:val="24"/>
        </w:rPr>
        <w:t xml:space="preserve">% for year </w:t>
      </w:r>
      <w:r w:rsidR="00371292" w:rsidRPr="00B25DD3">
        <w:rPr>
          <w:rFonts w:ascii="Times New Roman" w:hAnsi="Times New Roman" w:cs="Times New Roman"/>
          <w:sz w:val="24"/>
          <w:szCs w:val="24"/>
        </w:rPr>
        <w:t>2019</w:t>
      </w:r>
      <w:r w:rsidRPr="00B25DD3">
        <w:rPr>
          <w:rFonts w:ascii="Times New Roman" w:hAnsi="Times New Roman" w:cs="Times New Roman"/>
          <w:sz w:val="24"/>
          <w:szCs w:val="24"/>
        </w:rPr>
        <w:t>; on the other hand</w:t>
      </w:r>
      <w:r w:rsidR="007D39B6" w:rsidRPr="00B25DD3">
        <w:rPr>
          <w:rFonts w:ascii="Times New Roman" w:hAnsi="Times New Roman" w:cs="Times New Roman"/>
          <w:sz w:val="24"/>
          <w:szCs w:val="24"/>
        </w:rPr>
        <w:t xml:space="preserve">, </w:t>
      </w:r>
      <w:r w:rsidRPr="00B25DD3">
        <w:rPr>
          <w:rFonts w:ascii="Times New Roman" w:hAnsi="Times New Roman" w:cs="Times New Roman"/>
          <w:sz w:val="24"/>
          <w:szCs w:val="24"/>
        </w:rPr>
        <w:t>thea</w:t>
      </w:r>
      <w:r w:rsidR="007D39B6" w:rsidRPr="00B25DD3">
        <w:rPr>
          <w:rFonts w:ascii="Times New Roman" w:hAnsi="Times New Roman" w:cs="Times New Roman"/>
          <w:sz w:val="24"/>
          <w:szCs w:val="24"/>
        </w:rPr>
        <w:t xml:space="preserve">griculture value added share of GDP </w:t>
      </w:r>
      <w:r w:rsidRPr="00B25DD3">
        <w:rPr>
          <w:rFonts w:ascii="Times New Roman" w:hAnsi="Times New Roman" w:cs="Times New Roman"/>
          <w:sz w:val="24"/>
          <w:szCs w:val="24"/>
        </w:rPr>
        <w:t>accounted for</w:t>
      </w:r>
      <w:r w:rsidR="00660440" w:rsidRPr="00B25DD3">
        <w:rPr>
          <w:rFonts w:ascii="Times New Roman" w:hAnsi="Times New Roman" w:cs="Times New Roman" w:hint="cs"/>
          <w:sz w:val="24"/>
          <w:szCs w:val="24"/>
          <w:rtl/>
        </w:rPr>
        <w:t>6.5</w:t>
      </w:r>
      <w:r w:rsidR="007D39B6" w:rsidRPr="00B25DD3">
        <w:rPr>
          <w:rFonts w:ascii="Times New Roman" w:hAnsi="Times New Roman" w:cs="Times New Roman"/>
          <w:sz w:val="24"/>
          <w:szCs w:val="24"/>
        </w:rPr>
        <w:t xml:space="preserve">% </w:t>
      </w:r>
      <w:r w:rsidRPr="00B25DD3">
        <w:rPr>
          <w:rFonts w:ascii="Times New Roman" w:hAnsi="Times New Roman" w:cs="Times New Roman"/>
          <w:sz w:val="24"/>
          <w:szCs w:val="24"/>
        </w:rPr>
        <w:t>in</w:t>
      </w:r>
      <w:r w:rsidR="00660440" w:rsidRPr="00B25DD3">
        <w:rPr>
          <w:rFonts w:ascii="Times New Roman" w:hAnsi="Times New Roman" w:cs="Times New Roman" w:hint="cs"/>
          <w:sz w:val="24"/>
          <w:szCs w:val="24"/>
          <w:rtl/>
        </w:rPr>
        <w:t>2021</w:t>
      </w:r>
      <w:r w:rsidR="007D39B6" w:rsidRPr="00B25DD3">
        <w:rPr>
          <w:rFonts w:ascii="Times New Roman" w:hAnsi="Times New Roman" w:cs="Times New Roman"/>
          <w:sz w:val="24"/>
          <w:szCs w:val="24"/>
        </w:rPr>
        <w:t xml:space="preserve"> compared to </w:t>
      </w:r>
      <w:r w:rsidR="00660440" w:rsidRPr="00B25DD3">
        <w:rPr>
          <w:rFonts w:ascii="Times New Roman" w:hAnsi="Times New Roman" w:cs="Times New Roman"/>
          <w:sz w:val="24"/>
          <w:szCs w:val="24"/>
        </w:rPr>
        <w:t xml:space="preserve">7.3% </w:t>
      </w:r>
      <w:r w:rsidR="007D39B6" w:rsidRPr="00B25DD3">
        <w:rPr>
          <w:rFonts w:ascii="Times New Roman" w:hAnsi="Times New Roman" w:cs="Times New Roman"/>
          <w:sz w:val="24"/>
          <w:szCs w:val="24"/>
        </w:rPr>
        <w:t xml:space="preserve">in </w:t>
      </w:r>
      <w:r w:rsidR="00660440" w:rsidRPr="00B25DD3">
        <w:rPr>
          <w:rFonts w:ascii="Times New Roman" w:hAnsi="Times New Roman" w:cs="Times New Roman" w:hint="cs"/>
          <w:sz w:val="24"/>
          <w:szCs w:val="24"/>
          <w:rtl/>
        </w:rPr>
        <w:t>2019</w:t>
      </w:r>
      <w:r w:rsidR="007D39B6" w:rsidRPr="00B25DD3">
        <w:rPr>
          <w:rFonts w:ascii="Times New Roman" w:hAnsi="Times New Roman" w:cs="Times New Roman"/>
          <w:sz w:val="24"/>
          <w:szCs w:val="24"/>
        </w:rPr>
        <w:t>.</w:t>
      </w:r>
    </w:p>
    <w:p w14:paraId="55098384" w14:textId="77777777" w:rsidR="007D39B6" w:rsidRPr="00B25DD3"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6907393D" w14:textId="77777777" w:rsidR="000E7EC4" w:rsidRDefault="007D39B6" w:rsidP="002F0A63">
      <w:pPr>
        <w:autoSpaceDE w:val="0"/>
        <w:autoSpaceDN w:val="0"/>
        <w:bidi w:val="0"/>
        <w:adjustRightInd w:val="0"/>
        <w:spacing w:after="0" w:line="240" w:lineRule="auto"/>
        <w:jc w:val="both"/>
        <w:rPr>
          <w:rFonts w:ascii="Times New Roman" w:hAnsi="Times New Roman" w:cs="Times New Roman"/>
          <w:b/>
          <w:bCs/>
          <w:i/>
          <w:iCs/>
          <w:sz w:val="24"/>
          <w:szCs w:val="24"/>
        </w:rPr>
      </w:pPr>
      <w:r w:rsidRPr="00B25DD3">
        <w:rPr>
          <w:rFonts w:ascii="Times New Roman" w:hAnsi="Times New Roman" w:cs="Times New Roman"/>
          <w:b/>
          <w:bCs/>
          <w:i/>
          <w:iCs/>
          <w:sz w:val="24"/>
          <w:szCs w:val="24"/>
        </w:rPr>
        <w:t>Indicator 2.c.1 Consumer Food Price Index</w:t>
      </w:r>
    </w:p>
    <w:p w14:paraId="552BD4A4" w14:textId="77777777" w:rsidR="00877949" w:rsidRPr="008A4E00"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0D897E9C" w14:textId="77777777" w:rsidR="007D39B6" w:rsidRPr="00660440" w:rsidRDefault="007C1CF7" w:rsidP="00E665C5">
      <w:pPr>
        <w:tabs>
          <w:tab w:val="left" w:pos="9072"/>
        </w:tabs>
        <w:bidi w:val="0"/>
        <w:spacing w:after="0" w:line="240" w:lineRule="auto"/>
        <w:jc w:val="both"/>
        <w:rPr>
          <w:rFonts w:ascii="Arial" w:hAnsi="Arial"/>
          <w:color w:val="FF0000"/>
          <w:sz w:val="18"/>
          <w:szCs w:val="18"/>
        </w:rPr>
      </w:pPr>
      <w:r>
        <w:rPr>
          <w:rFonts w:ascii="Times New Roman" w:hAnsi="Times New Roman" w:cs="Times New Roman"/>
          <w:sz w:val="24"/>
          <w:szCs w:val="24"/>
        </w:rPr>
        <w:t xml:space="preserve">The </w:t>
      </w:r>
      <w:r w:rsidR="007D39B6" w:rsidRPr="008970F7">
        <w:rPr>
          <w:rFonts w:ascii="Times New Roman" w:hAnsi="Times New Roman" w:cs="Times New Roman"/>
          <w:sz w:val="24"/>
          <w:szCs w:val="24"/>
        </w:rPr>
        <w:t xml:space="preserve">Consumer Food Price Index </w:t>
      </w:r>
      <w:r w:rsidR="00660440">
        <w:rPr>
          <w:rFonts w:ascii="Times New Roman" w:hAnsi="Times New Roman" w:cs="Times New Roman"/>
          <w:sz w:val="24"/>
          <w:szCs w:val="24"/>
        </w:rPr>
        <w:t>d</w:t>
      </w:r>
      <w:r w:rsidR="00660440" w:rsidRPr="00660440">
        <w:rPr>
          <w:rFonts w:ascii="Times New Roman" w:hAnsi="Times New Roman" w:cs="Times New Roman"/>
          <w:sz w:val="24"/>
          <w:szCs w:val="24"/>
        </w:rPr>
        <w:t>ecrease</w:t>
      </w:r>
      <w:r>
        <w:rPr>
          <w:rFonts w:ascii="Times New Roman" w:hAnsi="Times New Roman" w:cs="Times New Roman"/>
          <w:sz w:val="24"/>
          <w:szCs w:val="24"/>
        </w:rPr>
        <w:t>d</w:t>
      </w:r>
      <w:r w:rsidR="007D39B6" w:rsidRPr="008970F7">
        <w:rPr>
          <w:rFonts w:ascii="Times New Roman" w:hAnsi="Times New Roman" w:cs="Times New Roman"/>
          <w:sz w:val="24"/>
          <w:szCs w:val="24"/>
        </w:rPr>
        <w:t xml:space="preserve">from </w:t>
      </w:r>
      <w:r w:rsidR="00660440">
        <w:rPr>
          <w:rFonts w:ascii="Times New Roman" w:hAnsi="Times New Roman" w:cs="Times New Roman"/>
          <w:sz w:val="24"/>
          <w:szCs w:val="24"/>
        </w:rPr>
        <w:t>0.6</w:t>
      </w:r>
      <w:r w:rsidR="007D39B6" w:rsidRPr="008970F7">
        <w:rPr>
          <w:rFonts w:ascii="Times New Roman" w:hAnsi="Times New Roman" w:cs="Times New Roman"/>
          <w:sz w:val="24"/>
          <w:szCs w:val="24"/>
        </w:rPr>
        <w:t xml:space="preserve"> in 201</w:t>
      </w:r>
      <w:r w:rsidR="00660440">
        <w:rPr>
          <w:rFonts w:ascii="Times New Roman" w:hAnsi="Times New Roman" w:cs="Times New Roman"/>
          <w:sz w:val="24"/>
          <w:szCs w:val="24"/>
        </w:rPr>
        <w:t>9</w:t>
      </w:r>
      <w:r w:rsidR="007D39B6" w:rsidRPr="008970F7">
        <w:rPr>
          <w:rFonts w:ascii="Times New Roman" w:hAnsi="Times New Roman" w:cs="Times New Roman"/>
          <w:sz w:val="24"/>
          <w:szCs w:val="24"/>
        </w:rPr>
        <w:t xml:space="preserve"> to </w:t>
      </w:r>
      <w:r w:rsidR="00660440">
        <w:rPr>
          <w:rFonts w:ascii="Times New Roman" w:hAnsi="Times New Roman" w:cs="Times New Roman"/>
          <w:sz w:val="24"/>
          <w:szCs w:val="24"/>
        </w:rPr>
        <w:t>-</w:t>
      </w:r>
      <w:r w:rsidR="007D39B6" w:rsidRPr="008970F7">
        <w:rPr>
          <w:rFonts w:ascii="Times New Roman" w:hAnsi="Times New Roman" w:cs="Times New Roman"/>
          <w:sz w:val="24"/>
          <w:szCs w:val="24"/>
        </w:rPr>
        <w:t xml:space="preserve">0.6 in </w:t>
      </w:r>
      <w:r w:rsidR="00660440">
        <w:rPr>
          <w:rFonts w:ascii="Times New Roman" w:hAnsi="Times New Roman" w:cs="Times New Roman"/>
          <w:sz w:val="24"/>
          <w:szCs w:val="24"/>
        </w:rPr>
        <w:t>2020</w:t>
      </w:r>
      <w:r w:rsidR="007D39B6" w:rsidRPr="008970F7">
        <w:rPr>
          <w:rFonts w:ascii="Times New Roman" w:hAnsi="Times New Roman" w:cs="Times New Roman"/>
          <w:sz w:val="24"/>
          <w:szCs w:val="24"/>
        </w:rPr>
        <w:t xml:space="preserve">, whereas </w:t>
      </w:r>
      <w:r>
        <w:rPr>
          <w:rFonts w:ascii="Times New Roman" w:hAnsi="Times New Roman" w:cs="Times New Roman"/>
          <w:sz w:val="24"/>
          <w:szCs w:val="24"/>
        </w:rPr>
        <w:t xml:space="preserve">the </w:t>
      </w:r>
      <w:r w:rsidR="007D39B6" w:rsidRPr="008970F7">
        <w:rPr>
          <w:rFonts w:ascii="Times New Roman" w:hAnsi="Times New Roman" w:cs="Times New Roman"/>
          <w:sz w:val="24"/>
          <w:szCs w:val="24"/>
        </w:rPr>
        <w:t xml:space="preserve">Indicator of Food Price Anomalies (IFPA) for </w:t>
      </w:r>
      <w:r>
        <w:rPr>
          <w:rFonts w:ascii="Times New Roman" w:hAnsi="Times New Roman" w:cs="Times New Roman"/>
          <w:sz w:val="24"/>
          <w:szCs w:val="24"/>
        </w:rPr>
        <w:t>r</w:t>
      </w:r>
      <w:r w:rsidR="007D39B6" w:rsidRPr="008970F7">
        <w:rPr>
          <w:rFonts w:ascii="Times New Roman" w:hAnsi="Times New Roman" w:cs="Times New Roman"/>
          <w:sz w:val="24"/>
          <w:szCs w:val="24"/>
        </w:rPr>
        <w:t xml:space="preserve">ice reached </w:t>
      </w:r>
      <w:r w:rsidR="00660440">
        <w:rPr>
          <w:rFonts w:ascii="Times New Roman" w:hAnsi="Times New Roman" w:cs="Times New Roman"/>
          <w:sz w:val="24"/>
          <w:szCs w:val="24"/>
        </w:rPr>
        <w:t>0.22</w:t>
      </w:r>
      <w:r w:rsidR="007D39B6" w:rsidRPr="008970F7">
        <w:rPr>
          <w:rFonts w:ascii="Times New Roman" w:hAnsi="Times New Roman" w:cs="Times New Roman"/>
          <w:sz w:val="24"/>
          <w:szCs w:val="24"/>
        </w:rPr>
        <w:t xml:space="preserve"> and </w:t>
      </w:r>
      <w:r>
        <w:rPr>
          <w:rFonts w:ascii="Times New Roman" w:hAnsi="Times New Roman" w:cs="Times New Roman"/>
          <w:sz w:val="24"/>
          <w:szCs w:val="24"/>
        </w:rPr>
        <w:t xml:space="preserve">the </w:t>
      </w:r>
      <w:r w:rsidR="007D39B6" w:rsidRPr="008970F7">
        <w:rPr>
          <w:rFonts w:ascii="Times New Roman" w:hAnsi="Times New Roman" w:cs="Times New Roman"/>
          <w:sz w:val="24"/>
          <w:szCs w:val="24"/>
        </w:rPr>
        <w:t xml:space="preserve">Indicator of Food Price Anomalies (IFPA) for </w:t>
      </w:r>
      <w:r>
        <w:rPr>
          <w:rFonts w:ascii="Times New Roman" w:hAnsi="Times New Roman" w:cs="Times New Roman"/>
          <w:sz w:val="24"/>
          <w:szCs w:val="24"/>
        </w:rPr>
        <w:t>w</w:t>
      </w:r>
      <w:r w:rsidR="007D39B6" w:rsidRPr="008970F7">
        <w:rPr>
          <w:rFonts w:ascii="Times New Roman" w:hAnsi="Times New Roman" w:cs="Times New Roman"/>
          <w:sz w:val="24"/>
          <w:szCs w:val="24"/>
        </w:rPr>
        <w:t xml:space="preserve">heat reached </w:t>
      </w:r>
      <w:r w:rsidR="00660440">
        <w:rPr>
          <w:rFonts w:ascii="Times New Roman" w:hAnsi="Times New Roman" w:cs="Times New Roman"/>
          <w:sz w:val="24"/>
          <w:szCs w:val="24"/>
        </w:rPr>
        <w:t>-0.16</w:t>
      </w:r>
      <w:r w:rsidR="007D39B6" w:rsidRPr="008970F7">
        <w:rPr>
          <w:rFonts w:ascii="Times New Roman" w:hAnsi="Times New Roman" w:cs="Times New Roman"/>
          <w:sz w:val="24"/>
          <w:szCs w:val="24"/>
        </w:rPr>
        <w:t>for  202</w:t>
      </w:r>
      <w:r w:rsidR="00660440">
        <w:rPr>
          <w:rFonts w:ascii="Times New Roman" w:hAnsi="Times New Roman" w:cs="Times New Roman"/>
          <w:sz w:val="24"/>
          <w:szCs w:val="24"/>
        </w:rPr>
        <w:t>1</w:t>
      </w:r>
      <w:r w:rsidR="007D39B6" w:rsidRPr="008970F7">
        <w:rPr>
          <w:rFonts w:ascii="Times New Roman" w:hAnsi="Times New Roman" w:cs="Times New Roman"/>
          <w:sz w:val="24"/>
          <w:szCs w:val="24"/>
        </w:rPr>
        <w:t>.</w:t>
      </w:r>
    </w:p>
    <w:p w14:paraId="6ECAD0C7"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75B865A4" w14:textId="77777777" w:rsidR="000E7EC4" w:rsidRPr="008A4E00" w:rsidRDefault="007D39B6" w:rsidP="002F0A63">
      <w:pPr>
        <w:autoSpaceDE w:val="0"/>
        <w:autoSpaceDN w:val="0"/>
        <w:bidi w:val="0"/>
        <w:adjustRightInd w:val="0"/>
        <w:spacing w:after="0"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lastRenderedPageBreak/>
        <w:t>Summary</w:t>
      </w:r>
    </w:p>
    <w:p w14:paraId="3E202E74"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In Palestine, the prevalence of severe food insecurity among the population </w:t>
      </w:r>
      <w:r w:rsidR="007C1CF7">
        <w:rPr>
          <w:rFonts w:ascii="Times New Roman" w:hAnsi="Times New Roman" w:cs="Times New Roman"/>
          <w:sz w:val="24"/>
          <w:szCs w:val="24"/>
        </w:rPr>
        <w:t>reached</w:t>
      </w:r>
      <w:r w:rsidR="00C9071A">
        <w:rPr>
          <w:rFonts w:ascii="Times New Roman" w:hAnsi="Times New Roman" w:cs="Times New Roman"/>
          <w:sz w:val="24"/>
          <w:szCs w:val="24"/>
        </w:rPr>
        <w:t xml:space="preserve"> </w:t>
      </w:r>
      <w:r w:rsidR="004727CE">
        <w:rPr>
          <w:rFonts w:ascii="Times New Roman" w:hAnsi="Times New Roman" w:cs="Times New Roman"/>
          <w:sz w:val="24"/>
          <w:szCs w:val="24"/>
        </w:rPr>
        <w:t>6.7% based on the FIES scale in</w:t>
      </w:r>
      <w:r w:rsidR="00C9071A">
        <w:rPr>
          <w:rFonts w:ascii="Times New Roman" w:hAnsi="Times New Roman" w:cs="Times New Roman"/>
          <w:sz w:val="24"/>
          <w:szCs w:val="24"/>
        </w:rPr>
        <w:t xml:space="preserve"> </w:t>
      </w:r>
      <w:r w:rsidR="004727CE">
        <w:rPr>
          <w:rFonts w:ascii="Times New Roman" w:hAnsi="Times New Roman" w:cs="Times New Roman"/>
          <w:sz w:val="24"/>
          <w:szCs w:val="24"/>
        </w:rPr>
        <w:t>2020</w:t>
      </w:r>
      <w:r w:rsidRPr="008A4E00">
        <w:rPr>
          <w:rFonts w:ascii="Times New Roman" w:hAnsi="Times New Roman" w:cs="Times New Roman"/>
          <w:sz w:val="24"/>
          <w:szCs w:val="24"/>
        </w:rPr>
        <w:t xml:space="preserve">. </w:t>
      </w:r>
      <w:r w:rsidR="0059164D" w:rsidRPr="008A4E00">
        <w:rPr>
          <w:rFonts w:ascii="Times New Roman" w:hAnsi="Times New Roman" w:cs="Times New Roman"/>
          <w:sz w:val="24"/>
          <w:szCs w:val="24"/>
        </w:rPr>
        <w:t>In addition</w:t>
      </w:r>
      <w:r w:rsidRPr="008A4E00">
        <w:rPr>
          <w:rFonts w:ascii="Times New Roman" w:hAnsi="Times New Roman" w:cs="Times New Roman"/>
          <w:sz w:val="24"/>
          <w:szCs w:val="24"/>
        </w:rPr>
        <w:t>, around 1.</w:t>
      </w:r>
      <w:r w:rsidR="007135F2">
        <w:rPr>
          <w:rFonts w:ascii="Times New Roman" w:hAnsi="Times New Roman" w:cs="Times New Roman"/>
          <w:sz w:val="24"/>
          <w:szCs w:val="24"/>
        </w:rPr>
        <w:t>9</w:t>
      </w:r>
      <w:r w:rsidRPr="008A4E00">
        <w:rPr>
          <w:rFonts w:ascii="Times New Roman" w:hAnsi="Times New Roman" w:cs="Times New Roman"/>
          <w:sz w:val="24"/>
          <w:szCs w:val="24"/>
        </w:rPr>
        <w:t xml:space="preserve"> million individuals suffered from moderate </w:t>
      </w:r>
      <w:r w:rsidR="00CC674C">
        <w:rPr>
          <w:rFonts w:ascii="Times New Roman" w:hAnsi="Times New Roman" w:cs="Times New Roman"/>
          <w:sz w:val="24"/>
          <w:szCs w:val="24"/>
        </w:rPr>
        <w:t xml:space="preserve">or </w:t>
      </w:r>
      <w:r w:rsidR="00CC674C" w:rsidRPr="008A4E00">
        <w:rPr>
          <w:rFonts w:ascii="Times New Roman" w:hAnsi="Times New Roman" w:cs="Times New Roman"/>
          <w:sz w:val="24"/>
          <w:szCs w:val="24"/>
        </w:rPr>
        <w:t xml:space="preserve">severe </w:t>
      </w:r>
      <w:r w:rsidRPr="008A4E00">
        <w:rPr>
          <w:rFonts w:ascii="Times New Roman" w:hAnsi="Times New Roman" w:cs="Times New Roman"/>
          <w:sz w:val="24"/>
          <w:szCs w:val="24"/>
        </w:rPr>
        <w:t xml:space="preserve">food insecurity in </w:t>
      </w:r>
      <w:r w:rsidR="00826AF1">
        <w:rPr>
          <w:rFonts w:ascii="Times New Roman" w:hAnsi="Times New Roman" w:cs="Times New Roman"/>
          <w:sz w:val="24"/>
          <w:szCs w:val="24"/>
        </w:rPr>
        <w:t>2020</w:t>
      </w:r>
      <w:r w:rsidRPr="008A4E00">
        <w:rPr>
          <w:rFonts w:ascii="Times New Roman" w:hAnsi="Times New Roman" w:cs="Times New Roman"/>
          <w:sz w:val="24"/>
          <w:szCs w:val="24"/>
        </w:rPr>
        <w:t xml:space="preserve"> (</w:t>
      </w:r>
      <w:r w:rsidR="004727CE">
        <w:rPr>
          <w:rFonts w:ascii="Times New Roman" w:hAnsi="Times New Roman" w:cs="Times New Roman"/>
          <w:sz w:val="24"/>
          <w:szCs w:val="24"/>
        </w:rPr>
        <w:t>37.9</w:t>
      </w:r>
      <w:r w:rsidRPr="008A4E00">
        <w:rPr>
          <w:rFonts w:ascii="Times New Roman" w:hAnsi="Times New Roman" w:cs="Times New Roman"/>
          <w:sz w:val="24"/>
          <w:szCs w:val="24"/>
        </w:rPr>
        <w:t>%).</w:t>
      </w:r>
    </w:p>
    <w:p w14:paraId="73A2E4F0"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4B35D25C"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6AD3E0F8"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5D6A8A38"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5B45778F"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13089466"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4B31D2AA"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516B93C8"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27113933" w14:textId="77777777" w:rsidR="007D39B6" w:rsidRDefault="007D39B6" w:rsidP="008C6258">
      <w:pPr>
        <w:bidi w:val="0"/>
        <w:spacing w:after="0" w:line="240" w:lineRule="auto"/>
        <w:rPr>
          <w:rFonts w:ascii="Times New Roman" w:hAnsi="Times New Roman" w:cs="Times New Roman"/>
          <w:sz w:val="24"/>
          <w:szCs w:val="24"/>
        </w:rPr>
      </w:pPr>
    </w:p>
    <w:p w14:paraId="5ACC0F53" w14:textId="77777777" w:rsidR="002C5E38" w:rsidRDefault="002C5E38" w:rsidP="008C6258">
      <w:pPr>
        <w:widowControl w:val="0"/>
        <w:bidi w:val="0"/>
        <w:spacing w:after="0" w:line="240" w:lineRule="auto"/>
        <w:rPr>
          <w:rFonts w:ascii="Arial" w:eastAsia="Arial Narrow" w:hAnsi="Arial"/>
          <w:color w:val="000000"/>
          <w:spacing w:val="2"/>
          <w:sz w:val="18"/>
          <w:szCs w:val="18"/>
          <w:shd w:val="clear" w:color="auto" w:fill="FFFFFF"/>
          <w:rtl/>
          <w:lang w:val="en-GB"/>
        </w:rPr>
      </w:pPr>
    </w:p>
    <w:p w14:paraId="6174CD06"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58EA5245"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3062FAE8"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604067F4"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21E0D508"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49596222" w14:textId="77777777" w:rsidR="00611C35" w:rsidRPr="002E195E" w:rsidRDefault="00611C35" w:rsidP="00611C35">
      <w:pPr>
        <w:widowControl w:val="0"/>
        <w:bidi w:val="0"/>
        <w:spacing w:after="0" w:line="240" w:lineRule="auto"/>
        <w:rPr>
          <w:rFonts w:ascii="Arial" w:eastAsia="Arial Narrow" w:hAnsi="Arial"/>
          <w:color w:val="000000"/>
          <w:spacing w:val="2"/>
          <w:sz w:val="18"/>
          <w:szCs w:val="18"/>
          <w:shd w:val="clear" w:color="auto" w:fill="FFFFFF"/>
          <w:lang w:val="en-GB"/>
        </w:rPr>
      </w:pPr>
    </w:p>
    <w:p w14:paraId="05167E1C" w14:textId="77777777" w:rsidR="007B7BEC" w:rsidRDefault="007B7BEC">
      <w:pPr>
        <w:bidi w:val="0"/>
      </w:pPr>
      <w:r>
        <w:br w:type="page"/>
      </w:r>
    </w:p>
    <w:tbl>
      <w:tblPr>
        <w:tblW w:w="9311" w:type="dxa"/>
        <w:tblBorders>
          <w:top w:val="thinThickSmallGap" w:sz="24" w:space="0" w:color="3F8E3C"/>
          <w:left w:val="thinThickSmallGap" w:sz="24" w:space="0" w:color="3F8E3C"/>
          <w:bottom w:val="thickThinSmallGap" w:sz="24" w:space="0" w:color="3F8E3C"/>
          <w:right w:val="thickThinSmallGap" w:sz="24" w:space="0" w:color="3F8E3C"/>
        </w:tblBorders>
        <w:tblLook w:val="04A0" w:firstRow="1" w:lastRow="0" w:firstColumn="1" w:lastColumn="0" w:noHBand="0" w:noVBand="1"/>
      </w:tblPr>
      <w:tblGrid>
        <w:gridCol w:w="2080"/>
        <w:gridCol w:w="7231"/>
      </w:tblGrid>
      <w:tr w:rsidR="00E34CD1" w:rsidRPr="000D2E4D" w14:paraId="797C5A6F" w14:textId="77777777" w:rsidTr="007679D9">
        <w:tc>
          <w:tcPr>
            <w:tcW w:w="2080" w:type="dxa"/>
            <w:shd w:val="clear" w:color="auto" w:fill="auto"/>
            <w:vAlign w:val="center"/>
          </w:tcPr>
          <w:p w14:paraId="4AF09DC9" w14:textId="77777777" w:rsidR="00E34CD1" w:rsidRPr="000D2E4D" w:rsidRDefault="00E34CD1"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2D7734E8" wp14:editId="51357455">
                  <wp:extent cx="1073150" cy="1081405"/>
                  <wp:effectExtent l="19050" t="0" r="0" b="0"/>
                  <wp:docPr id="2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6" cstate="print"/>
                          <a:srcRect/>
                          <a:stretch>
                            <a:fillRect/>
                          </a:stretch>
                        </pic:blipFill>
                        <pic:spPr bwMode="auto">
                          <a:xfrm>
                            <a:off x="0" y="0"/>
                            <a:ext cx="1073150" cy="1081405"/>
                          </a:xfrm>
                          <a:prstGeom prst="rect">
                            <a:avLst/>
                          </a:prstGeom>
                          <a:noFill/>
                          <a:ln w="9525">
                            <a:noFill/>
                            <a:miter lim="800000"/>
                            <a:headEnd/>
                            <a:tailEnd/>
                          </a:ln>
                        </pic:spPr>
                      </pic:pic>
                    </a:graphicData>
                  </a:graphic>
                </wp:inline>
              </w:drawing>
            </w:r>
          </w:p>
        </w:tc>
        <w:tc>
          <w:tcPr>
            <w:tcW w:w="7231" w:type="dxa"/>
            <w:shd w:val="clear" w:color="auto" w:fill="auto"/>
            <w:vAlign w:val="center"/>
          </w:tcPr>
          <w:p w14:paraId="0BE208E8" w14:textId="77777777" w:rsidR="00E34CD1" w:rsidRPr="000D2E4D" w:rsidRDefault="00E34CD1"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3 – Ensure Healthy Lives </w:t>
            </w:r>
            <w:r w:rsidR="00F752A5">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Promote Well-Being For All At All Ages</w:t>
            </w:r>
          </w:p>
        </w:tc>
      </w:tr>
    </w:tbl>
    <w:p w14:paraId="32A65055" w14:textId="77777777" w:rsidR="00E34CD1" w:rsidRPr="00785771" w:rsidRDefault="00E34CD1" w:rsidP="008C6258">
      <w:pPr>
        <w:bidi w:val="0"/>
        <w:spacing w:after="0" w:line="240" w:lineRule="auto"/>
        <w:ind w:right="-334"/>
        <w:jc w:val="both"/>
        <w:rPr>
          <w:rFonts w:ascii="Times New Roman" w:hAnsi="Times New Roman" w:cs="Times New Roman"/>
          <w:sz w:val="24"/>
          <w:szCs w:val="24"/>
          <w:lang w:eastAsia="ar-SA"/>
        </w:rPr>
      </w:pPr>
    </w:p>
    <w:p w14:paraId="31649808"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Introduction to the Goal</w:t>
      </w:r>
    </w:p>
    <w:p w14:paraId="7B294BDC"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Goal 3 aims to guarantee health and promote well-being for all and for all ages. </w:t>
      </w:r>
    </w:p>
    <w:p w14:paraId="7A5038C5"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p>
    <w:p w14:paraId="729ED586"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This objective focuses attention on various areas of intervention: reducing maternal-infant mortality, eradicating viral disease epidemics in the world, combating both communicable diseases and chronic diseases, promoting well-being and mental health. Over time, enormous progress has been recorded, witnessed by the continuous increase in life expectancy and by improvements in reproductive, maternal and child health. The spread of better hygienic conditions and more generally the attention to environmental factors has been the necessary prerequisite for these advances, especially in the reduction of communicable diseases. Some of the targets of this </w:t>
      </w:r>
      <w:r w:rsidR="004E7AF8">
        <w:rPr>
          <w:rFonts w:asciiTheme="majorBidi" w:hAnsiTheme="majorBidi" w:cstheme="majorBidi"/>
          <w:sz w:val="24"/>
          <w:szCs w:val="24"/>
          <w:lang w:eastAsia="ar-SA"/>
        </w:rPr>
        <w:t>g</w:t>
      </w:r>
      <w:r w:rsidRPr="00802088">
        <w:rPr>
          <w:rFonts w:asciiTheme="majorBidi" w:hAnsiTheme="majorBidi" w:cstheme="majorBidi"/>
          <w:sz w:val="24"/>
          <w:szCs w:val="24"/>
          <w:lang w:eastAsia="ar-SA"/>
        </w:rPr>
        <w:t xml:space="preserve">oal refer to the health risks and conditions of population in the early stages of the health transition, where mortality is still very high. </w:t>
      </w:r>
    </w:p>
    <w:p w14:paraId="52726E8A"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p>
    <w:p w14:paraId="0B077D87"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Reference is made to the spread of chronic pathologies, to access to prevention and to combating poor lifestyle (alcohol and tobacco consumption), as well as mortality from road accidents.</w:t>
      </w:r>
    </w:p>
    <w:p w14:paraId="39674BE8"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The achievement of the objectives proposed in the 2030 Agenda requires appropriate policies of both a health nature, also making citizens responsible for safeguarding their own health, and not health, by contrasting social and territorial inequalities.</w:t>
      </w:r>
    </w:p>
    <w:p w14:paraId="4AD7CF09"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p>
    <w:p w14:paraId="542E583F"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Targets</w:t>
      </w:r>
    </w:p>
    <w:p w14:paraId="10FC49C6"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Goal 3 is broken down into 13 </w:t>
      </w:r>
      <w:r w:rsidR="004E7AF8">
        <w:rPr>
          <w:rFonts w:asciiTheme="majorBidi" w:hAnsiTheme="majorBidi" w:cstheme="majorBidi"/>
          <w:sz w:val="24"/>
          <w:szCs w:val="24"/>
          <w:lang w:eastAsia="ar-SA"/>
        </w:rPr>
        <w:t>t</w:t>
      </w:r>
      <w:r w:rsidRPr="00802088">
        <w:rPr>
          <w:rFonts w:asciiTheme="majorBidi" w:hAnsiTheme="majorBidi" w:cstheme="majorBidi"/>
          <w:sz w:val="24"/>
          <w:szCs w:val="24"/>
          <w:lang w:eastAsia="ar-SA"/>
        </w:rPr>
        <w:t xml:space="preserve">argets, of which the last </w:t>
      </w:r>
      <w:r w:rsidR="004E7AF8">
        <w:rPr>
          <w:rFonts w:asciiTheme="majorBidi" w:hAnsiTheme="majorBidi" w:cstheme="majorBidi"/>
          <w:sz w:val="24"/>
          <w:szCs w:val="24"/>
          <w:lang w:eastAsia="ar-SA"/>
        </w:rPr>
        <w:t>four</w:t>
      </w:r>
      <w:r w:rsidRPr="00802088">
        <w:rPr>
          <w:rFonts w:asciiTheme="majorBidi" w:hAnsiTheme="majorBidi" w:cstheme="majorBidi"/>
          <w:sz w:val="24"/>
          <w:szCs w:val="24"/>
          <w:lang w:eastAsia="ar-SA"/>
        </w:rPr>
        <w:t xml:space="preserve"> refer to means of implementation: </w:t>
      </w:r>
    </w:p>
    <w:p w14:paraId="39A6DF16"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3.1</w:t>
      </w:r>
    </w:p>
    <w:p w14:paraId="51C924A2" w14:textId="77777777"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reduce the global maternal mortality ratio to less than 70 per 100,000 live birth</w:t>
      </w:r>
      <w:r w:rsidR="00F752A5">
        <w:rPr>
          <w:rFonts w:asciiTheme="majorBidi" w:hAnsiTheme="majorBidi" w:cstheme="majorBidi"/>
          <w:sz w:val="24"/>
          <w:szCs w:val="24"/>
          <w:lang w:eastAsia="ar-SA"/>
        </w:rPr>
        <w:t>.</w:t>
      </w:r>
    </w:p>
    <w:p w14:paraId="2C8F4C4B"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106EB33D"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3.2</w:t>
      </w:r>
    </w:p>
    <w:p w14:paraId="01DEE469" w14:textId="77777777"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end preventable deaths of newborns and children under 5 years of age, with all countries aiming to reduce neonatal mortality to at least as low as 12 per 1,000 live births and under-5 mortality to at least as l</w:t>
      </w:r>
      <w:r w:rsidR="007679D9" w:rsidRPr="00802088">
        <w:rPr>
          <w:rFonts w:asciiTheme="majorBidi" w:hAnsiTheme="majorBidi" w:cstheme="majorBidi"/>
          <w:sz w:val="24"/>
          <w:szCs w:val="24"/>
          <w:lang w:eastAsia="ar-SA"/>
        </w:rPr>
        <w:t>ow as 25 per 1,000 live births</w:t>
      </w:r>
      <w:r w:rsidR="00F752A5">
        <w:rPr>
          <w:rFonts w:asciiTheme="majorBidi" w:hAnsiTheme="majorBidi" w:cstheme="majorBidi"/>
          <w:sz w:val="24"/>
          <w:szCs w:val="24"/>
          <w:lang w:eastAsia="ar-SA"/>
        </w:rPr>
        <w:t>.</w:t>
      </w:r>
      <w:r w:rsidR="007679D9" w:rsidRPr="00802088">
        <w:rPr>
          <w:rFonts w:asciiTheme="majorBidi" w:hAnsiTheme="majorBidi" w:cstheme="majorBidi"/>
          <w:sz w:val="24"/>
          <w:szCs w:val="24"/>
          <w:lang w:eastAsia="ar-SA"/>
        </w:rPr>
        <w:t> </w:t>
      </w:r>
    </w:p>
    <w:p w14:paraId="5EED3AED"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4DFA8B70"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3.3</w:t>
      </w:r>
    </w:p>
    <w:p w14:paraId="1FC42367" w14:textId="77777777"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By 2030, end the epidemics of AIDS, tuberculosis, malaria and neglected tropical diseases and combat hepatitis, water-borne diseases </w:t>
      </w:r>
      <w:r w:rsidR="007679D9" w:rsidRPr="00802088">
        <w:rPr>
          <w:rFonts w:asciiTheme="majorBidi" w:hAnsiTheme="majorBidi" w:cstheme="majorBidi"/>
          <w:sz w:val="24"/>
          <w:szCs w:val="24"/>
          <w:lang w:eastAsia="ar-SA"/>
        </w:rPr>
        <w:t>and other communicable diseases</w:t>
      </w:r>
      <w:r w:rsidR="00F752A5">
        <w:rPr>
          <w:rFonts w:asciiTheme="majorBidi" w:hAnsiTheme="majorBidi" w:cstheme="majorBidi"/>
          <w:sz w:val="24"/>
          <w:szCs w:val="24"/>
          <w:lang w:eastAsia="ar-SA"/>
        </w:rPr>
        <w:t>.</w:t>
      </w:r>
    </w:p>
    <w:p w14:paraId="428EE67B"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7F2CE222"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3.4</w:t>
      </w:r>
    </w:p>
    <w:p w14:paraId="77EC304E" w14:textId="77777777"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reduce by one</w:t>
      </w:r>
      <w:r w:rsidR="004E7AF8">
        <w:rPr>
          <w:rFonts w:asciiTheme="majorBidi" w:hAnsiTheme="majorBidi" w:cstheme="majorBidi"/>
          <w:sz w:val="24"/>
          <w:szCs w:val="24"/>
          <w:lang w:eastAsia="ar-SA"/>
        </w:rPr>
        <w:t>-</w:t>
      </w:r>
      <w:r w:rsidRPr="00802088">
        <w:rPr>
          <w:rFonts w:asciiTheme="majorBidi" w:hAnsiTheme="majorBidi" w:cstheme="majorBidi"/>
          <w:sz w:val="24"/>
          <w:szCs w:val="24"/>
          <w:lang w:eastAsia="ar-SA"/>
        </w:rPr>
        <w:t>third premature mortality from non-communicable diseases through prevention and treatment and promot</w:t>
      </w:r>
      <w:r w:rsidR="007679D9" w:rsidRPr="00802088">
        <w:rPr>
          <w:rFonts w:asciiTheme="majorBidi" w:hAnsiTheme="majorBidi" w:cstheme="majorBidi"/>
          <w:sz w:val="24"/>
          <w:szCs w:val="24"/>
          <w:lang w:eastAsia="ar-SA"/>
        </w:rPr>
        <w:t>e mental health and well-being</w:t>
      </w:r>
      <w:r w:rsidR="00F752A5">
        <w:rPr>
          <w:rFonts w:asciiTheme="majorBidi" w:hAnsiTheme="majorBidi" w:cstheme="majorBidi"/>
          <w:sz w:val="24"/>
          <w:szCs w:val="24"/>
          <w:lang w:eastAsia="ar-SA"/>
        </w:rPr>
        <w:t>.</w:t>
      </w:r>
      <w:r w:rsidR="007679D9" w:rsidRPr="00802088">
        <w:rPr>
          <w:rFonts w:asciiTheme="majorBidi" w:hAnsiTheme="majorBidi" w:cstheme="majorBidi"/>
          <w:sz w:val="24"/>
          <w:szCs w:val="24"/>
          <w:lang w:eastAsia="ar-SA"/>
        </w:rPr>
        <w:t> </w:t>
      </w:r>
    </w:p>
    <w:p w14:paraId="3B060737"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714F8B97"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3.5</w:t>
      </w:r>
    </w:p>
    <w:p w14:paraId="13AB0C0E" w14:textId="77777777"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Strengthen the prevention and treatment of substance abuse, including narcotic drug a</w:t>
      </w:r>
      <w:r w:rsidR="007679D9" w:rsidRPr="00802088">
        <w:rPr>
          <w:rFonts w:asciiTheme="majorBidi" w:hAnsiTheme="majorBidi" w:cstheme="majorBidi"/>
          <w:sz w:val="24"/>
          <w:szCs w:val="24"/>
          <w:lang w:eastAsia="ar-SA"/>
        </w:rPr>
        <w:t>buse and harmful use of alcohol</w:t>
      </w:r>
      <w:r w:rsidR="00F752A5">
        <w:rPr>
          <w:rFonts w:asciiTheme="majorBidi" w:hAnsiTheme="majorBidi" w:cstheme="majorBidi"/>
          <w:sz w:val="24"/>
          <w:szCs w:val="24"/>
          <w:lang w:eastAsia="ar-SA"/>
        </w:rPr>
        <w:t>.</w:t>
      </w:r>
    </w:p>
    <w:p w14:paraId="23FA33A7" w14:textId="77777777" w:rsidR="007679D9" w:rsidRDefault="007679D9" w:rsidP="007679D9">
      <w:pPr>
        <w:bidi w:val="0"/>
        <w:spacing w:after="0" w:line="240" w:lineRule="auto"/>
        <w:ind w:right="-334"/>
        <w:jc w:val="both"/>
        <w:rPr>
          <w:rFonts w:asciiTheme="majorBidi" w:hAnsiTheme="majorBidi" w:cstheme="majorBidi"/>
          <w:sz w:val="24"/>
          <w:szCs w:val="24"/>
          <w:lang w:eastAsia="ar-SA"/>
        </w:rPr>
      </w:pPr>
    </w:p>
    <w:p w14:paraId="509C5AD8" w14:textId="77777777" w:rsidR="003A32B8" w:rsidRPr="00802088" w:rsidRDefault="003A32B8" w:rsidP="003A32B8">
      <w:pPr>
        <w:bidi w:val="0"/>
        <w:spacing w:after="0" w:line="240" w:lineRule="auto"/>
        <w:ind w:right="-334"/>
        <w:jc w:val="both"/>
        <w:rPr>
          <w:rFonts w:asciiTheme="majorBidi" w:hAnsiTheme="majorBidi" w:cstheme="majorBidi"/>
          <w:sz w:val="24"/>
          <w:szCs w:val="24"/>
          <w:lang w:eastAsia="ar-SA"/>
        </w:rPr>
      </w:pPr>
    </w:p>
    <w:p w14:paraId="1955EDC2"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lastRenderedPageBreak/>
        <w:t>3.6</w:t>
      </w:r>
    </w:p>
    <w:p w14:paraId="108EE46D" w14:textId="77777777" w:rsidR="0086098A" w:rsidRPr="00802088" w:rsidRDefault="00E34CD1" w:rsidP="003A32B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2020, halve the number of global deaths and injuries from road traffic accidents</w:t>
      </w:r>
      <w:r w:rsidR="00F752A5">
        <w:rPr>
          <w:rFonts w:asciiTheme="majorBidi" w:hAnsiTheme="majorBidi" w:cstheme="majorBidi"/>
          <w:sz w:val="24"/>
          <w:szCs w:val="24"/>
          <w:lang w:eastAsia="ar-SA"/>
        </w:rPr>
        <w:t>.</w:t>
      </w:r>
      <w:r w:rsidRPr="00802088">
        <w:rPr>
          <w:rFonts w:asciiTheme="majorBidi" w:hAnsiTheme="majorBidi" w:cstheme="majorBidi"/>
          <w:sz w:val="24"/>
          <w:szCs w:val="24"/>
          <w:lang w:eastAsia="ar-SA"/>
        </w:rPr>
        <w:t> </w:t>
      </w:r>
    </w:p>
    <w:p w14:paraId="54DDDEDF" w14:textId="77777777" w:rsidR="007679D9" w:rsidRPr="00802088" w:rsidRDefault="007679D9" w:rsidP="008C6258">
      <w:pPr>
        <w:bidi w:val="0"/>
        <w:spacing w:after="0" w:line="240" w:lineRule="auto"/>
        <w:ind w:right="-334"/>
        <w:jc w:val="both"/>
        <w:rPr>
          <w:rFonts w:asciiTheme="majorBidi" w:hAnsiTheme="majorBidi" w:cstheme="majorBidi"/>
          <w:b/>
          <w:bCs/>
          <w:sz w:val="24"/>
          <w:szCs w:val="24"/>
          <w:lang w:eastAsia="ar-SA"/>
        </w:rPr>
      </w:pPr>
    </w:p>
    <w:p w14:paraId="5EBBF078" w14:textId="77777777" w:rsidR="00E34CD1" w:rsidRPr="00802088" w:rsidRDefault="00E34CD1" w:rsidP="007679D9">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3.7</w:t>
      </w:r>
    </w:p>
    <w:p w14:paraId="6B05152A" w14:textId="77777777" w:rsidR="00E34CD1" w:rsidRPr="00802088" w:rsidRDefault="00E34CD1" w:rsidP="00001A4E">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ensure universal access to sexual and reproductive health-care services, including for family planning, information and education, and the integration of reproductive health into nat</w:t>
      </w:r>
      <w:r w:rsidR="007679D9" w:rsidRPr="00802088">
        <w:rPr>
          <w:rFonts w:asciiTheme="majorBidi" w:hAnsiTheme="majorBidi" w:cstheme="majorBidi"/>
          <w:sz w:val="24"/>
          <w:szCs w:val="24"/>
          <w:lang w:eastAsia="ar-SA"/>
        </w:rPr>
        <w:t>ional strategies and programs</w:t>
      </w:r>
      <w:r w:rsidR="00410638" w:rsidRPr="00802088">
        <w:rPr>
          <w:rFonts w:asciiTheme="majorBidi" w:hAnsiTheme="majorBidi" w:cstheme="majorBidi"/>
          <w:sz w:val="24"/>
          <w:szCs w:val="24"/>
          <w:lang w:eastAsia="ar-SA"/>
        </w:rPr>
        <w:t>.</w:t>
      </w:r>
    </w:p>
    <w:p w14:paraId="3D09E9D7"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405CA111"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3.8</w:t>
      </w:r>
    </w:p>
    <w:p w14:paraId="3C9BD959" w14:textId="77777777"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Achieve universal health coverage including financial risk protection, access to quality essential health-care services and access to safe, effective, quality and affordable essential </w:t>
      </w:r>
      <w:r w:rsidR="007679D9" w:rsidRPr="00802088">
        <w:rPr>
          <w:rFonts w:asciiTheme="majorBidi" w:hAnsiTheme="majorBidi" w:cstheme="majorBidi"/>
          <w:sz w:val="24"/>
          <w:szCs w:val="24"/>
          <w:lang w:eastAsia="ar-SA"/>
        </w:rPr>
        <w:t>medicines and vaccines for all</w:t>
      </w:r>
      <w:r w:rsidR="00F752A5">
        <w:rPr>
          <w:rFonts w:asciiTheme="majorBidi" w:hAnsiTheme="majorBidi" w:cstheme="majorBidi"/>
          <w:sz w:val="24"/>
          <w:szCs w:val="24"/>
          <w:lang w:eastAsia="ar-SA"/>
        </w:rPr>
        <w:t>.</w:t>
      </w:r>
      <w:r w:rsidR="007679D9" w:rsidRPr="00802088">
        <w:rPr>
          <w:rFonts w:asciiTheme="majorBidi" w:hAnsiTheme="majorBidi" w:cstheme="majorBidi"/>
          <w:sz w:val="24"/>
          <w:szCs w:val="24"/>
          <w:lang w:eastAsia="ar-SA"/>
        </w:rPr>
        <w:t> </w:t>
      </w:r>
    </w:p>
    <w:p w14:paraId="41EE12CF"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6554631E"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3.9</w:t>
      </w:r>
    </w:p>
    <w:p w14:paraId="716B6085"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substantially reduce the number of deaths and illnesses from hazardous chemicals and air, water and soil pollution</w:t>
      </w:r>
      <w:r w:rsidR="00F752A5">
        <w:rPr>
          <w:rFonts w:asciiTheme="majorBidi" w:hAnsiTheme="majorBidi" w:cstheme="majorBidi"/>
          <w:sz w:val="24"/>
          <w:szCs w:val="24"/>
          <w:lang w:eastAsia="ar-SA"/>
        </w:rPr>
        <w:t>,</w:t>
      </w:r>
      <w:r w:rsidRPr="00802088">
        <w:rPr>
          <w:rFonts w:asciiTheme="majorBidi" w:hAnsiTheme="majorBidi" w:cstheme="majorBidi"/>
          <w:sz w:val="24"/>
          <w:szCs w:val="24"/>
          <w:lang w:eastAsia="ar-SA"/>
        </w:rPr>
        <w:t xml:space="preserve"> and contamination</w:t>
      </w:r>
      <w:r w:rsidR="00F752A5">
        <w:rPr>
          <w:rFonts w:asciiTheme="majorBidi" w:hAnsiTheme="majorBidi" w:cstheme="majorBidi"/>
          <w:sz w:val="24"/>
          <w:szCs w:val="24"/>
          <w:lang w:eastAsia="ar-SA"/>
        </w:rPr>
        <w:t>.</w:t>
      </w:r>
      <w:r w:rsidRPr="00802088">
        <w:rPr>
          <w:rFonts w:asciiTheme="majorBidi" w:hAnsiTheme="majorBidi" w:cstheme="majorBidi"/>
          <w:sz w:val="24"/>
          <w:szCs w:val="24"/>
          <w:lang w:eastAsia="ar-SA"/>
        </w:rPr>
        <w:t> </w:t>
      </w:r>
    </w:p>
    <w:p w14:paraId="3F62BA5D" w14:textId="77777777" w:rsidR="007679D9" w:rsidRPr="00802088" w:rsidRDefault="007679D9" w:rsidP="008C6258">
      <w:pPr>
        <w:bidi w:val="0"/>
        <w:spacing w:after="0" w:line="240" w:lineRule="auto"/>
        <w:ind w:right="-334"/>
        <w:jc w:val="both"/>
        <w:rPr>
          <w:rFonts w:asciiTheme="majorBidi" w:hAnsiTheme="majorBidi" w:cstheme="majorBidi"/>
          <w:b/>
          <w:bCs/>
          <w:sz w:val="24"/>
          <w:szCs w:val="24"/>
          <w:lang w:eastAsia="ar-SA"/>
        </w:rPr>
      </w:pPr>
    </w:p>
    <w:p w14:paraId="499458ED" w14:textId="77777777" w:rsidR="00E34CD1" w:rsidRPr="00802088" w:rsidRDefault="00E34CD1" w:rsidP="007679D9">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3.a</w:t>
      </w:r>
    </w:p>
    <w:p w14:paraId="5B245F74" w14:textId="77777777"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Strengthen the implementation of the World Health Organization Framework Convention on Tobacco Control in</w:t>
      </w:r>
      <w:r w:rsidR="007679D9" w:rsidRPr="00802088">
        <w:rPr>
          <w:rFonts w:asciiTheme="majorBidi" w:hAnsiTheme="majorBidi" w:cstheme="majorBidi"/>
          <w:sz w:val="24"/>
          <w:szCs w:val="24"/>
          <w:lang w:eastAsia="ar-SA"/>
        </w:rPr>
        <w:t xml:space="preserve"> all countries, as appropriate</w:t>
      </w:r>
      <w:r w:rsidR="00F752A5">
        <w:rPr>
          <w:rFonts w:asciiTheme="majorBidi" w:hAnsiTheme="majorBidi" w:cstheme="majorBidi"/>
          <w:sz w:val="24"/>
          <w:szCs w:val="24"/>
          <w:lang w:eastAsia="ar-SA"/>
        </w:rPr>
        <w:t>.</w:t>
      </w:r>
      <w:r w:rsidR="007679D9" w:rsidRPr="00802088">
        <w:rPr>
          <w:rFonts w:asciiTheme="majorBidi" w:hAnsiTheme="majorBidi" w:cstheme="majorBidi"/>
          <w:sz w:val="24"/>
          <w:szCs w:val="24"/>
          <w:lang w:eastAsia="ar-SA"/>
        </w:rPr>
        <w:t> </w:t>
      </w:r>
    </w:p>
    <w:p w14:paraId="1D6EB970"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3BCCBE6D"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3.b</w:t>
      </w:r>
    </w:p>
    <w:p w14:paraId="38B2330A"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Support the research and development of vaccines and medicines for the communicable and non-communicable diseases that primarily affect developing countries, provide access to affordable essential medicines and vaccines, in accordance with the Doha Declaration on the TRIPS Agreement and Public Health, which affirms the right of developing countries to use to the full the provisions in the Agreement on Trade-Related Aspects of Intellectual Property Rights regarding flexibilities to protect public health, and, in particular, provide access to medicines for all</w:t>
      </w:r>
      <w:r w:rsidR="00F752A5">
        <w:rPr>
          <w:rFonts w:asciiTheme="majorBidi" w:hAnsiTheme="majorBidi" w:cstheme="majorBidi"/>
          <w:sz w:val="24"/>
          <w:szCs w:val="24"/>
          <w:lang w:eastAsia="ar-SA"/>
        </w:rPr>
        <w:t>.</w:t>
      </w:r>
      <w:r w:rsidRPr="00802088">
        <w:rPr>
          <w:rFonts w:asciiTheme="majorBidi" w:hAnsiTheme="majorBidi" w:cstheme="majorBidi"/>
          <w:sz w:val="24"/>
          <w:szCs w:val="24"/>
          <w:lang w:eastAsia="ar-SA"/>
        </w:rPr>
        <w:t> </w:t>
      </w:r>
    </w:p>
    <w:p w14:paraId="275CDF80" w14:textId="77777777" w:rsidR="007679D9" w:rsidRPr="00802088" w:rsidRDefault="007679D9" w:rsidP="008C6258">
      <w:pPr>
        <w:bidi w:val="0"/>
        <w:spacing w:after="0" w:line="240" w:lineRule="auto"/>
        <w:ind w:right="-334"/>
        <w:jc w:val="both"/>
        <w:rPr>
          <w:rFonts w:asciiTheme="majorBidi" w:hAnsiTheme="majorBidi" w:cstheme="majorBidi"/>
          <w:b/>
          <w:bCs/>
          <w:sz w:val="24"/>
          <w:szCs w:val="24"/>
          <w:lang w:eastAsia="ar-SA"/>
        </w:rPr>
      </w:pPr>
    </w:p>
    <w:p w14:paraId="30F6F550" w14:textId="77777777" w:rsidR="00E34CD1" w:rsidRPr="00802088" w:rsidRDefault="00E34CD1" w:rsidP="007679D9">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3.c</w:t>
      </w:r>
    </w:p>
    <w:p w14:paraId="0D2DC04D"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Substantially increase health financing and the recruitment, development, training and retention of the health workforce in developing countries, especially in least developed countries and </w:t>
      </w:r>
      <w:r w:rsidR="00F752A5">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mall </w:t>
      </w:r>
      <w:r w:rsidR="00F752A5">
        <w:rPr>
          <w:rFonts w:asciiTheme="majorBidi" w:hAnsiTheme="majorBidi" w:cstheme="majorBidi"/>
          <w:sz w:val="24"/>
          <w:szCs w:val="24"/>
          <w:lang w:eastAsia="ar-SA"/>
        </w:rPr>
        <w:t>I</w:t>
      </w:r>
      <w:r w:rsidRPr="00802088">
        <w:rPr>
          <w:rFonts w:asciiTheme="majorBidi" w:hAnsiTheme="majorBidi" w:cstheme="majorBidi"/>
          <w:sz w:val="24"/>
          <w:szCs w:val="24"/>
          <w:lang w:eastAsia="ar-SA"/>
        </w:rPr>
        <w:t xml:space="preserve">sland </w:t>
      </w:r>
      <w:r w:rsidR="00F752A5">
        <w:rPr>
          <w:rFonts w:asciiTheme="majorBidi" w:hAnsiTheme="majorBidi" w:cstheme="majorBidi"/>
          <w:sz w:val="24"/>
          <w:szCs w:val="24"/>
          <w:lang w:eastAsia="ar-SA"/>
        </w:rPr>
        <w:t>D</w:t>
      </w:r>
      <w:r w:rsidRPr="00802088">
        <w:rPr>
          <w:rFonts w:asciiTheme="majorBidi" w:hAnsiTheme="majorBidi" w:cstheme="majorBidi"/>
          <w:sz w:val="24"/>
          <w:szCs w:val="24"/>
          <w:lang w:eastAsia="ar-SA"/>
        </w:rPr>
        <w:t xml:space="preserve">eveloping </w:t>
      </w:r>
      <w:r w:rsidR="004E7AF8">
        <w:rPr>
          <w:rFonts w:asciiTheme="majorBidi" w:hAnsiTheme="majorBidi" w:cstheme="majorBidi"/>
          <w:sz w:val="24"/>
          <w:szCs w:val="24"/>
          <w:lang w:eastAsia="ar-SA"/>
        </w:rPr>
        <w:t>s</w:t>
      </w:r>
      <w:r w:rsidRPr="00802088">
        <w:rPr>
          <w:rFonts w:asciiTheme="majorBidi" w:hAnsiTheme="majorBidi" w:cstheme="majorBidi"/>
          <w:sz w:val="24"/>
          <w:szCs w:val="24"/>
          <w:lang w:eastAsia="ar-SA"/>
        </w:rPr>
        <w:t>tates</w:t>
      </w:r>
      <w:r w:rsidR="00F752A5">
        <w:rPr>
          <w:rFonts w:asciiTheme="majorBidi" w:hAnsiTheme="majorBidi" w:cstheme="majorBidi"/>
          <w:sz w:val="24"/>
          <w:szCs w:val="24"/>
          <w:lang w:eastAsia="ar-SA"/>
        </w:rPr>
        <w:t>.</w:t>
      </w:r>
    </w:p>
    <w:p w14:paraId="2F371354"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p>
    <w:p w14:paraId="6EED50AF" w14:textId="77777777" w:rsidR="00E34CD1" w:rsidRPr="00802088" w:rsidRDefault="00E34CD1" w:rsidP="008C6258">
      <w:pPr>
        <w:bidi w:val="0"/>
        <w:spacing w:after="0" w:line="240" w:lineRule="auto"/>
        <w:ind w:right="-334"/>
        <w:jc w:val="both"/>
        <w:rPr>
          <w:rFonts w:asciiTheme="majorBidi" w:hAnsiTheme="majorBidi" w:cstheme="majorBidi"/>
          <w:b/>
          <w:bCs/>
          <w:sz w:val="24"/>
          <w:szCs w:val="24"/>
          <w:rtl/>
          <w:lang w:eastAsia="ar-SA"/>
        </w:rPr>
      </w:pPr>
      <w:r w:rsidRPr="00802088">
        <w:rPr>
          <w:rFonts w:asciiTheme="majorBidi" w:hAnsiTheme="majorBidi" w:cstheme="majorBidi"/>
          <w:b/>
          <w:bCs/>
          <w:sz w:val="24"/>
          <w:szCs w:val="24"/>
          <w:lang w:eastAsia="ar-SA"/>
        </w:rPr>
        <w:t>3.d</w:t>
      </w:r>
    </w:p>
    <w:p w14:paraId="213D3B3E"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Strengthen the capacity of all countries, in particular developing countries, for early warning, risk reduction and management of national and global health risks</w:t>
      </w:r>
      <w:r w:rsidR="00F752A5">
        <w:rPr>
          <w:rFonts w:asciiTheme="majorBidi" w:hAnsiTheme="majorBidi" w:cstheme="majorBidi"/>
          <w:sz w:val="24"/>
          <w:szCs w:val="24"/>
          <w:lang w:eastAsia="ar-SA"/>
        </w:rPr>
        <w:t>.</w:t>
      </w:r>
    </w:p>
    <w:p w14:paraId="45168221" w14:textId="77777777" w:rsidR="00E34CD1" w:rsidRPr="00802088" w:rsidRDefault="00E34CD1" w:rsidP="008C6258">
      <w:pPr>
        <w:bidi w:val="0"/>
        <w:spacing w:after="0" w:line="240" w:lineRule="auto"/>
        <w:ind w:right="-334"/>
        <w:jc w:val="both"/>
        <w:rPr>
          <w:rFonts w:asciiTheme="majorBidi" w:hAnsiTheme="majorBidi" w:cstheme="majorBidi"/>
          <w:sz w:val="24"/>
          <w:szCs w:val="24"/>
          <w:rtl/>
          <w:lang w:eastAsia="ar-SA"/>
        </w:rPr>
      </w:pPr>
    </w:p>
    <w:p w14:paraId="0B8B0635" w14:textId="77777777" w:rsidR="00E34CD1" w:rsidRPr="00802088" w:rsidRDefault="00E34CD1" w:rsidP="00FB1314">
      <w:pPr>
        <w:pStyle w:val="ListParagraph"/>
        <w:numPr>
          <w:ilvl w:val="0"/>
          <w:numId w:val="11"/>
        </w:numPr>
        <w:spacing w:after="0" w:line="240" w:lineRule="auto"/>
        <w:ind w:left="270" w:right="-334" w:hanging="270"/>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Indicators released by PCBS</w:t>
      </w:r>
    </w:p>
    <w:p w14:paraId="6F79C70A" w14:textId="77777777" w:rsidR="00EC0678" w:rsidRPr="00802088" w:rsidRDefault="00E34CD1" w:rsidP="00EC0678">
      <w:pPr>
        <w:autoSpaceDE w:val="0"/>
        <w:autoSpaceDN w:val="0"/>
        <w:bidi w:val="0"/>
        <w:adjustRightInd w:val="0"/>
        <w:spacing w:after="0" w:line="240" w:lineRule="auto"/>
        <w:jc w:val="both"/>
        <w:rPr>
          <w:rFonts w:asciiTheme="majorBidi" w:hAnsiTheme="majorBidi" w:cstheme="majorBidi"/>
          <w:sz w:val="24"/>
          <w:szCs w:val="24"/>
        </w:rPr>
      </w:pPr>
      <w:r w:rsidRPr="00802088">
        <w:rPr>
          <w:rFonts w:asciiTheme="majorBidi" w:hAnsiTheme="majorBidi" w:cstheme="majorBidi"/>
          <w:sz w:val="24"/>
          <w:szCs w:val="24"/>
          <w:lang w:eastAsia="ar-SA"/>
        </w:rPr>
        <w:t xml:space="preserve">There are </w:t>
      </w:r>
      <w:r w:rsidR="00FF7DEC" w:rsidRPr="00802088">
        <w:rPr>
          <w:rFonts w:asciiTheme="majorBidi" w:hAnsiTheme="majorBidi" w:cstheme="majorBidi"/>
          <w:sz w:val="24"/>
          <w:szCs w:val="24"/>
          <w:lang w:eastAsia="ar-SA"/>
        </w:rPr>
        <w:t>19</w:t>
      </w:r>
      <w:r w:rsidRPr="00802088">
        <w:rPr>
          <w:rFonts w:asciiTheme="majorBidi" w:hAnsiTheme="majorBidi" w:cstheme="majorBidi"/>
          <w:sz w:val="24"/>
          <w:szCs w:val="24"/>
          <w:lang w:eastAsia="ar-SA"/>
        </w:rPr>
        <w:t xml:space="preserve"> indicators released by PCBS for Goal 3, represent </w:t>
      </w:r>
      <w:r w:rsidR="00CA080A" w:rsidRPr="00802088">
        <w:rPr>
          <w:rFonts w:asciiTheme="majorBidi" w:hAnsiTheme="majorBidi" w:cstheme="majorBidi"/>
          <w:sz w:val="24"/>
          <w:szCs w:val="24"/>
          <w:rtl/>
          <w:lang w:eastAsia="ar-SA"/>
        </w:rPr>
        <w:t>19</w:t>
      </w:r>
      <w:r w:rsidRPr="00802088">
        <w:rPr>
          <w:rFonts w:asciiTheme="majorBidi" w:hAnsiTheme="majorBidi" w:cstheme="majorBidi"/>
          <w:sz w:val="24"/>
          <w:szCs w:val="24"/>
          <w:lang w:eastAsia="ar-SA"/>
        </w:rPr>
        <w:t xml:space="preserve"> data point, referring to </w:t>
      </w:r>
      <w:r w:rsidR="00CA080A" w:rsidRPr="00802088">
        <w:rPr>
          <w:rFonts w:asciiTheme="majorBidi" w:hAnsiTheme="majorBidi" w:cstheme="majorBidi"/>
          <w:sz w:val="24"/>
          <w:szCs w:val="24"/>
          <w:lang w:eastAsia="ar-SA"/>
        </w:rPr>
        <w:t>10</w:t>
      </w:r>
      <w:r w:rsidRPr="00802088">
        <w:rPr>
          <w:rFonts w:asciiTheme="majorBidi" w:hAnsiTheme="majorBidi" w:cstheme="majorBidi"/>
          <w:sz w:val="24"/>
          <w:szCs w:val="24"/>
          <w:lang w:eastAsia="ar-SA"/>
        </w:rPr>
        <w:t xml:space="preserve"> of the 13 targets</w:t>
      </w:r>
      <w:r w:rsidR="00F752A5">
        <w:rPr>
          <w:rFonts w:asciiTheme="majorBidi" w:hAnsiTheme="majorBidi" w:cstheme="majorBidi"/>
          <w:sz w:val="24"/>
          <w:szCs w:val="24"/>
          <w:lang w:eastAsia="ar-SA"/>
        </w:rPr>
        <w:t>;</w:t>
      </w:r>
      <w:r w:rsidR="00F752A5">
        <w:rPr>
          <w:rFonts w:asciiTheme="majorBidi" w:hAnsiTheme="majorBidi" w:cstheme="majorBidi"/>
          <w:sz w:val="24"/>
          <w:szCs w:val="24"/>
        </w:rPr>
        <w:t>t</w:t>
      </w:r>
      <w:r w:rsidR="00EC0678" w:rsidRPr="00802088">
        <w:rPr>
          <w:rFonts w:asciiTheme="majorBidi" w:hAnsiTheme="majorBidi" w:cstheme="majorBidi"/>
          <w:sz w:val="24"/>
          <w:szCs w:val="24"/>
        </w:rPr>
        <w:t xml:space="preserve">herefore, 76.9% of the goal targets (tenout of thirteen) </w:t>
      </w:r>
      <w:r w:rsidR="004E7AF8">
        <w:rPr>
          <w:rFonts w:asciiTheme="majorBidi" w:hAnsiTheme="majorBidi" w:cstheme="majorBidi"/>
          <w:sz w:val="24"/>
          <w:szCs w:val="24"/>
        </w:rPr>
        <w:t xml:space="preserve">have either </w:t>
      </w:r>
      <w:r w:rsidR="00EC0678" w:rsidRPr="00802088">
        <w:rPr>
          <w:rFonts w:asciiTheme="majorBidi" w:hAnsiTheme="majorBidi" w:cstheme="majorBidi"/>
          <w:sz w:val="24"/>
          <w:szCs w:val="24"/>
        </w:rPr>
        <w:t>been fully or partially</w:t>
      </w:r>
      <w:r w:rsidR="004E7AF8">
        <w:rPr>
          <w:rFonts w:asciiTheme="majorBidi" w:hAnsiTheme="majorBidi" w:cstheme="majorBidi"/>
          <w:sz w:val="24"/>
          <w:szCs w:val="24"/>
        </w:rPr>
        <w:t xml:space="preserve"> covered</w:t>
      </w:r>
      <w:r w:rsidR="00EC0678" w:rsidRPr="00802088">
        <w:rPr>
          <w:rFonts w:asciiTheme="majorBidi" w:hAnsiTheme="majorBidi" w:cstheme="majorBidi"/>
          <w:sz w:val="24"/>
          <w:szCs w:val="24"/>
        </w:rPr>
        <w:t>.</w:t>
      </w:r>
    </w:p>
    <w:p w14:paraId="2DD5B5C8" w14:textId="77777777" w:rsidR="00EC0678" w:rsidRDefault="00EC0678" w:rsidP="00EC0678">
      <w:pPr>
        <w:autoSpaceDE w:val="0"/>
        <w:autoSpaceDN w:val="0"/>
        <w:bidi w:val="0"/>
        <w:adjustRightInd w:val="0"/>
        <w:spacing w:after="0" w:line="240" w:lineRule="auto"/>
        <w:jc w:val="both"/>
        <w:rPr>
          <w:rFonts w:asciiTheme="majorBidi" w:hAnsiTheme="majorBidi" w:cstheme="majorBidi"/>
          <w:sz w:val="24"/>
          <w:szCs w:val="24"/>
        </w:rPr>
      </w:pPr>
    </w:p>
    <w:p w14:paraId="7AAB89E7" w14:textId="77777777" w:rsidR="00E34CD1" w:rsidRDefault="00E34CD1" w:rsidP="008C6258">
      <w:pPr>
        <w:bidi w:val="0"/>
        <w:spacing w:after="0" w:line="240" w:lineRule="auto"/>
        <w:jc w:val="center"/>
        <w:rPr>
          <w:rStyle w:val="Bodytext8pt"/>
          <w:rFonts w:ascii="Arial" w:hAnsi="Arial" w:cs="Arial"/>
          <w:sz w:val="22"/>
          <w:szCs w:val="22"/>
        </w:rPr>
      </w:pPr>
      <w:r w:rsidRPr="00C86C39">
        <w:rPr>
          <w:rStyle w:val="Bodytext8pt"/>
          <w:rFonts w:ascii="Arial" w:hAnsi="Arial" w:cs="Arial"/>
          <w:sz w:val="22"/>
          <w:szCs w:val="22"/>
        </w:rPr>
        <w:t>Table 3.1: List of SDGs Indicators Released by PCBS</w:t>
      </w:r>
    </w:p>
    <w:p w14:paraId="21D6515D" w14:textId="77777777" w:rsidR="00E34CD1" w:rsidRPr="00D64E7C" w:rsidRDefault="00E34CD1" w:rsidP="008C6258">
      <w:pPr>
        <w:bidi w:val="0"/>
        <w:spacing w:after="0" w:line="240" w:lineRule="auto"/>
        <w:jc w:val="center"/>
        <w:rPr>
          <w:rStyle w:val="Bodytext8pt"/>
          <w:rFonts w:ascii="Arial" w:hAnsi="Arial" w:cs="Arial"/>
          <w:sz w:val="12"/>
          <w:szCs w:val="12"/>
        </w:rPr>
      </w:pPr>
    </w:p>
    <w:tbl>
      <w:tblPr>
        <w:tblW w:w="5317"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304"/>
        <w:gridCol w:w="1340"/>
        <w:gridCol w:w="1412"/>
        <w:gridCol w:w="1600"/>
      </w:tblGrid>
      <w:tr w:rsidR="00E34CD1" w:rsidRPr="00802088" w14:paraId="7BFD877A" w14:textId="77777777" w:rsidTr="00B25DD3">
        <w:trPr>
          <w:trHeight w:val="360"/>
          <w:tblHeader/>
          <w:jc w:val="center"/>
        </w:trPr>
        <w:tc>
          <w:tcPr>
            <w:tcW w:w="3978" w:type="dxa"/>
            <w:tcBorders>
              <w:bottom w:val="single" w:sz="4" w:space="0" w:color="auto"/>
            </w:tcBorders>
            <w:shd w:val="clear" w:color="auto" w:fill="auto"/>
            <w:noWrap/>
            <w:vAlign w:val="center"/>
            <w:hideMark/>
          </w:tcPr>
          <w:p w14:paraId="35FC2CBC" w14:textId="77777777" w:rsidR="00E34CD1" w:rsidRPr="00B25DD3" w:rsidRDefault="00E34CD1" w:rsidP="00F71DD3">
            <w:pPr>
              <w:bidi w:val="0"/>
              <w:spacing w:after="0" w:line="240" w:lineRule="auto"/>
              <w:jc w:val="center"/>
              <w:rPr>
                <w:rFonts w:asciiTheme="minorBidi" w:hAnsiTheme="minorBidi" w:cstheme="minorBidi"/>
                <w:b/>
                <w:bCs/>
                <w:sz w:val="18"/>
                <w:szCs w:val="18"/>
              </w:rPr>
            </w:pPr>
            <w:r w:rsidRPr="00B25DD3">
              <w:rPr>
                <w:rFonts w:asciiTheme="minorBidi" w:hAnsiTheme="minorBidi" w:cstheme="minorBidi"/>
                <w:b/>
                <w:bCs/>
                <w:sz w:val="18"/>
                <w:szCs w:val="18"/>
              </w:rPr>
              <w:t>Indicator</w:t>
            </w:r>
          </w:p>
        </w:tc>
        <w:tc>
          <w:tcPr>
            <w:tcW w:w="1304" w:type="dxa"/>
            <w:tcBorders>
              <w:bottom w:val="single" w:sz="4" w:space="0" w:color="auto"/>
            </w:tcBorders>
            <w:shd w:val="clear" w:color="auto" w:fill="auto"/>
            <w:noWrap/>
            <w:vAlign w:val="center"/>
            <w:hideMark/>
          </w:tcPr>
          <w:p w14:paraId="264CFADF" w14:textId="77777777" w:rsidR="00E34CD1" w:rsidRPr="00B25DD3" w:rsidRDefault="00E34CD1" w:rsidP="00F71DD3">
            <w:pPr>
              <w:bidi w:val="0"/>
              <w:spacing w:after="0" w:line="240" w:lineRule="auto"/>
              <w:jc w:val="center"/>
              <w:rPr>
                <w:rFonts w:asciiTheme="minorBidi" w:hAnsiTheme="minorBidi" w:cstheme="minorBidi"/>
                <w:b/>
                <w:bCs/>
                <w:sz w:val="18"/>
                <w:szCs w:val="18"/>
              </w:rPr>
            </w:pPr>
            <w:r w:rsidRPr="00B25DD3">
              <w:rPr>
                <w:rFonts w:asciiTheme="minorBidi" w:hAnsiTheme="minorBidi" w:cstheme="minorBidi"/>
                <w:b/>
                <w:bCs/>
                <w:sz w:val="18"/>
                <w:szCs w:val="18"/>
              </w:rPr>
              <w:t xml:space="preserve">Referring to the SDG </w:t>
            </w:r>
            <w:r w:rsidR="00B3098A" w:rsidRPr="00B25DD3">
              <w:rPr>
                <w:rFonts w:asciiTheme="minorBidi" w:hAnsiTheme="minorBidi" w:cstheme="minorBidi"/>
                <w:b/>
                <w:bCs/>
                <w:sz w:val="18"/>
                <w:szCs w:val="18"/>
              </w:rPr>
              <w:t>i</w:t>
            </w:r>
            <w:r w:rsidRPr="00B25DD3">
              <w:rPr>
                <w:rFonts w:asciiTheme="minorBidi" w:hAnsiTheme="minorBidi" w:cstheme="minorBidi"/>
                <w:b/>
                <w:bCs/>
                <w:sz w:val="18"/>
                <w:szCs w:val="18"/>
              </w:rPr>
              <w:t>ndicator</w:t>
            </w:r>
          </w:p>
        </w:tc>
        <w:tc>
          <w:tcPr>
            <w:tcW w:w="1295" w:type="dxa"/>
            <w:tcBorders>
              <w:bottom w:val="single" w:sz="4" w:space="0" w:color="auto"/>
            </w:tcBorders>
            <w:vAlign w:val="center"/>
          </w:tcPr>
          <w:p w14:paraId="7240F6EE" w14:textId="77777777" w:rsidR="00E34CD1" w:rsidRPr="00B25DD3" w:rsidRDefault="00E34CD1" w:rsidP="00F71DD3">
            <w:pPr>
              <w:bidi w:val="0"/>
              <w:spacing w:after="0" w:line="240" w:lineRule="auto"/>
              <w:jc w:val="center"/>
              <w:rPr>
                <w:rFonts w:asciiTheme="minorBidi" w:hAnsiTheme="minorBidi" w:cstheme="minorBidi"/>
                <w:b/>
                <w:bCs/>
                <w:sz w:val="18"/>
                <w:szCs w:val="18"/>
              </w:rPr>
            </w:pPr>
            <w:r w:rsidRPr="00B25DD3">
              <w:rPr>
                <w:rFonts w:asciiTheme="minorBidi" w:hAnsiTheme="minorBidi" w:cstheme="minorBidi"/>
                <w:b/>
                <w:bCs/>
                <w:sz w:val="18"/>
                <w:szCs w:val="18"/>
              </w:rPr>
              <w:t>Previous data point</w:t>
            </w:r>
          </w:p>
        </w:tc>
        <w:tc>
          <w:tcPr>
            <w:tcW w:w="1412" w:type="dxa"/>
            <w:tcBorders>
              <w:bottom w:val="single" w:sz="4" w:space="0" w:color="auto"/>
            </w:tcBorders>
            <w:shd w:val="clear" w:color="auto" w:fill="auto"/>
            <w:noWrap/>
            <w:vAlign w:val="center"/>
            <w:hideMark/>
          </w:tcPr>
          <w:p w14:paraId="414DF1F6" w14:textId="77777777" w:rsidR="00E34CD1" w:rsidRPr="00B25DD3" w:rsidRDefault="00E34CD1" w:rsidP="00F71DD3">
            <w:pPr>
              <w:bidi w:val="0"/>
              <w:spacing w:after="0" w:line="240" w:lineRule="auto"/>
              <w:jc w:val="center"/>
              <w:rPr>
                <w:rFonts w:asciiTheme="minorBidi" w:hAnsiTheme="minorBidi" w:cstheme="minorBidi"/>
                <w:b/>
                <w:bCs/>
                <w:sz w:val="18"/>
                <w:szCs w:val="18"/>
              </w:rPr>
            </w:pPr>
            <w:r w:rsidRPr="00B25DD3">
              <w:rPr>
                <w:rFonts w:asciiTheme="minorBidi" w:hAnsiTheme="minorBidi" w:cstheme="minorBidi"/>
                <w:b/>
                <w:bCs/>
                <w:sz w:val="18"/>
                <w:szCs w:val="18"/>
              </w:rPr>
              <w:t xml:space="preserve">Last </w:t>
            </w:r>
            <w:r w:rsidR="00B3098A" w:rsidRPr="00B25DD3">
              <w:rPr>
                <w:rFonts w:asciiTheme="minorBidi" w:hAnsiTheme="minorBidi" w:cstheme="minorBidi"/>
                <w:b/>
                <w:bCs/>
                <w:sz w:val="18"/>
                <w:szCs w:val="18"/>
              </w:rPr>
              <w:t>a</w:t>
            </w:r>
            <w:r w:rsidRPr="00B25DD3">
              <w:rPr>
                <w:rFonts w:asciiTheme="minorBidi" w:hAnsiTheme="minorBidi" w:cstheme="minorBidi"/>
                <w:b/>
                <w:bCs/>
                <w:sz w:val="18"/>
                <w:szCs w:val="18"/>
              </w:rPr>
              <w:t xml:space="preserve">vailable </w:t>
            </w:r>
            <w:r w:rsidR="00B3098A" w:rsidRPr="00B25DD3">
              <w:rPr>
                <w:rFonts w:asciiTheme="minorBidi" w:hAnsiTheme="minorBidi" w:cstheme="minorBidi"/>
                <w:b/>
                <w:bCs/>
                <w:sz w:val="18"/>
                <w:szCs w:val="18"/>
              </w:rPr>
              <w:t>v</w:t>
            </w:r>
            <w:r w:rsidRPr="00B25DD3">
              <w:rPr>
                <w:rFonts w:asciiTheme="minorBidi" w:hAnsiTheme="minorBidi" w:cstheme="minorBidi"/>
                <w:b/>
                <w:bCs/>
                <w:sz w:val="18"/>
                <w:szCs w:val="18"/>
              </w:rPr>
              <w:t>alue</w:t>
            </w:r>
          </w:p>
        </w:tc>
        <w:tc>
          <w:tcPr>
            <w:tcW w:w="1645" w:type="dxa"/>
            <w:tcBorders>
              <w:bottom w:val="single" w:sz="4" w:space="0" w:color="auto"/>
            </w:tcBorders>
            <w:vAlign w:val="center"/>
          </w:tcPr>
          <w:p w14:paraId="66483A9D" w14:textId="77777777" w:rsidR="00E34CD1" w:rsidRPr="00B25DD3" w:rsidRDefault="00E34CD1" w:rsidP="00F71DD3">
            <w:pPr>
              <w:bidi w:val="0"/>
              <w:spacing w:after="0" w:line="240" w:lineRule="auto"/>
              <w:jc w:val="center"/>
              <w:rPr>
                <w:rFonts w:asciiTheme="minorBidi" w:hAnsiTheme="minorBidi" w:cstheme="minorBidi"/>
                <w:b/>
                <w:bCs/>
                <w:sz w:val="18"/>
                <w:szCs w:val="18"/>
              </w:rPr>
            </w:pPr>
            <w:r w:rsidRPr="00B25DD3">
              <w:rPr>
                <w:rFonts w:asciiTheme="minorBidi" w:hAnsiTheme="minorBidi" w:cstheme="minorBidi"/>
                <w:b/>
                <w:bCs/>
                <w:sz w:val="18"/>
                <w:szCs w:val="18"/>
              </w:rPr>
              <w:t>Compared to the previous data point</w:t>
            </w:r>
          </w:p>
        </w:tc>
      </w:tr>
      <w:tr w:rsidR="00E34CD1" w:rsidRPr="00802088" w14:paraId="213761D7" w14:textId="77777777" w:rsidTr="00B25DD3">
        <w:trPr>
          <w:trHeight w:val="360"/>
          <w:jc w:val="center"/>
        </w:trPr>
        <w:tc>
          <w:tcPr>
            <w:tcW w:w="3978" w:type="dxa"/>
            <w:tcBorders>
              <w:bottom w:val="nil"/>
            </w:tcBorders>
            <w:shd w:val="clear" w:color="auto" w:fill="auto"/>
            <w:vAlign w:val="center"/>
            <w:hideMark/>
          </w:tcPr>
          <w:p w14:paraId="4843497B" w14:textId="77777777" w:rsidR="00E34CD1" w:rsidRPr="00B25DD3" w:rsidRDefault="00E34CD1" w:rsidP="008C6258">
            <w:pPr>
              <w:tabs>
                <w:tab w:val="left" w:pos="9072"/>
              </w:tabs>
              <w:bidi w:val="0"/>
              <w:spacing w:after="0" w:line="240" w:lineRule="auto"/>
              <w:jc w:val="both"/>
              <w:rPr>
                <w:rFonts w:asciiTheme="minorBidi" w:hAnsiTheme="minorBidi" w:cstheme="minorBidi"/>
                <w:b/>
                <w:bCs/>
                <w:sz w:val="18"/>
                <w:szCs w:val="18"/>
                <w:rtl/>
              </w:rPr>
            </w:pPr>
            <w:r w:rsidRPr="00B25DD3">
              <w:rPr>
                <w:rFonts w:asciiTheme="minorBidi" w:hAnsiTheme="minorBidi" w:cstheme="minorBidi"/>
                <w:b/>
                <w:sz w:val="18"/>
                <w:szCs w:val="18"/>
              </w:rPr>
              <w:t>Indicator</w:t>
            </w:r>
            <w:r w:rsidRPr="00B25DD3">
              <w:rPr>
                <w:rFonts w:asciiTheme="minorBidi" w:hAnsiTheme="minorBidi" w:cstheme="minorBidi"/>
                <w:b/>
                <w:bCs/>
                <w:sz w:val="18"/>
                <w:szCs w:val="18"/>
              </w:rPr>
              <w:t xml:space="preserve"> 3.1.1</w:t>
            </w:r>
            <w:r w:rsidR="004F0861" w:rsidRPr="00B25DD3">
              <w:rPr>
                <w:rFonts w:asciiTheme="minorBidi" w:hAnsiTheme="minorBidi" w:cstheme="minorBidi"/>
                <w:sz w:val="18"/>
                <w:szCs w:val="18"/>
              </w:rPr>
              <w:t xml:space="preserve"> </w:t>
            </w:r>
            <w:r w:rsidRPr="00B25DD3">
              <w:rPr>
                <w:rFonts w:asciiTheme="minorBidi" w:hAnsiTheme="minorBidi" w:cstheme="minorBidi"/>
                <w:sz w:val="18"/>
                <w:szCs w:val="18"/>
              </w:rPr>
              <w:t xml:space="preserve">Maternal mortality ratio </w:t>
            </w:r>
          </w:p>
        </w:tc>
        <w:tc>
          <w:tcPr>
            <w:tcW w:w="1304" w:type="dxa"/>
            <w:tcBorders>
              <w:bottom w:val="nil"/>
            </w:tcBorders>
            <w:shd w:val="clear" w:color="auto" w:fill="auto"/>
            <w:noWrap/>
            <w:hideMark/>
          </w:tcPr>
          <w:p w14:paraId="5866DEC1" w14:textId="77777777" w:rsidR="00E34CD1" w:rsidRPr="00B25DD3" w:rsidRDefault="00E34CD1" w:rsidP="008C6258">
            <w:pPr>
              <w:bidi w:val="0"/>
              <w:spacing w:after="0" w:line="240" w:lineRule="auto"/>
              <w:jc w:val="center"/>
              <w:rPr>
                <w:rFonts w:asciiTheme="minorBidi" w:hAnsiTheme="minorBidi" w:cstheme="minorBidi"/>
                <w:sz w:val="18"/>
                <w:szCs w:val="18"/>
              </w:rPr>
            </w:pPr>
          </w:p>
        </w:tc>
        <w:tc>
          <w:tcPr>
            <w:tcW w:w="1295" w:type="dxa"/>
            <w:tcBorders>
              <w:bottom w:val="nil"/>
            </w:tcBorders>
          </w:tcPr>
          <w:p w14:paraId="7D7C819A" w14:textId="77777777" w:rsidR="00E34CD1" w:rsidRPr="00B25DD3" w:rsidRDefault="00E34CD1" w:rsidP="008C6258">
            <w:pPr>
              <w:bidi w:val="0"/>
              <w:spacing w:after="0" w:line="240" w:lineRule="auto"/>
              <w:jc w:val="center"/>
              <w:rPr>
                <w:rFonts w:asciiTheme="minorBidi" w:hAnsiTheme="minorBidi" w:cstheme="minorBidi"/>
                <w:sz w:val="18"/>
                <w:szCs w:val="18"/>
              </w:rPr>
            </w:pPr>
          </w:p>
        </w:tc>
        <w:tc>
          <w:tcPr>
            <w:tcW w:w="1412" w:type="dxa"/>
            <w:tcBorders>
              <w:bottom w:val="nil"/>
            </w:tcBorders>
            <w:shd w:val="clear" w:color="auto" w:fill="auto"/>
            <w:noWrap/>
            <w:hideMark/>
          </w:tcPr>
          <w:p w14:paraId="2C84FBF0" w14:textId="77777777" w:rsidR="00E34CD1" w:rsidRPr="00B25DD3" w:rsidRDefault="00E34CD1" w:rsidP="008C6258">
            <w:pPr>
              <w:bidi w:val="0"/>
              <w:spacing w:after="0" w:line="240" w:lineRule="auto"/>
              <w:jc w:val="center"/>
              <w:rPr>
                <w:rFonts w:asciiTheme="minorBidi" w:hAnsiTheme="minorBidi" w:cstheme="minorBidi"/>
                <w:sz w:val="18"/>
                <w:szCs w:val="18"/>
              </w:rPr>
            </w:pPr>
          </w:p>
        </w:tc>
        <w:tc>
          <w:tcPr>
            <w:tcW w:w="1645" w:type="dxa"/>
            <w:tcBorders>
              <w:bottom w:val="nil"/>
            </w:tcBorders>
          </w:tcPr>
          <w:p w14:paraId="04C1FDEF" w14:textId="77777777" w:rsidR="00E34CD1" w:rsidRPr="00B25DD3" w:rsidRDefault="00E34CD1" w:rsidP="008C6258">
            <w:pPr>
              <w:bidi w:val="0"/>
              <w:spacing w:after="0" w:line="240" w:lineRule="auto"/>
              <w:jc w:val="center"/>
              <w:rPr>
                <w:rFonts w:asciiTheme="minorBidi" w:hAnsiTheme="minorBidi" w:cstheme="minorBidi"/>
                <w:sz w:val="18"/>
                <w:szCs w:val="18"/>
              </w:rPr>
            </w:pPr>
          </w:p>
        </w:tc>
      </w:tr>
      <w:tr w:rsidR="00E34CD1" w:rsidRPr="00802088" w14:paraId="50A4DEB1" w14:textId="77777777" w:rsidTr="00B25DD3">
        <w:trPr>
          <w:trHeight w:val="360"/>
          <w:jc w:val="center"/>
        </w:trPr>
        <w:tc>
          <w:tcPr>
            <w:tcW w:w="3978" w:type="dxa"/>
            <w:tcBorders>
              <w:top w:val="nil"/>
            </w:tcBorders>
            <w:shd w:val="clear" w:color="auto" w:fill="auto"/>
            <w:noWrap/>
            <w:vAlign w:val="center"/>
            <w:hideMark/>
          </w:tcPr>
          <w:p w14:paraId="64B1286E" w14:textId="77777777" w:rsidR="009A7D13" w:rsidRPr="00B25DD3" w:rsidRDefault="00E34CD1" w:rsidP="0053592E">
            <w:pPr>
              <w:tabs>
                <w:tab w:val="left" w:pos="9072"/>
              </w:tabs>
              <w:bidi w:val="0"/>
              <w:spacing w:after="0" w:line="240" w:lineRule="auto"/>
              <w:ind w:left="336"/>
              <w:jc w:val="both"/>
              <w:rPr>
                <w:rFonts w:asciiTheme="minorBidi" w:hAnsiTheme="minorBidi" w:cstheme="minorBidi"/>
                <w:color w:val="000000"/>
                <w:sz w:val="18"/>
                <w:szCs w:val="18"/>
              </w:rPr>
            </w:pPr>
            <w:r w:rsidRPr="00B25DD3">
              <w:rPr>
                <w:rFonts w:asciiTheme="minorBidi" w:hAnsiTheme="minorBidi" w:cstheme="minorBidi"/>
                <w:color w:val="000000"/>
                <w:sz w:val="18"/>
                <w:szCs w:val="18"/>
              </w:rPr>
              <w:t>Maternal mortality ratio (MOH, 202</w:t>
            </w:r>
            <w:r w:rsidR="0053592E" w:rsidRPr="00B25DD3">
              <w:rPr>
                <w:rFonts w:asciiTheme="minorBidi" w:hAnsiTheme="minorBidi" w:cstheme="minorBidi"/>
                <w:color w:val="000000"/>
                <w:sz w:val="18"/>
                <w:szCs w:val="18"/>
              </w:rPr>
              <w:t>1</w:t>
            </w:r>
            <w:r w:rsidRPr="00B25DD3">
              <w:rPr>
                <w:rFonts w:asciiTheme="minorBidi" w:hAnsiTheme="minorBidi" w:cstheme="minorBidi"/>
                <w:color w:val="000000"/>
                <w:sz w:val="18"/>
                <w:szCs w:val="18"/>
              </w:rPr>
              <w:t>, ratio) (Per 100,000 live births)</w:t>
            </w:r>
          </w:p>
        </w:tc>
        <w:tc>
          <w:tcPr>
            <w:tcW w:w="1304" w:type="dxa"/>
            <w:tcBorders>
              <w:top w:val="nil"/>
            </w:tcBorders>
            <w:shd w:val="clear" w:color="auto" w:fill="auto"/>
            <w:noWrap/>
            <w:hideMark/>
          </w:tcPr>
          <w:p w14:paraId="7B68EE0E" w14:textId="77777777" w:rsidR="00E34CD1" w:rsidRPr="00B25DD3" w:rsidRDefault="00E34CD1"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tcBorders>
          </w:tcPr>
          <w:p w14:paraId="03819716" w14:textId="77777777" w:rsidR="000D4DA9" w:rsidRPr="00B25DD3" w:rsidRDefault="000D4DA9" w:rsidP="000D4DA9">
            <w:pPr>
              <w:spacing w:after="0" w:line="240" w:lineRule="auto"/>
              <w:jc w:val="center"/>
              <w:rPr>
                <w:rFonts w:ascii="Simplified Arabic" w:hAnsi="Simplified Arabic" w:cs="Simplified Arabic"/>
                <w:sz w:val="18"/>
                <w:szCs w:val="18"/>
                <w:lang w:bidi="ar-JO"/>
              </w:rPr>
            </w:pPr>
            <w:r w:rsidRPr="00B25DD3">
              <w:rPr>
                <w:rFonts w:ascii="Simplified Arabic" w:hAnsi="Simplified Arabic" w:cs="Simplified Arabic"/>
                <w:sz w:val="18"/>
                <w:szCs w:val="18"/>
                <w:lang w:bidi="ar-JO"/>
              </w:rPr>
              <w:t>28.5</w:t>
            </w:r>
          </w:p>
          <w:p w14:paraId="1D8DCE2F" w14:textId="77777777" w:rsidR="00E34CD1" w:rsidRPr="00B25DD3" w:rsidRDefault="000D4DA9" w:rsidP="000D4DA9">
            <w:pPr>
              <w:bidi w:val="0"/>
              <w:spacing w:after="0" w:line="240" w:lineRule="auto"/>
              <w:ind w:right="113"/>
              <w:jc w:val="center"/>
              <w:rPr>
                <w:rFonts w:asciiTheme="minorBidi" w:hAnsiTheme="minorBidi" w:cstheme="minorBidi"/>
                <w:sz w:val="18"/>
                <w:szCs w:val="18"/>
              </w:rPr>
            </w:pPr>
            <w:r w:rsidRPr="00B25DD3">
              <w:rPr>
                <w:rFonts w:ascii="Simplified Arabic" w:hAnsi="Simplified Arabic" w:cs="Simplified Arabic"/>
                <w:sz w:val="18"/>
                <w:szCs w:val="18"/>
                <w:lang w:bidi="ar-JO"/>
              </w:rPr>
              <w:t>(2020)</w:t>
            </w:r>
          </w:p>
        </w:tc>
        <w:tc>
          <w:tcPr>
            <w:tcW w:w="1412" w:type="dxa"/>
            <w:tcBorders>
              <w:top w:val="nil"/>
            </w:tcBorders>
            <w:shd w:val="clear" w:color="auto" w:fill="auto"/>
            <w:noWrap/>
            <w:hideMark/>
          </w:tcPr>
          <w:p w14:paraId="642B9479" w14:textId="77777777" w:rsidR="00E34CD1" w:rsidRPr="00B25DD3" w:rsidRDefault="00702B6F"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tl/>
              </w:rPr>
              <w:t>47.7</w:t>
            </w:r>
          </w:p>
        </w:tc>
        <w:tc>
          <w:tcPr>
            <w:tcW w:w="1645" w:type="dxa"/>
            <w:tcBorders>
              <w:top w:val="nil"/>
            </w:tcBorders>
          </w:tcPr>
          <w:p w14:paraId="76EBD705" w14:textId="77777777" w:rsidR="00E34CD1" w:rsidRPr="00B25DD3" w:rsidRDefault="00C5198F" w:rsidP="00C5198F">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De</w:t>
            </w:r>
            <w:r w:rsidR="00E34CD1" w:rsidRPr="00B25DD3">
              <w:rPr>
                <w:rFonts w:asciiTheme="minorBidi" w:hAnsiTheme="minorBidi" w:cstheme="minorBidi"/>
                <w:sz w:val="18"/>
                <w:szCs w:val="18"/>
              </w:rPr>
              <w:t>crease</w:t>
            </w:r>
          </w:p>
        </w:tc>
      </w:tr>
      <w:tr w:rsidR="00E02452" w:rsidRPr="00802088" w14:paraId="40B8AD31" w14:textId="77777777" w:rsidTr="00B25DD3">
        <w:trPr>
          <w:trHeight w:val="360"/>
          <w:jc w:val="center"/>
        </w:trPr>
        <w:tc>
          <w:tcPr>
            <w:tcW w:w="3978" w:type="dxa"/>
            <w:tcBorders>
              <w:bottom w:val="single" w:sz="4" w:space="0" w:color="auto"/>
            </w:tcBorders>
            <w:shd w:val="clear" w:color="auto" w:fill="auto"/>
            <w:vAlign w:val="center"/>
            <w:hideMark/>
          </w:tcPr>
          <w:p w14:paraId="5FFFFA26" w14:textId="77777777" w:rsidR="00E02452" w:rsidRPr="00B25DD3" w:rsidRDefault="00E02452" w:rsidP="00E02452">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lastRenderedPageBreak/>
              <w:t>Indicator</w:t>
            </w:r>
            <w:r w:rsidRPr="00B25DD3">
              <w:rPr>
                <w:rFonts w:asciiTheme="minorBidi" w:hAnsiTheme="minorBidi" w:cstheme="minorBidi"/>
                <w:b/>
                <w:bCs/>
                <w:sz w:val="18"/>
                <w:szCs w:val="18"/>
              </w:rPr>
              <w:t xml:space="preserve"> 3.1.2</w:t>
            </w:r>
            <w:r w:rsidRPr="00B25DD3">
              <w:rPr>
                <w:rFonts w:asciiTheme="minorBidi" w:hAnsiTheme="minorBidi" w:cstheme="minorBidi"/>
                <w:color w:val="000000"/>
                <w:sz w:val="18"/>
                <w:szCs w:val="18"/>
              </w:rPr>
              <w:t xml:space="preserve">Proportion of births attended by skilled health personnel (PCBS, 2019, </w:t>
            </w:r>
            <w:r w:rsidR="00B3098A" w:rsidRPr="00B25DD3">
              <w:rPr>
                <w:rFonts w:asciiTheme="minorBidi" w:hAnsiTheme="minorBidi" w:cstheme="minorBidi"/>
                <w:color w:val="000000"/>
                <w:sz w:val="18"/>
                <w:szCs w:val="18"/>
              </w:rPr>
              <w:t>p</w:t>
            </w:r>
            <w:r w:rsidRPr="00B25DD3">
              <w:rPr>
                <w:rFonts w:asciiTheme="minorBidi" w:hAnsiTheme="minorBidi" w:cstheme="minorBidi"/>
                <w:color w:val="000000"/>
                <w:sz w:val="18"/>
                <w:szCs w:val="18"/>
              </w:rPr>
              <w:t>ercentage)</w:t>
            </w:r>
          </w:p>
        </w:tc>
        <w:tc>
          <w:tcPr>
            <w:tcW w:w="1304" w:type="dxa"/>
            <w:tcBorders>
              <w:bottom w:val="single" w:sz="4" w:space="0" w:color="auto"/>
            </w:tcBorders>
            <w:shd w:val="clear" w:color="auto" w:fill="auto"/>
            <w:noWrap/>
            <w:hideMark/>
          </w:tcPr>
          <w:p w14:paraId="7A2C7970" w14:textId="77777777" w:rsidR="00E02452" w:rsidRPr="00B25DD3" w:rsidRDefault="00E02452" w:rsidP="00E02452">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bottom w:val="single" w:sz="4" w:space="0" w:color="auto"/>
            </w:tcBorders>
          </w:tcPr>
          <w:p w14:paraId="173BC4A3" w14:textId="77777777" w:rsidR="00E02452" w:rsidRPr="00B25DD3" w:rsidRDefault="00E02452" w:rsidP="00E02452">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99.6 (2014)</w:t>
            </w:r>
          </w:p>
        </w:tc>
        <w:tc>
          <w:tcPr>
            <w:tcW w:w="1412" w:type="dxa"/>
            <w:tcBorders>
              <w:bottom w:val="single" w:sz="4" w:space="0" w:color="auto"/>
            </w:tcBorders>
            <w:shd w:val="clear" w:color="auto" w:fill="auto"/>
            <w:noWrap/>
            <w:hideMark/>
          </w:tcPr>
          <w:p w14:paraId="6AF359EF" w14:textId="77777777" w:rsidR="00E02452" w:rsidRPr="00B25DD3" w:rsidRDefault="00E02452" w:rsidP="00E02452">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tl/>
              </w:rPr>
              <w:t>99.7</w:t>
            </w:r>
          </w:p>
        </w:tc>
        <w:tc>
          <w:tcPr>
            <w:tcW w:w="1645" w:type="dxa"/>
            <w:tcBorders>
              <w:bottom w:val="single" w:sz="4" w:space="0" w:color="auto"/>
            </w:tcBorders>
          </w:tcPr>
          <w:p w14:paraId="14CE12EC" w14:textId="77777777" w:rsidR="00E02452" w:rsidRPr="00B25DD3" w:rsidRDefault="00B3098A" w:rsidP="00E02452">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I</w:t>
            </w:r>
            <w:r w:rsidR="00E02452" w:rsidRPr="00B25DD3">
              <w:rPr>
                <w:rFonts w:asciiTheme="minorBidi" w:hAnsiTheme="minorBidi" w:cstheme="minorBidi"/>
                <w:sz w:val="18"/>
                <w:szCs w:val="18"/>
              </w:rPr>
              <w:t>ncrease</w:t>
            </w:r>
          </w:p>
        </w:tc>
      </w:tr>
      <w:tr w:rsidR="00C17680" w:rsidRPr="00802088" w14:paraId="0A783598" w14:textId="77777777" w:rsidTr="00B25DD3">
        <w:trPr>
          <w:trHeight w:val="360"/>
          <w:jc w:val="center"/>
        </w:trPr>
        <w:tc>
          <w:tcPr>
            <w:tcW w:w="3978" w:type="dxa"/>
            <w:tcBorders>
              <w:bottom w:val="nil"/>
            </w:tcBorders>
            <w:shd w:val="clear" w:color="auto" w:fill="auto"/>
            <w:noWrap/>
            <w:vAlign w:val="center"/>
            <w:hideMark/>
          </w:tcPr>
          <w:p w14:paraId="07D91941" w14:textId="77777777" w:rsidR="009A7D13" w:rsidRPr="00B25DD3" w:rsidRDefault="00C17680" w:rsidP="00F71DD3">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t>Indicator</w:t>
            </w:r>
            <w:r w:rsidRPr="00B25DD3">
              <w:rPr>
                <w:rFonts w:asciiTheme="minorBidi" w:hAnsiTheme="minorBidi" w:cstheme="minorBidi"/>
                <w:b/>
                <w:bCs/>
                <w:sz w:val="18"/>
                <w:szCs w:val="18"/>
              </w:rPr>
              <w:t xml:space="preserve"> 3.2.1</w:t>
            </w:r>
            <w:r w:rsidRPr="00B25DD3">
              <w:rPr>
                <w:rFonts w:asciiTheme="minorBidi" w:hAnsiTheme="minorBidi" w:cstheme="minorBidi"/>
                <w:sz w:val="18"/>
                <w:szCs w:val="18"/>
              </w:rPr>
              <w:t xml:space="preserve"> Under-five and Infant mortality rate</w:t>
            </w:r>
          </w:p>
        </w:tc>
        <w:tc>
          <w:tcPr>
            <w:tcW w:w="1304" w:type="dxa"/>
            <w:tcBorders>
              <w:bottom w:val="nil"/>
            </w:tcBorders>
            <w:shd w:val="clear" w:color="auto" w:fill="auto"/>
            <w:noWrap/>
            <w:hideMark/>
          </w:tcPr>
          <w:p w14:paraId="2EAA8E08" w14:textId="77777777" w:rsidR="00C17680" w:rsidRPr="00B25DD3" w:rsidRDefault="00C17680" w:rsidP="008C6258">
            <w:pPr>
              <w:bidi w:val="0"/>
              <w:spacing w:after="0" w:line="240" w:lineRule="auto"/>
              <w:jc w:val="center"/>
              <w:rPr>
                <w:rFonts w:asciiTheme="minorBidi" w:hAnsiTheme="minorBidi" w:cstheme="minorBidi"/>
                <w:sz w:val="18"/>
                <w:szCs w:val="18"/>
              </w:rPr>
            </w:pPr>
          </w:p>
        </w:tc>
        <w:tc>
          <w:tcPr>
            <w:tcW w:w="1295" w:type="dxa"/>
            <w:tcBorders>
              <w:bottom w:val="nil"/>
            </w:tcBorders>
          </w:tcPr>
          <w:p w14:paraId="6017A451" w14:textId="77777777" w:rsidR="00C17680" w:rsidRPr="00B25DD3" w:rsidRDefault="00C17680" w:rsidP="008C6258">
            <w:pPr>
              <w:bidi w:val="0"/>
              <w:spacing w:after="0" w:line="240" w:lineRule="auto"/>
              <w:ind w:right="113"/>
              <w:jc w:val="center"/>
              <w:rPr>
                <w:rFonts w:asciiTheme="minorBidi" w:hAnsiTheme="minorBidi" w:cstheme="minorBidi"/>
                <w:sz w:val="18"/>
                <w:szCs w:val="18"/>
              </w:rPr>
            </w:pPr>
          </w:p>
        </w:tc>
        <w:tc>
          <w:tcPr>
            <w:tcW w:w="1412" w:type="dxa"/>
            <w:tcBorders>
              <w:bottom w:val="nil"/>
            </w:tcBorders>
            <w:shd w:val="clear" w:color="auto" w:fill="auto"/>
            <w:hideMark/>
          </w:tcPr>
          <w:p w14:paraId="0607A859" w14:textId="77777777" w:rsidR="00C17680" w:rsidRPr="00B25DD3" w:rsidRDefault="00C17680" w:rsidP="008C6258">
            <w:pPr>
              <w:bidi w:val="0"/>
              <w:spacing w:after="0" w:line="240" w:lineRule="auto"/>
              <w:ind w:right="113"/>
              <w:jc w:val="center"/>
              <w:rPr>
                <w:rFonts w:asciiTheme="minorBidi" w:hAnsiTheme="minorBidi" w:cstheme="minorBidi"/>
                <w:sz w:val="18"/>
                <w:szCs w:val="18"/>
              </w:rPr>
            </w:pPr>
          </w:p>
        </w:tc>
        <w:tc>
          <w:tcPr>
            <w:tcW w:w="1645" w:type="dxa"/>
            <w:tcBorders>
              <w:bottom w:val="nil"/>
            </w:tcBorders>
          </w:tcPr>
          <w:p w14:paraId="6ED2078A" w14:textId="77777777" w:rsidR="00C17680" w:rsidRPr="00B25DD3" w:rsidRDefault="00C17680" w:rsidP="008C6258">
            <w:pPr>
              <w:bidi w:val="0"/>
              <w:spacing w:after="0" w:line="240" w:lineRule="auto"/>
              <w:ind w:right="113"/>
              <w:jc w:val="center"/>
              <w:rPr>
                <w:rFonts w:asciiTheme="minorBidi" w:hAnsiTheme="minorBidi" w:cstheme="minorBidi"/>
                <w:sz w:val="18"/>
                <w:szCs w:val="18"/>
              </w:rPr>
            </w:pPr>
          </w:p>
        </w:tc>
      </w:tr>
      <w:tr w:rsidR="00F71DD3" w:rsidRPr="00802088" w14:paraId="702D3CD3" w14:textId="77777777" w:rsidTr="00B25DD3">
        <w:trPr>
          <w:trHeight w:val="360"/>
          <w:jc w:val="center"/>
        </w:trPr>
        <w:tc>
          <w:tcPr>
            <w:tcW w:w="3978" w:type="dxa"/>
            <w:tcBorders>
              <w:top w:val="nil"/>
              <w:bottom w:val="nil"/>
            </w:tcBorders>
            <w:shd w:val="clear" w:color="auto" w:fill="auto"/>
            <w:noWrap/>
            <w:hideMark/>
          </w:tcPr>
          <w:p w14:paraId="40ACB075" w14:textId="77777777" w:rsidR="00F71DD3" w:rsidRPr="00B25DD3" w:rsidRDefault="00F71DD3" w:rsidP="00F71DD3">
            <w:pPr>
              <w:tabs>
                <w:tab w:val="left" w:pos="9072"/>
              </w:tabs>
              <w:bidi w:val="0"/>
              <w:spacing w:after="0" w:line="240" w:lineRule="auto"/>
              <w:ind w:left="336"/>
              <w:jc w:val="both"/>
              <w:rPr>
                <w:rFonts w:asciiTheme="minorBidi" w:hAnsiTheme="minorBidi" w:cstheme="minorBidi"/>
                <w:color w:val="000000"/>
                <w:sz w:val="18"/>
                <w:szCs w:val="18"/>
              </w:rPr>
            </w:pPr>
            <w:r w:rsidRPr="00B25DD3">
              <w:rPr>
                <w:rFonts w:asciiTheme="minorBidi" w:hAnsiTheme="minorBidi" w:cstheme="minorBidi"/>
                <w:color w:val="000000"/>
                <w:sz w:val="18"/>
                <w:szCs w:val="18"/>
              </w:rPr>
              <w:t>Under-five mortality rate (PCBS, 2019, rate) (Per 1,000 live births)</w:t>
            </w:r>
          </w:p>
        </w:tc>
        <w:tc>
          <w:tcPr>
            <w:tcW w:w="1304" w:type="dxa"/>
            <w:tcBorders>
              <w:top w:val="nil"/>
              <w:bottom w:val="nil"/>
            </w:tcBorders>
            <w:shd w:val="clear" w:color="auto" w:fill="auto"/>
            <w:noWrap/>
            <w:hideMark/>
          </w:tcPr>
          <w:p w14:paraId="3BFA40BC" w14:textId="77777777" w:rsidR="00F71DD3" w:rsidRPr="00B25DD3" w:rsidRDefault="00F71DD3" w:rsidP="00F71DD3">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tcPr>
          <w:p w14:paraId="0A924A09" w14:textId="77777777" w:rsidR="00F71DD3" w:rsidRPr="00B25DD3" w:rsidRDefault="000D4DA9" w:rsidP="00F71DD3">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22.0</w:t>
            </w:r>
            <w:r w:rsidR="00F71DD3" w:rsidRPr="00B25DD3">
              <w:rPr>
                <w:rFonts w:asciiTheme="minorBidi" w:hAnsiTheme="minorBidi" w:cstheme="minorBidi"/>
                <w:sz w:val="18"/>
                <w:szCs w:val="18"/>
              </w:rPr>
              <w:t xml:space="preserve"> (2014)</w:t>
            </w:r>
          </w:p>
        </w:tc>
        <w:tc>
          <w:tcPr>
            <w:tcW w:w="1412" w:type="dxa"/>
            <w:tcBorders>
              <w:top w:val="nil"/>
              <w:bottom w:val="nil"/>
            </w:tcBorders>
            <w:shd w:val="clear" w:color="auto" w:fill="auto"/>
            <w:hideMark/>
          </w:tcPr>
          <w:p w14:paraId="292EF7AA" w14:textId="77777777" w:rsidR="00F71DD3" w:rsidRPr="00B25DD3" w:rsidRDefault="00F71DD3" w:rsidP="00F71DD3">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tl/>
              </w:rPr>
              <w:t>14.2</w:t>
            </w:r>
          </w:p>
        </w:tc>
        <w:tc>
          <w:tcPr>
            <w:tcW w:w="1645" w:type="dxa"/>
            <w:tcBorders>
              <w:top w:val="nil"/>
              <w:bottom w:val="nil"/>
            </w:tcBorders>
          </w:tcPr>
          <w:p w14:paraId="09DFF7AC" w14:textId="77777777" w:rsidR="00F71DD3" w:rsidRPr="00B25DD3" w:rsidRDefault="00C5198F" w:rsidP="00F71DD3">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In</w:t>
            </w:r>
            <w:r w:rsidR="00F71DD3" w:rsidRPr="00B25DD3">
              <w:rPr>
                <w:rFonts w:asciiTheme="minorBidi" w:hAnsiTheme="minorBidi" w:cstheme="minorBidi"/>
                <w:sz w:val="18"/>
                <w:szCs w:val="18"/>
              </w:rPr>
              <w:t>crease</w:t>
            </w:r>
          </w:p>
        </w:tc>
      </w:tr>
      <w:tr w:rsidR="00F71DD3" w:rsidRPr="00802088" w14:paraId="6936BBDB" w14:textId="77777777" w:rsidTr="00B25DD3">
        <w:trPr>
          <w:trHeight w:val="360"/>
          <w:jc w:val="center"/>
        </w:trPr>
        <w:tc>
          <w:tcPr>
            <w:tcW w:w="3978" w:type="dxa"/>
            <w:tcBorders>
              <w:top w:val="nil"/>
              <w:bottom w:val="single" w:sz="4" w:space="0" w:color="auto"/>
            </w:tcBorders>
            <w:shd w:val="clear" w:color="auto" w:fill="auto"/>
            <w:noWrap/>
          </w:tcPr>
          <w:p w14:paraId="12836577" w14:textId="77777777" w:rsidR="00F71DD3" w:rsidRPr="00B25DD3" w:rsidRDefault="00F71DD3" w:rsidP="00F71DD3">
            <w:pPr>
              <w:tabs>
                <w:tab w:val="left" w:pos="9072"/>
              </w:tabs>
              <w:bidi w:val="0"/>
              <w:spacing w:after="0" w:line="240" w:lineRule="auto"/>
              <w:ind w:left="336"/>
              <w:jc w:val="both"/>
              <w:rPr>
                <w:rFonts w:asciiTheme="minorBidi" w:hAnsiTheme="minorBidi" w:cstheme="minorBidi"/>
                <w:bCs/>
                <w:sz w:val="18"/>
                <w:szCs w:val="18"/>
              </w:rPr>
            </w:pPr>
            <w:r w:rsidRPr="00B25DD3">
              <w:rPr>
                <w:rFonts w:asciiTheme="minorBidi" w:hAnsiTheme="minorBidi" w:cstheme="minorBidi"/>
                <w:sz w:val="18"/>
                <w:szCs w:val="18"/>
              </w:rPr>
              <w:t xml:space="preserve">Infant mortality rate </w:t>
            </w:r>
            <w:r w:rsidRPr="00B25DD3">
              <w:rPr>
                <w:rFonts w:asciiTheme="minorBidi" w:hAnsiTheme="minorBidi" w:cstheme="minorBidi"/>
                <w:color w:val="000000"/>
                <w:sz w:val="18"/>
                <w:szCs w:val="18"/>
              </w:rPr>
              <w:t>(PCBS, 2019, rate)</w:t>
            </w:r>
            <w:r w:rsidRPr="00B25DD3">
              <w:rPr>
                <w:rFonts w:asciiTheme="minorBidi" w:hAnsiTheme="minorBidi" w:cstheme="minorBidi"/>
                <w:sz w:val="18"/>
                <w:szCs w:val="18"/>
              </w:rPr>
              <w:t xml:space="preserve"> (</w:t>
            </w:r>
            <w:r w:rsidR="00B3098A" w:rsidRPr="00B25DD3">
              <w:rPr>
                <w:rFonts w:asciiTheme="minorBidi" w:hAnsiTheme="minorBidi" w:cstheme="minorBidi"/>
                <w:sz w:val="18"/>
                <w:szCs w:val="18"/>
              </w:rPr>
              <w:t>D</w:t>
            </w:r>
            <w:r w:rsidRPr="00B25DD3">
              <w:rPr>
                <w:rFonts w:asciiTheme="minorBidi" w:hAnsiTheme="minorBidi" w:cstheme="minorBidi"/>
                <w:sz w:val="18"/>
                <w:szCs w:val="18"/>
              </w:rPr>
              <w:t>eaths per 1,000 live births)</w:t>
            </w:r>
          </w:p>
        </w:tc>
        <w:tc>
          <w:tcPr>
            <w:tcW w:w="1304" w:type="dxa"/>
            <w:tcBorders>
              <w:top w:val="nil"/>
              <w:bottom w:val="single" w:sz="4" w:space="0" w:color="auto"/>
            </w:tcBorders>
            <w:shd w:val="clear" w:color="auto" w:fill="auto"/>
            <w:noWrap/>
          </w:tcPr>
          <w:p w14:paraId="55D82E9E" w14:textId="77777777" w:rsidR="00F71DD3" w:rsidRPr="00B25DD3" w:rsidRDefault="00F71DD3" w:rsidP="00F71DD3">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single" w:sz="4" w:space="0" w:color="auto"/>
            </w:tcBorders>
          </w:tcPr>
          <w:p w14:paraId="61813990" w14:textId="77777777" w:rsidR="00F71DD3" w:rsidRPr="00B25DD3" w:rsidRDefault="00F71DD3" w:rsidP="00F71DD3">
            <w:pPr>
              <w:bidi w:val="0"/>
              <w:spacing w:after="0" w:line="240" w:lineRule="auto"/>
              <w:ind w:right="113"/>
              <w:jc w:val="center"/>
              <w:rPr>
                <w:rFonts w:asciiTheme="minorBidi" w:hAnsiTheme="minorBidi" w:cstheme="minorBidi"/>
                <w:sz w:val="18"/>
                <w:szCs w:val="18"/>
              </w:rPr>
            </w:pPr>
          </w:p>
        </w:tc>
        <w:tc>
          <w:tcPr>
            <w:tcW w:w="1412" w:type="dxa"/>
            <w:tcBorders>
              <w:top w:val="nil"/>
              <w:bottom w:val="single" w:sz="4" w:space="0" w:color="auto"/>
            </w:tcBorders>
            <w:shd w:val="clear" w:color="auto" w:fill="auto"/>
          </w:tcPr>
          <w:p w14:paraId="358A452C" w14:textId="77777777" w:rsidR="00F71DD3" w:rsidRPr="00B25DD3" w:rsidRDefault="00F71DD3" w:rsidP="00F71DD3">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12.1</w:t>
            </w:r>
          </w:p>
        </w:tc>
        <w:tc>
          <w:tcPr>
            <w:tcW w:w="1645" w:type="dxa"/>
            <w:tcBorders>
              <w:top w:val="nil"/>
              <w:bottom w:val="single" w:sz="4" w:space="0" w:color="auto"/>
            </w:tcBorders>
          </w:tcPr>
          <w:p w14:paraId="148C6621" w14:textId="77777777" w:rsidR="00F71DD3" w:rsidRPr="00B25DD3" w:rsidRDefault="00F71DD3" w:rsidP="00F71DD3">
            <w:pPr>
              <w:bidi w:val="0"/>
              <w:spacing w:after="0" w:line="240" w:lineRule="auto"/>
              <w:ind w:right="113"/>
              <w:jc w:val="center"/>
              <w:rPr>
                <w:rFonts w:asciiTheme="minorBidi" w:hAnsiTheme="minorBidi" w:cstheme="minorBidi"/>
                <w:color w:val="00B050"/>
                <w:sz w:val="18"/>
                <w:szCs w:val="18"/>
                <w:rtl/>
              </w:rPr>
            </w:pPr>
          </w:p>
        </w:tc>
      </w:tr>
      <w:tr w:rsidR="00D53899" w:rsidRPr="00802088" w14:paraId="512EA05E" w14:textId="77777777" w:rsidTr="00B25DD3">
        <w:trPr>
          <w:trHeight w:val="360"/>
          <w:jc w:val="center"/>
        </w:trPr>
        <w:tc>
          <w:tcPr>
            <w:tcW w:w="3978" w:type="dxa"/>
            <w:tcBorders>
              <w:bottom w:val="nil"/>
            </w:tcBorders>
            <w:shd w:val="clear" w:color="auto" w:fill="auto"/>
            <w:noWrap/>
            <w:vAlign w:val="center"/>
            <w:hideMark/>
          </w:tcPr>
          <w:p w14:paraId="73D19F6A" w14:textId="77777777" w:rsidR="00D53899" w:rsidRPr="00B25DD3" w:rsidRDefault="00D53899" w:rsidP="00D53899">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t>Indicator</w:t>
            </w:r>
            <w:r w:rsidRPr="00B25DD3">
              <w:rPr>
                <w:rFonts w:asciiTheme="minorBidi" w:hAnsiTheme="minorBidi" w:cstheme="minorBidi"/>
                <w:b/>
                <w:bCs/>
                <w:sz w:val="18"/>
                <w:szCs w:val="18"/>
              </w:rPr>
              <w:t xml:space="preserve"> 3.2.2</w:t>
            </w:r>
            <w:r w:rsidRPr="00B25DD3">
              <w:rPr>
                <w:rFonts w:asciiTheme="minorBidi" w:hAnsiTheme="minorBidi" w:cstheme="minorBidi"/>
                <w:sz w:val="18"/>
                <w:szCs w:val="18"/>
              </w:rPr>
              <w:t xml:space="preserve"> Neonatal mortality rate</w:t>
            </w:r>
            <w:r w:rsidRPr="00B25DD3">
              <w:rPr>
                <w:rFonts w:asciiTheme="minorBidi" w:hAnsiTheme="minorBidi" w:cstheme="minorBidi"/>
                <w:color w:val="000000"/>
                <w:sz w:val="18"/>
                <w:szCs w:val="18"/>
              </w:rPr>
              <w:t>(PCBS, 2019, rate) (Per 1,000 live births)</w:t>
            </w:r>
          </w:p>
        </w:tc>
        <w:tc>
          <w:tcPr>
            <w:tcW w:w="1304" w:type="dxa"/>
            <w:tcBorders>
              <w:bottom w:val="nil"/>
            </w:tcBorders>
            <w:shd w:val="clear" w:color="auto" w:fill="auto"/>
            <w:noWrap/>
            <w:hideMark/>
          </w:tcPr>
          <w:p w14:paraId="4BDDA410" w14:textId="77777777" w:rsidR="00D53899" w:rsidRPr="00B25DD3" w:rsidRDefault="00D53899" w:rsidP="00D53899">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bottom w:val="nil"/>
            </w:tcBorders>
          </w:tcPr>
          <w:p w14:paraId="10EBCBB6"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11.2 (2014)</w:t>
            </w:r>
          </w:p>
        </w:tc>
        <w:tc>
          <w:tcPr>
            <w:tcW w:w="1412" w:type="dxa"/>
            <w:tcBorders>
              <w:bottom w:val="nil"/>
            </w:tcBorders>
            <w:shd w:val="clear" w:color="auto" w:fill="auto"/>
            <w:hideMark/>
          </w:tcPr>
          <w:p w14:paraId="40F2CD0C"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tl/>
              </w:rPr>
              <w:t>9.4</w:t>
            </w:r>
          </w:p>
        </w:tc>
        <w:tc>
          <w:tcPr>
            <w:tcW w:w="1645" w:type="dxa"/>
            <w:tcBorders>
              <w:bottom w:val="nil"/>
            </w:tcBorders>
          </w:tcPr>
          <w:p w14:paraId="3DB12D96"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Increase</w:t>
            </w:r>
          </w:p>
        </w:tc>
      </w:tr>
      <w:tr w:rsidR="00D53899" w:rsidRPr="00802088" w14:paraId="10A0ABB7" w14:textId="77777777" w:rsidTr="00B25DD3">
        <w:trPr>
          <w:trHeight w:val="360"/>
          <w:jc w:val="center"/>
        </w:trPr>
        <w:tc>
          <w:tcPr>
            <w:tcW w:w="3978" w:type="dxa"/>
            <w:shd w:val="clear" w:color="auto" w:fill="auto"/>
            <w:noWrap/>
            <w:vAlign w:val="center"/>
            <w:hideMark/>
          </w:tcPr>
          <w:p w14:paraId="04CB1DEE" w14:textId="77777777" w:rsidR="00D53899" w:rsidRPr="00B25DD3" w:rsidRDefault="00D53899" w:rsidP="00D53899">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t>Indicator</w:t>
            </w:r>
            <w:r w:rsidRPr="00B25DD3">
              <w:rPr>
                <w:rFonts w:asciiTheme="minorBidi" w:hAnsiTheme="minorBidi" w:cstheme="minorBidi"/>
                <w:b/>
                <w:bCs/>
                <w:sz w:val="18"/>
                <w:szCs w:val="18"/>
              </w:rPr>
              <w:t xml:space="preserve"> 3.3.1</w:t>
            </w:r>
            <w:r w:rsidRPr="00B25DD3">
              <w:rPr>
                <w:rFonts w:asciiTheme="minorBidi" w:hAnsiTheme="minorBidi" w:cstheme="minorBidi"/>
                <w:sz w:val="18"/>
                <w:szCs w:val="18"/>
              </w:rPr>
              <w:t>Number of new HIV infections per 1,000 uninfected population, by sex, age and key populations</w:t>
            </w:r>
            <w:r w:rsidRPr="00B25DD3">
              <w:rPr>
                <w:rFonts w:asciiTheme="minorBidi" w:hAnsiTheme="minorBidi" w:cstheme="minorBidi"/>
                <w:color w:val="000000"/>
                <w:sz w:val="18"/>
                <w:szCs w:val="18"/>
              </w:rPr>
              <w:t xml:space="preserve"> (MOH, 2021, rate)</w:t>
            </w:r>
          </w:p>
        </w:tc>
        <w:tc>
          <w:tcPr>
            <w:tcW w:w="1304" w:type="dxa"/>
            <w:tcBorders>
              <w:bottom w:val="nil"/>
            </w:tcBorders>
            <w:shd w:val="clear" w:color="auto" w:fill="auto"/>
            <w:noWrap/>
            <w:hideMark/>
          </w:tcPr>
          <w:p w14:paraId="7F47D686" w14:textId="77777777" w:rsidR="00D53899" w:rsidRPr="00B25DD3" w:rsidRDefault="00D53899" w:rsidP="00D53899">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bottom w:val="nil"/>
            </w:tcBorders>
          </w:tcPr>
          <w:p w14:paraId="01FDD330"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0.0 (2015)</w:t>
            </w:r>
          </w:p>
        </w:tc>
        <w:tc>
          <w:tcPr>
            <w:tcW w:w="1412" w:type="dxa"/>
            <w:tcBorders>
              <w:bottom w:val="nil"/>
            </w:tcBorders>
            <w:shd w:val="clear" w:color="auto" w:fill="auto"/>
            <w:hideMark/>
          </w:tcPr>
          <w:p w14:paraId="019B7956"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0.0</w:t>
            </w:r>
          </w:p>
        </w:tc>
        <w:tc>
          <w:tcPr>
            <w:tcW w:w="1645" w:type="dxa"/>
            <w:tcBorders>
              <w:bottom w:val="nil"/>
            </w:tcBorders>
          </w:tcPr>
          <w:p w14:paraId="448A81C1"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No change</w:t>
            </w:r>
          </w:p>
        </w:tc>
      </w:tr>
      <w:tr w:rsidR="00D53899" w:rsidRPr="00802088" w14:paraId="4212DF1C" w14:textId="77777777" w:rsidTr="00B25DD3">
        <w:trPr>
          <w:trHeight w:val="360"/>
          <w:jc w:val="center"/>
        </w:trPr>
        <w:tc>
          <w:tcPr>
            <w:tcW w:w="3978" w:type="dxa"/>
            <w:shd w:val="clear" w:color="auto" w:fill="auto"/>
            <w:noWrap/>
            <w:vAlign w:val="center"/>
            <w:hideMark/>
          </w:tcPr>
          <w:p w14:paraId="7EE853B5" w14:textId="77777777" w:rsidR="00D53899" w:rsidRPr="00B25DD3" w:rsidRDefault="00D53899" w:rsidP="00D53899">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bCs/>
                <w:sz w:val="18"/>
                <w:szCs w:val="18"/>
              </w:rPr>
              <w:t>Indicator 3.3.2</w:t>
            </w:r>
            <w:r w:rsidRPr="00B25DD3">
              <w:rPr>
                <w:rFonts w:asciiTheme="minorBidi" w:hAnsiTheme="minorBidi" w:cstheme="minorBidi"/>
                <w:sz w:val="18"/>
                <w:szCs w:val="18"/>
              </w:rPr>
              <w:t xml:space="preserve">Tuberculosis incidence per 100,000  population </w:t>
            </w:r>
            <w:r w:rsidRPr="00B25DD3">
              <w:rPr>
                <w:rFonts w:asciiTheme="minorBidi" w:hAnsiTheme="minorBidi" w:cstheme="minorBidi"/>
                <w:color w:val="000000"/>
                <w:sz w:val="18"/>
                <w:szCs w:val="18"/>
              </w:rPr>
              <w:t>(MOH, 2021, rate)</w:t>
            </w:r>
          </w:p>
        </w:tc>
        <w:tc>
          <w:tcPr>
            <w:tcW w:w="1304" w:type="dxa"/>
            <w:shd w:val="clear" w:color="auto" w:fill="auto"/>
            <w:noWrap/>
            <w:hideMark/>
          </w:tcPr>
          <w:p w14:paraId="31E04ADB" w14:textId="77777777" w:rsidR="00D53899" w:rsidRPr="00B25DD3" w:rsidRDefault="00D53899" w:rsidP="00D53899">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Pr>
          <w:p w14:paraId="04A47008" w14:textId="77777777" w:rsidR="00D53899" w:rsidRPr="00B25DD3" w:rsidRDefault="000D4DA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0.33 (2020)</w:t>
            </w:r>
          </w:p>
        </w:tc>
        <w:tc>
          <w:tcPr>
            <w:tcW w:w="1412" w:type="dxa"/>
            <w:shd w:val="clear" w:color="auto" w:fill="auto"/>
            <w:hideMark/>
          </w:tcPr>
          <w:p w14:paraId="336A866C"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0.5</w:t>
            </w:r>
          </w:p>
        </w:tc>
        <w:tc>
          <w:tcPr>
            <w:tcW w:w="1645" w:type="dxa"/>
          </w:tcPr>
          <w:p w14:paraId="18B3BAD3" w14:textId="7A6E6A1B" w:rsidR="00D53899" w:rsidRPr="00B25DD3" w:rsidRDefault="009F7567" w:rsidP="00D53899">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de</w:t>
            </w:r>
            <w:r w:rsidR="00D53899" w:rsidRPr="00B25DD3">
              <w:rPr>
                <w:rFonts w:asciiTheme="minorBidi" w:hAnsiTheme="minorBidi" w:cstheme="minorBidi"/>
                <w:sz w:val="18"/>
                <w:szCs w:val="18"/>
              </w:rPr>
              <w:t>crease</w:t>
            </w:r>
          </w:p>
        </w:tc>
      </w:tr>
      <w:tr w:rsidR="00D53899" w:rsidRPr="00802088" w14:paraId="13BCD51F" w14:textId="77777777" w:rsidTr="00B25DD3">
        <w:trPr>
          <w:trHeight w:val="360"/>
          <w:jc w:val="center"/>
        </w:trPr>
        <w:tc>
          <w:tcPr>
            <w:tcW w:w="3978" w:type="dxa"/>
            <w:shd w:val="clear" w:color="auto" w:fill="auto"/>
            <w:noWrap/>
            <w:vAlign w:val="center"/>
            <w:hideMark/>
          </w:tcPr>
          <w:p w14:paraId="69060053" w14:textId="77777777" w:rsidR="00D53899" w:rsidRPr="00B25DD3" w:rsidRDefault="00D53899" w:rsidP="00D53899">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t>Indicator</w:t>
            </w:r>
            <w:r w:rsidRPr="00B25DD3">
              <w:rPr>
                <w:rFonts w:asciiTheme="minorBidi" w:hAnsiTheme="minorBidi" w:cstheme="minorBidi"/>
                <w:b/>
                <w:bCs/>
                <w:sz w:val="18"/>
                <w:szCs w:val="18"/>
              </w:rPr>
              <w:t xml:space="preserve"> 3.3.3 </w:t>
            </w:r>
            <w:r w:rsidRPr="00B25DD3">
              <w:rPr>
                <w:rFonts w:asciiTheme="minorBidi" w:hAnsiTheme="minorBidi" w:cstheme="minorBidi"/>
                <w:sz w:val="18"/>
                <w:szCs w:val="18"/>
              </w:rPr>
              <w:t>Malaria incidence per 1,000 population(MOH, 2021,</w:t>
            </w:r>
            <w:r w:rsidRPr="00B25DD3">
              <w:rPr>
                <w:rFonts w:asciiTheme="minorBidi" w:hAnsiTheme="minorBidi" w:cstheme="minorBidi"/>
                <w:color w:val="000000"/>
                <w:sz w:val="18"/>
                <w:szCs w:val="18"/>
              </w:rPr>
              <w:t xml:space="preserve"> rate</w:t>
            </w:r>
            <w:r w:rsidRPr="00B25DD3">
              <w:rPr>
                <w:rFonts w:asciiTheme="minorBidi" w:hAnsiTheme="minorBidi" w:cstheme="minorBidi"/>
                <w:sz w:val="18"/>
                <w:szCs w:val="18"/>
              </w:rPr>
              <w:t xml:space="preserve"> )</w:t>
            </w:r>
          </w:p>
        </w:tc>
        <w:tc>
          <w:tcPr>
            <w:tcW w:w="1304" w:type="dxa"/>
            <w:shd w:val="clear" w:color="auto" w:fill="auto"/>
            <w:noWrap/>
            <w:hideMark/>
          </w:tcPr>
          <w:p w14:paraId="2647511D" w14:textId="77777777" w:rsidR="00D53899" w:rsidRPr="00B25DD3" w:rsidRDefault="00D53899" w:rsidP="00D53899">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Pr>
          <w:p w14:paraId="18FF7AA9"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0.0 (2015)</w:t>
            </w:r>
          </w:p>
        </w:tc>
        <w:tc>
          <w:tcPr>
            <w:tcW w:w="1412" w:type="dxa"/>
            <w:shd w:val="clear" w:color="auto" w:fill="auto"/>
            <w:hideMark/>
          </w:tcPr>
          <w:p w14:paraId="1C1176EB"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tl/>
              </w:rPr>
              <w:t>0.0</w:t>
            </w:r>
          </w:p>
        </w:tc>
        <w:tc>
          <w:tcPr>
            <w:tcW w:w="1645" w:type="dxa"/>
          </w:tcPr>
          <w:p w14:paraId="650BE0D2"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No change</w:t>
            </w:r>
          </w:p>
        </w:tc>
      </w:tr>
      <w:tr w:rsidR="00D53899" w:rsidRPr="00802088" w14:paraId="47FAC599" w14:textId="77777777" w:rsidTr="00B25DD3">
        <w:trPr>
          <w:trHeight w:val="360"/>
          <w:jc w:val="center"/>
        </w:trPr>
        <w:tc>
          <w:tcPr>
            <w:tcW w:w="3978" w:type="dxa"/>
            <w:tcBorders>
              <w:bottom w:val="single" w:sz="4" w:space="0" w:color="auto"/>
            </w:tcBorders>
            <w:shd w:val="clear" w:color="auto" w:fill="auto"/>
            <w:noWrap/>
            <w:vAlign w:val="center"/>
            <w:hideMark/>
          </w:tcPr>
          <w:p w14:paraId="4E48D144" w14:textId="77777777" w:rsidR="00D53899" w:rsidRPr="00B25DD3" w:rsidRDefault="00D53899" w:rsidP="00D53899">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t>Indicator</w:t>
            </w:r>
            <w:r w:rsidRPr="00B25DD3">
              <w:rPr>
                <w:rFonts w:asciiTheme="minorBidi" w:hAnsiTheme="minorBidi" w:cstheme="minorBidi"/>
                <w:b/>
                <w:bCs/>
                <w:sz w:val="18"/>
                <w:szCs w:val="18"/>
              </w:rPr>
              <w:t xml:space="preserve"> 3.3.</w:t>
            </w:r>
            <w:r w:rsidRPr="00B25DD3">
              <w:rPr>
                <w:rFonts w:asciiTheme="minorBidi" w:hAnsiTheme="minorBidi" w:cstheme="minorBidi"/>
                <w:b/>
                <w:bCs/>
                <w:sz w:val="18"/>
                <w:szCs w:val="18"/>
                <w:rtl/>
              </w:rPr>
              <w:t>4</w:t>
            </w:r>
            <w:r w:rsidRPr="00B25DD3">
              <w:rPr>
                <w:rFonts w:asciiTheme="minorBidi" w:hAnsiTheme="minorBidi" w:cstheme="minorBidi"/>
                <w:sz w:val="18"/>
                <w:szCs w:val="18"/>
              </w:rPr>
              <w:t xml:space="preserve"> Hepatitis B incidence per 100,000 population (MOH, 2021,</w:t>
            </w:r>
            <w:r w:rsidRPr="00B25DD3">
              <w:rPr>
                <w:rFonts w:asciiTheme="minorBidi" w:hAnsiTheme="minorBidi" w:cstheme="minorBidi"/>
                <w:color w:val="000000"/>
                <w:sz w:val="18"/>
                <w:szCs w:val="18"/>
              </w:rPr>
              <w:t xml:space="preserve"> rate</w:t>
            </w:r>
            <w:r w:rsidRPr="00B25DD3">
              <w:rPr>
                <w:rFonts w:asciiTheme="minorBidi" w:hAnsiTheme="minorBidi" w:cstheme="minorBidi"/>
                <w:sz w:val="18"/>
                <w:szCs w:val="18"/>
              </w:rPr>
              <w:t xml:space="preserve"> )</w:t>
            </w:r>
          </w:p>
        </w:tc>
        <w:tc>
          <w:tcPr>
            <w:tcW w:w="1304" w:type="dxa"/>
            <w:tcBorders>
              <w:bottom w:val="single" w:sz="4" w:space="0" w:color="auto"/>
            </w:tcBorders>
            <w:shd w:val="clear" w:color="auto" w:fill="auto"/>
            <w:noWrap/>
            <w:hideMark/>
          </w:tcPr>
          <w:p w14:paraId="5A90F0B9" w14:textId="77777777" w:rsidR="00D53899" w:rsidRPr="00B25DD3" w:rsidRDefault="00D53899" w:rsidP="00D53899">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bottom w:val="single" w:sz="4" w:space="0" w:color="auto"/>
            </w:tcBorders>
          </w:tcPr>
          <w:p w14:paraId="056FCCF1" w14:textId="77777777" w:rsidR="00D53899" w:rsidRPr="00B25DD3" w:rsidRDefault="0022351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0.37 (2020)</w:t>
            </w:r>
          </w:p>
        </w:tc>
        <w:tc>
          <w:tcPr>
            <w:tcW w:w="1412" w:type="dxa"/>
            <w:tcBorders>
              <w:bottom w:val="single" w:sz="4" w:space="0" w:color="auto"/>
            </w:tcBorders>
            <w:shd w:val="clear" w:color="auto" w:fill="auto"/>
            <w:hideMark/>
          </w:tcPr>
          <w:p w14:paraId="2D15E3F6"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0.26</w:t>
            </w:r>
          </w:p>
        </w:tc>
        <w:tc>
          <w:tcPr>
            <w:tcW w:w="1645" w:type="dxa"/>
            <w:tcBorders>
              <w:bottom w:val="single" w:sz="4" w:space="0" w:color="auto"/>
            </w:tcBorders>
          </w:tcPr>
          <w:p w14:paraId="3BD726DD" w14:textId="77777777" w:rsidR="00D53899" w:rsidRPr="00B25DD3" w:rsidRDefault="00D53899"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Increase</w:t>
            </w:r>
          </w:p>
        </w:tc>
      </w:tr>
      <w:tr w:rsidR="00E34CD1" w:rsidRPr="00802088" w14:paraId="7A382ABB" w14:textId="77777777" w:rsidTr="00B25DD3">
        <w:trPr>
          <w:trHeight w:val="782"/>
          <w:jc w:val="center"/>
        </w:trPr>
        <w:tc>
          <w:tcPr>
            <w:tcW w:w="3978" w:type="dxa"/>
            <w:tcBorders>
              <w:bottom w:val="nil"/>
            </w:tcBorders>
            <w:shd w:val="clear" w:color="auto" w:fill="auto"/>
            <w:noWrap/>
            <w:vAlign w:val="center"/>
            <w:hideMark/>
          </w:tcPr>
          <w:p w14:paraId="7A7B6C33" w14:textId="77777777" w:rsidR="00DE2D05" w:rsidRPr="00B25DD3" w:rsidRDefault="00E34CD1" w:rsidP="003A32B8">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bCs/>
                <w:sz w:val="18"/>
                <w:szCs w:val="18"/>
              </w:rPr>
              <w:t>Indicator 3.4.1</w:t>
            </w:r>
            <w:r w:rsidRPr="00B25DD3">
              <w:rPr>
                <w:rFonts w:asciiTheme="minorBidi" w:hAnsiTheme="minorBidi" w:cstheme="minorBidi"/>
                <w:sz w:val="18"/>
                <w:szCs w:val="18"/>
              </w:rPr>
              <w:t xml:space="preserve"> Mortality rate attributed to cardiovascular disease, cancer, diabetes, or chronic respiratory disease</w:t>
            </w:r>
            <w:r w:rsidR="00DE2D05" w:rsidRPr="00B25DD3">
              <w:rPr>
                <w:rFonts w:asciiTheme="minorBidi" w:hAnsiTheme="minorBidi" w:cstheme="minorBidi"/>
                <w:sz w:val="18"/>
                <w:szCs w:val="18"/>
              </w:rPr>
              <w:t xml:space="preserve">, and </w:t>
            </w:r>
            <w:r w:rsidR="00B3098A" w:rsidRPr="00B25DD3">
              <w:rPr>
                <w:rFonts w:asciiTheme="minorBidi" w:hAnsiTheme="minorBidi" w:cstheme="minorBidi"/>
                <w:sz w:val="18"/>
                <w:szCs w:val="18"/>
              </w:rPr>
              <w:t>n</w:t>
            </w:r>
            <w:r w:rsidR="00DE2D05" w:rsidRPr="00B25DD3">
              <w:rPr>
                <w:rFonts w:asciiTheme="minorBidi" w:hAnsiTheme="minorBidi" w:cstheme="minorBidi"/>
                <w:sz w:val="18"/>
                <w:szCs w:val="18"/>
              </w:rPr>
              <w:t>umber of deaths attributed to non-communicable diseases</w:t>
            </w:r>
          </w:p>
        </w:tc>
        <w:tc>
          <w:tcPr>
            <w:tcW w:w="1304" w:type="dxa"/>
            <w:tcBorders>
              <w:bottom w:val="nil"/>
            </w:tcBorders>
            <w:shd w:val="clear" w:color="auto" w:fill="auto"/>
            <w:noWrap/>
            <w:hideMark/>
          </w:tcPr>
          <w:p w14:paraId="6BF2D6C3" w14:textId="77777777" w:rsidR="00E34CD1" w:rsidRPr="00B25DD3" w:rsidRDefault="00E34CD1" w:rsidP="008C6258">
            <w:pPr>
              <w:bidi w:val="0"/>
              <w:spacing w:after="0" w:line="240" w:lineRule="auto"/>
              <w:jc w:val="center"/>
              <w:rPr>
                <w:rFonts w:asciiTheme="minorBidi" w:hAnsiTheme="minorBidi" w:cstheme="minorBidi"/>
                <w:sz w:val="18"/>
                <w:szCs w:val="18"/>
              </w:rPr>
            </w:pPr>
          </w:p>
        </w:tc>
        <w:tc>
          <w:tcPr>
            <w:tcW w:w="1295" w:type="dxa"/>
            <w:tcBorders>
              <w:bottom w:val="nil"/>
            </w:tcBorders>
          </w:tcPr>
          <w:p w14:paraId="5E25E8F4"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p>
        </w:tc>
        <w:tc>
          <w:tcPr>
            <w:tcW w:w="1412" w:type="dxa"/>
            <w:tcBorders>
              <w:bottom w:val="nil"/>
            </w:tcBorders>
            <w:shd w:val="clear" w:color="auto" w:fill="auto"/>
            <w:hideMark/>
          </w:tcPr>
          <w:p w14:paraId="6F66CB0E"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p>
        </w:tc>
        <w:tc>
          <w:tcPr>
            <w:tcW w:w="1645" w:type="dxa"/>
            <w:tcBorders>
              <w:bottom w:val="nil"/>
            </w:tcBorders>
          </w:tcPr>
          <w:p w14:paraId="5588BFF0"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p>
        </w:tc>
      </w:tr>
      <w:tr w:rsidR="00D21112" w:rsidRPr="00802088" w14:paraId="506D6884" w14:textId="77777777" w:rsidTr="00B25DD3">
        <w:trPr>
          <w:trHeight w:val="360"/>
          <w:jc w:val="center"/>
        </w:trPr>
        <w:tc>
          <w:tcPr>
            <w:tcW w:w="3978" w:type="dxa"/>
            <w:tcBorders>
              <w:top w:val="nil"/>
              <w:bottom w:val="nil"/>
            </w:tcBorders>
            <w:shd w:val="clear" w:color="auto" w:fill="auto"/>
            <w:noWrap/>
            <w:vAlign w:val="center"/>
            <w:hideMark/>
          </w:tcPr>
          <w:p w14:paraId="57CC5240" w14:textId="77777777" w:rsidR="00D21112" w:rsidRPr="00B25DD3" w:rsidRDefault="00D21112" w:rsidP="00D53899">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 xml:space="preserve">Mortality rate attributed to cardiovascular disease, cancer, diabetes or chronic respiratory disease (MOH, </w:t>
            </w:r>
            <w:r w:rsidR="004A60FC" w:rsidRPr="00B25DD3">
              <w:rPr>
                <w:rFonts w:asciiTheme="minorBidi" w:hAnsiTheme="minorBidi" w:cstheme="minorBidi"/>
                <w:sz w:val="18"/>
                <w:szCs w:val="18"/>
              </w:rPr>
              <w:t>2019</w:t>
            </w:r>
            <w:r w:rsidRPr="00B25DD3">
              <w:rPr>
                <w:rFonts w:asciiTheme="minorBidi" w:hAnsiTheme="minorBidi" w:cstheme="minorBidi"/>
                <w:sz w:val="18"/>
                <w:szCs w:val="18"/>
              </w:rPr>
              <w:t>,  per 10,000  population)</w:t>
            </w:r>
          </w:p>
        </w:tc>
        <w:tc>
          <w:tcPr>
            <w:tcW w:w="1304" w:type="dxa"/>
            <w:tcBorders>
              <w:top w:val="nil"/>
              <w:bottom w:val="nil"/>
            </w:tcBorders>
            <w:shd w:val="clear" w:color="auto" w:fill="auto"/>
            <w:noWrap/>
            <w:hideMark/>
          </w:tcPr>
          <w:p w14:paraId="547C4714" w14:textId="77777777" w:rsidR="00D21112" w:rsidRPr="00B25DD3" w:rsidRDefault="00D21112"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shd w:val="clear" w:color="auto" w:fill="auto"/>
          </w:tcPr>
          <w:p w14:paraId="3EBF9E56" w14:textId="77777777" w:rsidR="00D21112" w:rsidRPr="00B25DD3" w:rsidRDefault="004A60FC" w:rsidP="004A60FC">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20.3</w:t>
            </w:r>
            <w:r w:rsidR="00D21112" w:rsidRPr="00B25DD3">
              <w:rPr>
                <w:rFonts w:asciiTheme="minorBidi" w:hAnsiTheme="minorBidi" w:cstheme="minorBidi"/>
                <w:sz w:val="18"/>
                <w:szCs w:val="18"/>
              </w:rPr>
              <w:t xml:space="preserve"> (</w:t>
            </w:r>
            <w:r w:rsidRPr="00B25DD3">
              <w:rPr>
                <w:rFonts w:asciiTheme="minorBidi" w:hAnsiTheme="minorBidi" w:cstheme="minorBidi"/>
                <w:sz w:val="18"/>
                <w:szCs w:val="18"/>
              </w:rPr>
              <w:t>2018</w:t>
            </w:r>
            <w:r w:rsidR="00D21112" w:rsidRPr="00B25DD3">
              <w:rPr>
                <w:rFonts w:asciiTheme="minorBidi" w:hAnsiTheme="minorBidi" w:cstheme="minorBidi"/>
                <w:sz w:val="18"/>
                <w:szCs w:val="18"/>
              </w:rPr>
              <w:t>)</w:t>
            </w:r>
          </w:p>
        </w:tc>
        <w:tc>
          <w:tcPr>
            <w:tcW w:w="1412" w:type="dxa"/>
            <w:tcBorders>
              <w:top w:val="nil"/>
              <w:bottom w:val="nil"/>
            </w:tcBorders>
            <w:shd w:val="clear" w:color="auto" w:fill="auto"/>
            <w:hideMark/>
          </w:tcPr>
          <w:p w14:paraId="582A1B70" w14:textId="77777777" w:rsidR="00D21112" w:rsidRPr="00B25DD3" w:rsidRDefault="004A60FC" w:rsidP="008C6258">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19.6</w:t>
            </w:r>
          </w:p>
        </w:tc>
        <w:tc>
          <w:tcPr>
            <w:tcW w:w="1645" w:type="dxa"/>
            <w:tcBorders>
              <w:top w:val="nil"/>
              <w:bottom w:val="nil"/>
            </w:tcBorders>
          </w:tcPr>
          <w:p w14:paraId="626B7B7D" w14:textId="77777777" w:rsidR="00D21112" w:rsidRPr="00B25DD3" w:rsidRDefault="00C5198F"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In</w:t>
            </w:r>
            <w:r w:rsidR="00D21112" w:rsidRPr="00B25DD3">
              <w:rPr>
                <w:rFonts w:asciiTheme="minorBidi" w:hAnsiTheme="minorBidi" w:cstheme="minorBidi"/>
                <w:sz w:val="18"/>
                <w:szCs w:val="18"/>
              </w:rPr>
              <w:t>crease</w:t>
            </w:r>
          </w:p>
        </w:tc>
      </w:tr>
      <w:tr w:rsidR="00D21112" w:rsidRPr="00802088" w14:paraId="766DFD66" w14:textId="77777777" w:rsidTr="00B25DD3">
        <w:trPr>
          <w:trHeight w:val="360"/>
          <w:jc w:val="center"/>
        </w:trPr>
        <w:tc>
          <w:tcPr>
            <w:tcW w:w="3978" w:type="dxa"/>
            <w:tcBorders>
              <w:top w:val="nil"/>
              <w:bottom w:val="single" w:sz="4" w:space="0" w:color="auto"/>
            </w:tcBorders>
            <w:shd w:val="clear" w:color="auto" w:fill="auto"/>
            <w:noWrap/>
            <w:vAlign w:val="center"/>
          </w:tcPr>
          <w:p w14:paraId="104F5E55" w14:textId="77777777" w:rsidR="00D21112" w:rsidRPr="00B25DD3" w:rsidRDefault="00D53899" w:rsidP="008C6258">
            <w:pPr>
              <w:tabs>
                <w:tab w:val="left" w:pos="9072"/>
              </w:tabs>
              <w:bidi w:val="0"/>
              <w:spacing w:after="0" w:line="240" w:lineRule="auto"/>
              <w:ind w:left="336"/>
              <w:jc w:val="both"/>
              <w:rPr>
                <w:rFonts w:asciiTheme="minorBidi" w:hAnsiTheme="minorBidi" w:cstheme="minorBidi"/>
                <w:b/>
                <w:bCs/>
                <w:sz w:val="18"/>
                <w:szCs w:val="18"/>
              </w:rPr>
            </w:pPr>
            <w:r w:rsidRPr="00B25DD3">
              <w:rPr>
                <w:rFonts w:asciiTheme="minorBidi" w:hAnsiTheme="minorBidi" w:cstheme="minorBidi"/>
                <w:sz w:val="18"/>
                <w:szCs w:val="18"/>
              </w:rPr>
              <w:t>Number of deaths attributed to non-communicable diseases (cardiovascular disease, cancer, diabetes or chronic respiratory disease)(MOH, 2020, number)</w:t>
            </w:r>
          </w:p>
        </w:tc>
        <w:tc>
          <w:tcPr>
            <w:tcW w:w="1304" w:type="dxa"/>
            <w:tcBorders>
              <w:top w:val="nil"/>
              <w:bottom w:val="single" w:sz="4" w:space="0" w:color="auto"/>
            </w:tcBorders>
            <w:shd w:val="clear" w:color="auto" w:fill="auto"/>
            <w:noWrap/>
          </w:tcPr>
          <w:p w14:paraId="4FE29634" w14:textId="77777777" w:rsidR="00D21112" w:rsidRPr="00B25DD3" w:rsidRDefault="00D21112" w:rsidP="00D53899">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single" w:sz="4" w:space="0" w:color="auto"/>
            </w:tcBorders>
          </w:tcPr>
          <w:p w14:paraId="42A932FD" w14:textId="77777777" w:rsidR="00D21112" w:rsidRPr="00B25DD3" w:rsidRDefault="00D21112" w:rsidP="00D53899">
            <w:pPr>
              <w:bidi w:val="0"/>
              <w:spacing w:after="0" w:line="240" w:lineRule="auto"/>
              <w:ind w:right="113"/>
              <w:jc w:val="center"/>
              <w:rPr>
                <w:rFonts w:asciiTheme="minorBidi" w:hAnsiTheme="minorBidi" w:cstheme="minorBidi"/>
                <w:sz w:val="18"/>
                <w:szCs w:val="18"/>
              </w:rPr>
            </w:pPr>
          </w:p>
        </w:tc>
        <w:tc>
          <w:tcPr>
            <w:tcW w:w="1412" w:type="dxa"/>
            <w:tcBorders>
              <w:top w:val="nil"/>
              <w:bottom w:val="single" w:sz="4" w:space="0" w:color="auto"/>
            </w:tcBorders>
            <w:shd w:val="clear" w:color="auto" w:fill="auto"/>
          </w:tcPr>
          <w:p w14:paraId="7015F58A" w14:textId="77777777" w:rsidR="00D21112" w:rsidRPr="00B25DD3" w:rsidRDefault="00D21112" w:rsidP="00D5389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2019</w:t>
            </w:r>
            <w:r w:rsidR="00D33A9F" w:rsidRPr="00B25DD3">
              <w:rPr>
                <w:rFonts w:asciiTheme="minorBidi" w:hAnsiTheme="minorBidi" w:cstheme="minorBidi"/>
                <w:sz w:val="18"/>
                <w:szCs w:val="18"/>
              </w:rPr>
              <w:t>*</w:t>
            </w:r>
          </w:p>
        </w:tc>
        <w:tc>
          <w:tcPr>
            <w:tcW w:w="1645" w:type="dxa"/>
            <w:tcBorders>
              <w:top w:val="nil"/>
              <w:bottom w:val="single" w:sz="4" w:space="0" w:color="auto"/>
            </w:tcBorders>
            <w:vAlign w:val="center"/>
          </w:tcPr>
          <w:p w14:paraId="1579A2FA" w14:textId="77777777" w:rsidR="00D21112" w:rsidRPr="00B25DD3" w:rsidRDefault="00D21112" w:rsidP="008C6258">
            <w:pPr>
              <w:bidi w:val="0"/>
              <w:spacing w:after="0" w:line="240" w:lineRule="auto"/>
              <w:ind w:right="113"/>
              <w:jc w:val="center"/>
              <w:rPr>
                <w:rFonts w:asciiTheme="minorBidi" w:hAnsiTheme="minorBidi" w:cstheme="minorBidi"/>
                <w:sz w:val="18"/>
                <w:szCs w:val="18"/>
              </w:rPr>
            </w:pPr>
          </w:p>
        </w:tc>
      </w:tr>
      <w:tr w:rsidR="00E34CD1" w:rsidRPr="00802088" w14:paraId="40A42466" w14:textId="77777777" w:rsidTr="00B25DD3">
        <w:trPr>
          <w:trHeight w:val="360"/>
          <w:jc w:val="center"/>
        </w:trPr>
        <w:tc>
          <w:tcPr>
            <w:tcW w:w="3978" w:type="dxa"/>
            <w:tcBorders>
              <w:bottom w:val="nil"/>
            </w:tcBorders>
            <w:shd w:val="clear" w:color="auto" w:fill="auto"/>
            <w:noWrap/>
            <w:vAlign w:val="center"/>
          </w:tcPr>
          <w:p w14:paraId="749F352D" w14:textId="77777777" w:rsidR="00E34CD1" w:rsidRPr="00B25DD3" w:rsidRDefault="00E34CD1" w:rsidP="00D53899">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t>Indicator</w:t>
            </w:r>
            <w:r w:rsidRPr="00B25DD3">
              <w:rPr>
                <w:rFonts w:asciiTheme="minorBidi" w:hAnsiTheme="minorBidi" w:cstheme="minorBidi"/>
                <w:b/>
                <w:bCs/>
                <w:sz w:val="18"/>
                <w:szCs w:val="18"/>
              </w:rPr>
              <w:t xml:space="preserve"> 3.4.2 </w:t>
            </w:r>
            <w:r w:rsidRPr="00B25DD3">
              <w:rPr>
                <w:rFonts w:asciiTheme="minorBidi" w:hAnsiTheme="minorBidi" w:cstheme="minorBidi"/>
                <w:sz w:val="18"/>
                <w:szCs w:val="18"/>
              </w:rPr>
              <w:t>Suicide mortality rate</w:t>
            </w:r>
          </w:p>
        </w:tc>
        <w:tc>
          <w:tcPr>
            <w:tcW w:w="1304" w:type="dxa"/>
            <w:tcBorders>
              <w:bottom w:val="nil"/>
            </w:tcBorders>
            <w:shd w:val="clear" w:color="auto" w:fill="auto"/>
            <w:noWrap/>
          </w:tcPr>
          <w:p w14:paraId="1AC7FAC2" w14:textId="77777777" w:rsidR="00E34CD1" w:rsidRPr="00B25DD3" w:rsidRDefault="00E34CD1" w:rsidP="008C6258">
            <w:pPr>
              <w:bidi w:val="0"/>
              <w:spacing w:after="0" w:line="240" w:lineRule="auto"/>
              <w:jc w:val="center"/>
              <w:rPr>
                <w:rFonts w:asciiTheme="minorBidi" w:hAnsiTheme="minorBidi" w:cstheme="minorBidi"/>
                <w:sz w:val="18"/>
                <w:szCs w:val="18"/>
              </w:rPr>
            </w:pPr>
          </w:p>
        </w:tc>
        <w:tc>
          <w:tcPr>
            <w:tcW w:w="1295" w:type="dxa"/>
            <w:tcBorders>
              <w:bottom w:val="nil"/>
            </w:tcBorders>
          </w:tcPr>
          <w:p w14:paraId="04EB9E40"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p>
        </w:tc>
        <w:tc>
          <w:tcPr>
            <w:tcW w:w="1412" w:type="dxa"/>
            <w:tcBorders>
              <w:bottom w:val="nil"/>
            </w:tcBorders>
            <w:shd w:val="clear" w:color="auto" w:fill="auto"/>
          </w:tcPr>
          <w:p w14:paraId="5E22B273"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p>
        </w:tc>
        <w:tc>
          <w:tcPr>
            <w:tcW w:w="1645" w:type="dxa"/>
            <w:tcBorders>
              <w:bottom w:val="nil"/>
            </w:tcBorders>
          </w:tcPr>
          <w:p w14:paraId="7424BE44"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p>
        </w:tc>
      </w:tr>
      <w:tr w:rsidR="00DE2D05" w:rsidRPr="00802088" w14:paraId="02DA890D" w14:textId="77777777" w:rsidTr="00B25DD3">
        <w:trPr>
          <w:trHeight w:val="360"/>
          <w:jc w:val="center"/>
        </w:trPr>
        <w:tc>
          <w:tcPr>
            <w:tcW w:w="3978" w:type="dxa"/>
            <w:tcBorders>
              <w:top w:val="nil"/>
              <w:bottom w:val="nil"/>
            </w:tcBorders>
            <w:shd w:val="clear" w:color="auto" w:fill="auto"/>
            <w:noWrap/>
            <w:vAlign w:val="center"/>
          </w:tcPr>
          <w:p w14:paraId="741533E5" w14:textId="77777777" w:rsidR="00DE2D05" w:rsidRPr="00B25DD3" w:rsidRDefault="007F568E" w:rsidP="007F568E">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Number of deaths attributed to suicide(Palestinian Civil Police, 2021, per 100,000 population)</w:t>
            </w:r>
          </w:p>
        </w:tc>
        <w:tc>
          <w:tcPr>
            <w:tcW w:w="1304" w:type="dxa"/>
            <w:tcBorders>
              <w:top w:val="nil"/>
              <w:bottom w:val="nil"/>
            </w:tcBorders>
            <w:shd w:val="clear" w:color="auto" w:fill="auto"/>
            <w:noWrap/>
          </w:tcPr>
          <w:p w14:paraId="6C74C609" w14:textId="77777777" w:rsidR="00DE2D05" w:rsidRPr="00B25DD3" w:rsidRDefault="007D5691"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tcPr>
          <w:p w14:paraId="56DE2C32" w14:textId="77777777" w:rsidR="00DE2D05" w:rsidRPr="00B25DD3" w:rsidRDefault="00DE2D05"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22 (2020)</w:t>
            </w:r>
          </w:p>
        </w:tc>
        <w:tc>
          <w:tcPr>
            <w:tcW w:w="1412" w:type="dxa"/>
            <w:tcBorders>
              <w:top w:val="nil"/>
              <w:bottom w:val="nil"/>
            </w:tcBorders>
            <w:shd w:val="clear" w:color="auto" w:fill="auto"/>
          </w:tcPr>
          <w:p w14:paraId="24526DC8" w14:textId="77777777" w:rsidR="00DE2D05" w:rsidRPr="00B25DD3" w:rsidRDefault="00DE2D05"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22</w:t>
            </w:r>
          </w:p>
        </w:tc>
        <w:tc>
          <w:tcPr>
            <w:tcW w:w="1645" w:type="dxa"/>
            <w:tcBorders>
              <w:top w:val="nil"/>
              <w:bottom w:val="nil"/>
            </w:tcBorders>
          </w:tcPr>
          <w:p w14:paraId="094A4F8D" w14:textId="77777777" w:rsidR="00DE2D05" w:rsidRPr="00B25DD3" w:rsidRDefault="00DE2D05"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No change</w:t>
            </w:r>
          </w:p>
        </w:tc>
      </w:tr>
      <w:tr w:rsidR="00DE2D05" w:rsidRPr="00802088" w14:paraId="416469D5" w14:textId="77777777" w:rsidTr="00B25DD3">
        <w:trPr>
          <w:trHeight w:val="360"/>
          <w:jc w:val="center"/>
        </w:trPr>
        <w:tc>
          <w:tcPr>
            <w:tcW w:w="3978" w:type="dxa"/>
            <w:tcBorders>
              <w:top w:val="nil"/>
              <w:bottom w:val="single" w:sz="4" w:space="0" w:color="auto"/>
            </w:tcBorders>
            <w:shd w:val="clear" w:color="auto" w:fill="auto"/>
            <w:noWrap/>
            <w:vAlign w:val="center"/>
          </w:tcPr>
          <w:p w14:paraId="14C86D60" w14:textId="77777777" w:rsidR="00DE2D05" w:rsidRPr="00B25DD3" w:rsidRDefault="007F568E" w:rsidP="008C6258">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Suicide mortality rate (deaths per 100,000 population)(Palestinian Civil Police, 2021, per 100,000 population)</w:t>
            </w:r>
          </w:p>
        </w:tc>
        <w:tc>
          <w:tcPr>
            <w:tcW w:w="1304" w:type="dxa"/>
            <w:tcBorders>
              <w:top w:val="nil"/>
              <w:bottom w:val="single" w:sz="4" w:space="0" w:color="auto"/>
            </w:tcBorders>
            <w:shd w:val="clear" w:color="auto" w:fill="auto"/>
            <w:noWrap/>
            <w:vAlign w:val="center"/>
          </w:tcPr>
          <w:p w14:paraId="6818B173" w14:textId="77777777" w:rsidR="00DE2D05" w:rsidRPr="00B25DD3" w:rsidRDefault="007D5691"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single" w:sz="4" w:space="0" w:color="auto"/>
            </w:tcBorders>
            <w:vAlign w:val="center"/>
          </w:tcPr>
          <w:p w14:paraId="165C74C0" w14:textId="77777777" w:rsidR="00DE2D05" w:rsidRPr="00B25DD3" w:rsidRDefault="007D5691"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0.80*(2020)</w:t>
            </w:r>
          </w:p>
        </w:tc>
        <w:tc>
          <w:tcPr>
            <w:tcW w:w="1412" w:type="dxa"/>
            <w:tcBorders>
              <w:top w:val="nil"/>
              <w:bottom w:val="single" w:sz="4" w:space="0" w:color="auto"/>
            </w:tcBorders>
            <w:shd w:val="clear" w:color="auto" w:fill="auto"/>
            <w:vAlign w:val="center"/>
          </w:tcPr>
          <w:p w14:paraId="73F7B9C5" w14:textId="77777777" w:rsidR="00DE2D05" w:rsidRPr="00B25DD3" w:rsidRDefault="00DE2D05"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0.</w:t>
            </w:r>
            <w:r w:rsidR="007D5691" w:rsidRPr="00B25DD3">
              <w:rPr>
                <w:rFonts w:asciiTheme="minorBidi" w:hAnsiTheme="minorBidi" w:cstheme="minorBidi"/>
                <w:sz w:val="18"/>
                <w:szCs w:val="18"/>
              </w:rPr>
              <w:t>80</w:t>
            </w:r>
            <w:r w:rsidRPr="00B25DD3">
              <w:rPr>
                <w:rFonts w:asciiTheme="minorBidi" w:hAnsiTheme="minorBidi" w:cstheme="minorBidi"/>
                <w:sz w:val="18"/>
                <w:szCs w:val="18"/>
              </w:rPr>
              <w:t>*</w:t>
            </w:r>
          </w:p>
        </w:tc>
        <w:tc>
          <w:tcPr>
            <w:tcW w:w="1645" w:type="dxa"/>
            <w:tcBorders>
              <w:top w:val="nil"/>
              <w:bottom w:val="single" w:sz="4" w:space="0" w:color="auto"/>
            </w:tcBorders>
            <w:vAlign w:val="center"/>
          </w:tcPr>
          <w:p w14:paraId="019EBA79" w14:textId="77777777" w:rsidR="00DE2D05" w:rsidRPr="00B25DD3" w:rsidRDefault="007D5691"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No change</w:t>
            </w:r>
          </w:p>
        </w:tc>
      </w:tr>
      <w:tr w:rsidR="00E34CD1" w:rsidRPr="00802088" w14:paraId="1A585840" w14:textId="77777777" w:rsidTr="00B25DD3">
        <w:trPr>
          <w:trHeight w:val="360"/>
          <w:jc w:val="center"/>
        </w:trPr>
        <w:tc>
          <w:tcPr>
            <w:tcW w:w="3978" w:type="dxa"/>
            <w:tcBorders>
              <w:bottom w:val="nil"/>
            </w:tcBorders>
            <w:shd w:val="clear" w:color="auto" w:fill="auto"/>
            <w:noWrap/>
            <w:vAlign w:val="center"/>
            <w:hideMark/>
          </w:tcPr>
          <w:p w14:paraId="443CDADC" w14:textId="77777777" w:rsidR="00E34CD1" w:rsidRPr="00B25DD3" w:rsidRDefault="00E34CD1" w:rsidP="008C6258">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bCs/>
                <w:sz w:val="18"/>
                <w:szCs w:val="18"/>
              </w:rPr>
              <w:t>Indicator  3.6.1</w:t>
            </w:r>
            <w:r w:rsidRPr="00B25DD3">
              <w:rPr>
                <w:rFonts w:asciiTheme="minorBidi" w:hAnsiTheme="minorBidi" w:cstheme="minorBidi"/>
                <w:sz w:val="18"/>
                <w:szCs w:val="18"/>
              </w:rPr>
              <w:t xml:space="preserve">  Death rate due to road traffic injuries</w:t>
            </w:r>
          </w:p>
        </w:tc>
        <w:tc>
          <w:tcPr>
            <w:tcW w:w="1304" w:type="dxa"/>
            <w:tcBorders>
              <w:bottom w:val="nil"/>
            </w:tcBorders>
            <w:shd w:val="clear" w:color="auto" w:fill="auto"/>
            <w:noWrap/>
            <w:hideMark/>
          </w:tcPr>
          <w:p w14:paraId="6DA4FDFD" w14:textId="77777777" w:rsidR="00E34CD1" w:rsidRPr="00B25DD3" w:rsidRDefault="00E34CD1" w:rsidP="008C6258">
            <w:pPr>
              <w:keepNext/>
              <w:keepLines/>
              <w:bidi w:val="0"/>
              <w:spacing w:after="0" w:line="240" w:lineRule="auto"/>
              <w:jc w:val="center"/>
              <w:rPr>
                <w:rFonts w:asciiTheme="minorBidi" w:hAnsiTheme="minorBidi" w:cstheme="minorBidi"/>
                <w:sz w:val="18"/>
                <w:szCs w:val="18"/>
              </w:rPr>
            </w:pPr>
          </w:p>
        </w:tc>
        <w:tc>
          <w:tcPr>
            <w:tcW w:w="1295" w:type="dxa"/>
            <w:tcBorders>
              <w:bottom w:val="nil"/>
            </w:tcBorders>
          </w:tcPr>
          <w:p w14:paraId="6DB0CB78" w14:textId="77777777" w:rsidR="00E34CD1" w:rsidRPr="00B25DD3" w:rsidRDefault="00E34CD1" w:rsidP="008C6258">
            <w:pPr>
              <w:keepNext/>
              <w:keepLines/>
              <w:bidi w:val="0"/>
              <w:spacing w:after="0" w:line="240" w:lineRule="auto"/>
              <w:ind w:right="113"/>
              <w:jc w:val="center"/>
              <w:rPr>
                <w:rFonts w:asciiTheme="minorBidi" w:hAnsiTheme="minorBidi" w:cstheme="minorBidi"/>
                <w:sz w:val="18"/>
                <w:szCs w:val="18"/>
              </w:rPr>
            </w:pPr>
          </w:p>
        </w:tc>
        <w:tc>
          <w:tcPr>
            <w:tcW w:w="1412" w:type="dxa"/>
            <w:tcBorders>
              <w:bottom w:val="nil"/>
            </w:tcBorders>
            <w:shd w:val="clear" w:color="auto" w:fill="auto"/>
            <w:hideMark/>
          </w:tcPr>
          <w:p w14:paraId="327A9E79" w14:textId="77777777" w:rsidR="00E34CD1" w:rsidRPr="00B25DD3" w:rsidRDefault="00E34CD1" w:rsidP="008C6258">
            <w:pPr>
              <w:keepNext/>
              <w:keepLines/>
              <w:bidi w:val="0"/>
              <w:spacing w:after="0" w:line="240" w:lineRule="auto"/>
              <w:ind w:right="113"/>
              <w:jc w:val="center"/>
              <w:rPr>
                <w:rFonts w:asciiTheme="minorBidi" w:hAnsiTheme="minorBidi" w:cstheme="minorBidi"/>
                <w:sz w:val="18"/>
                <w:szCs w:val="18"/>
              </w:rPr>
            </w:pPr>
          </w:p>
        </w:tc>
        <w:tc>
          <w:tcPr>
            <w:tcW w:w="1645" w:type="dxa"/>
            <w:tcBorders>
              <w:bottom w:val="nil"/>
            </w:tcBorders>
          </w:tcPr>
          <w:p w14:paraId="251E66BE" w14:textId="77777777" w:rsidR="00E34CD1" w:rsidRPr="00B25DD3" w:rsidRDefault="00E34CD1" w:rsidP="008C6258">
            <w:pPr>
              <w:keepNext/>
              <w:keepLines/>
              <w:bidi w:val="0"/>
              <w:spacing w:after="0" w:line="240" w:lineRule="auto"/>
              <w:ind w:right="113"/>
              <w:jc w:val="center"/>
              <w:rPr>
                <w:rFonts w:asciiTheme="minorBidi" w:hAnsiTheme="minorBidi" w:cstheme="minorBidi"/>
                <w:sz w:val="18"/>
                <w:szCs w:val="18"/>
              </w:rPr>
            </w:pPr>
          </w:p>
        </w:tc>
      </w:tr>
      <w:tr w:rsidR="00E34CD1" w:rsidRPr="00802088" w14:paraId="31A6BC24" w14:textId="77777777" w:rsidTr="00B25DD3">
        <w:trPr>
          <w:trHeight w:val="360"/>
          <w:jc w:val="center"/>
        </w:trPr>
        <w:tc>
          <w:tcPr>
            <w:tcW w:w="3978" w:type="dxa"/>
            <w:tcBorders>
              <w:top w:val="nil"/>
              <w:bottom w:val="single" w:sz="4" w:space="0" w:color="auto"/>
            </w:tcBorders>
            <w:shd w:val="clear" w:color="auto" w:fill="auto"/>
            <w:noWrap/>
            <w:vAlign w:val="center"/>
            <w:hideMark/>
          </w:tcPr>
          <w:p w14:paraId="4A3E3ED4" w14:textId="77777777" w:rsidR="00E34CD1" w:rsidRPr="00B25DD3" w:rsidRDefault="00E34CD1" w:rsidP="008C6258">
            <w:pPr>
              <w:keepNext/>
              <w:keepLines/>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 xml:space="preserve">Number of deaths due to road traffic fatal injuries per 100,000 population (MOH, 2020, </w:t>
            </w:r>
            <w:r w:rsidRPr="00B25DD3">
              <w:rPr>
                <w:rFonts w:asciiTheme="minorBidi" w:hAnsiTheme="minorBidi" w:cstheme="minorBidi"/>
                <w:color w:val="000000"/>
                <w:sz w:val="18"/>
                <w:szCs w:val="18"/>
              </w:rPr>
              <w:t xml:space="preserve"> rate</w:t>
            </w:r>
            <w:r w:rsidRPr="00B25DD3">
              <w:rPr>
                <w:rFonts w:asciiTheme="minorBidi" w:hAnsiTheme="minorBidi" w:cstheme="minorBidi"/>
                <w:sz w:val="18"/>
                <w:szCs w:val="18"/>
              </w:rPr>
              <w:t>)</w:t>
            </w:r>
          </w:p>
        </w:tc>
        <w:tc>
          <w:tcPr>
            <w:tcW w:w="1304" w:type="dxa"/>
            <w:tcBorders>
              <w:top w:val="nil"/>
              <w:bottom w:val="single" w:sz="4" w:space="0" w:color="auto"/>
            </w:tcBorders>
            <w:shd w:val="clear" w:color="auto" w:fill="auto"/>
            <w:noWrap/>
            <w:hideMark/>
          </w:tcPr>
          <w:p w14:paraId="50FD31F7" w14:textId="77777777" w:rsidR="00E34CD1" w:rsidRPr="00B25DD3" w:rsidRDefault="00E34CD1" w:rsidP="008C6258">
            <w:pPr>
              <w:keepNext/>
              <w:keepLines/>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single" w:sz="4" w:space="0" w:color="auto"/>
            </w:tcBorders>
          </w:tcPr>
          <w:p w14:paraId="1C72C09A" w14:textId="77777777" w:rsidR="00E34CD1" w:rsidRPr="00B25DD3" w:rsidRDefault="00E34CD1" w:rsidP="008C6258">
            <w:pPr>
              <w:keepNext/>
              <w:keepLines/>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3.9 (2019)</w:t>
            </w:r>
          </w:p>
        </w:tc>
        <w:tc>
          <w:tcPr>
            <w:tcW w:w="1412" w:type="dxa"/>
            <w:tcBorders>
              <w:top w:val="nil"/>
              <w:bottom w:val="single" w:sz="4" w:space="0" w:color="auto"/>
            </w:tcBorders>
            <w:shd w:val="clear" w:color="auto" w:fill="auto"/>
            <w:hideMark/>
          </w:tcPr>
          <w:p w14:paraId="79538EB0" w14:textId="77777777" w:rsidR="00E34CD1" w:rsidRPr="00B25DD3" w:rsidRDefault="00E34CD1" w:rsidP="008C6258">
            <w:pPr>
              <w:keepNext/>
              <w:keepLines/>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2.8</w:t>
            </w:r>
          </w:p>
        </w:tc>
        <w:tc>
          <w:tcPr>
            <w:tcW w:w="1645" w:type="dxa"/>
            <w:tcBorders>
              <w:top w:val="nil"/>
              <w:bottom w:val="single" w:sz="4" w:space="0" w:color="auto"/>
            </w:tcBorders>
          </w:tcPr>
          <w:p w14:paraId="1595DF5D" w14:textId="77777777" w:rsidR="00E34CD1" w:rsidRPr="00B25DD3" w:rsidRDefault="00C5198F" w:rsidP="008C6258">
            <w:pPr>
              <w:keepNext/>
              <w:keepLines/>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In</w:t>
            </w:r>
            <w:r w:rsidR="00E34CD1" w:rsidRPr="00B25DD3">
              <w:rPr>
                <w:rFonts w:asciiTheme="minorBidi" w:hAnsiTheme="minorBidi" w:cstheme="minorBidi"/>
                <w:sz w:val="18"/>
                <w:szCs w:val="18"/>
              </w:rPr>
              <w:t>crease</w:t>
            </w:r>
          </w:p>
        </w:tc>
      </w:tr>
      <w:tr w:rsidR="005168F8" w:rsidRPr="00802088" w14:paraId="14ACC1D7" w14:textId="77777777" w:rsidTr="00B25DD3">
        <w:trPr>
          <w:trHeight w:val="360"/>
          <w:jc w:val="center"/>
        </w:trPr>
        <w:tc>
          <w:tcPr>
            <w:tcW w:w="3978" w:type="dxa"/>
            <w:tcBorders>
              <w:bottom w:val="single" w:sz="4" w:space="0" w:color="auto"/>
            </w:tcBorders>
            <w:shd w:val="clear" w:color="auto" w:fill="auto"/>
            <w:noWrap/>
            <w:vAlign w:val="center"/>
            <w:hideMark/>
          </w:tcPr>
          <w:p w14:paraId="648C843F" w14:textId="04D5A2A1" w:rsidR="005168F8" w:rsidRPr="00B25DD3" w:rsidRDefault="005168F8" w:rsidP="008C6258">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bCs/>
                <w:sz w:val="18"/>
                <w:szCs w:val="18"/>
              </w:rPr>
              <w:t>Indicator</w:t>
            </w:r>
            <w:r w:rsidR="00AC7287">
              <w:rPr>
                <w:rFonts w:asciiTheme="minorBidi" w:hAnsiTheme="minorBidi" w:cstheme="minorBidi"/>
                <w:b/>
                <w:bCs/>
                <w:sz w:val="18"/>
                <w:szCs w:val="18"/>
              </w:rPr>
              <w:t xml:space="preserve"> </w:t>
            </w:r>
            <w:r w:rsidRPr="00B25DD3">
              <w:rPr>
                <w:rFonts w:asciiTheme="minorBidi" w:hAnsiTheme="minorBidi" w:cstheme="minorBidi"/>
                <w:b/>
                <w:bCs/>
                <w:sz w:val="18"/>
                <w:szCs w:val="18"/>
              </w:rPr>
              <w:t>3.7.1</w:t>
            </w:r>
            <w:r w:rsidRPr="00B25DD3">
              <w:rPr>
                <w:rFonts w:asciiTheme="minorBidi" w:hAnsiTheme="minorBidi" w:cstheme="minorBidi"/>
                <w:sz w:val="18"/>
                <w:szCs w:val="18"/>
              </w:rPr>
              <w:t xml:space="preserve"> Proportion of women of reproductive age (aged 15-49 years) </w:t>
            </w:r>
            <w:r w:rsidR="00B3098A" w:rsidRPr="00B25DD3">
              <w:rPr>
                <w:rFonts w:asciiTheme="minorBidi" w:hAnsiTheme="minorBidi" w:cstheme="minorBidi"/>
                <w:sz w:val="18"/>
                <w:szCs w:val="18"/>
              </w:rPr>
              <w:t>that</w:t>
            </w:r>
            <w:r w:rsidRPr="00B25DD3">
              <w:rPr>
                <w:rFonts w:asciiTheme="minorBidi" w:hAnsiTheme="minorBidi" w:cstheme="minorBidi"/>
                <w:sz w:val="18"/>
                <w:szCs w:val="18"/>
              </w:rPr>
              <w:t xml:space="preserve"> have their need</w:t>
            </w:r>
            <w:r w:rsidR="00B3098A" w:rsidRPr="00B25DD3">
              <w:rPr>
                <w:rFonts w:asciiTheme="minorBidi" w:hAnsiTheme="minorBidi" w:cstheme="minorBidi"/>
                <w:sz w:val="18"/>
                <w:szCs w:val="18"/>
              </w:rPr>
              <w:t>s</w:t>
            </w:r>
            <w:r w:rsidRPr="00B25DD3">
              <w:rPr>
                <w:rFonts w:asciiTheme="minorBidi" w:hAnsiTheme="minorBidi" w:cstheme="minorBidi"/>
                <w:sz w:val="18"/>
                <w:szCs w:val="18"/>
              </w:rPr>
              <w:t xml:space="preserve"> for family planning satisfied with modern methods</w:t>
            </w:r>
            <w:r w:rsidR="00104314" w:rsidRPr="00B25DD3">
              <w:rPr>
                <w:rFonts w:asciiTheme="minorBidi" w:hAnsiTheme="minorBidi" w:cstheme="minorBidi"/>
                <w:sz w:val="18"/>
                <w:szCs w:val="18"/>
              </w:rPr>
              <w:t>(PCBS, 2019, Percentage)</w:t>
            </w:r>
          </w:p>
        </w:tc>
        <w:tc>
          <w:tcPr>
            <w:tcW w:w="1304" w:type="dxa"/>
            <w:tcBorders>
              <w:bottom w:val="single" w:sz="4" w:space="0" w:color="auto"/>
            </w:tcBorders>
            <w:shd w:val="clear" w:color="auto" w:fill="auto"/>
            <w:noWrap/>
            <w:vAlign w:val="center"/>
            <w:hideMark/>
          </w:tcPr>
          <w:p w14:paraId="7DBA568D" w14:textId="77777777" w:rsidR="005168F8" w:rsidRPr="00B25DD3" w:rsidRDefault="005168F8"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bottom w:val="single" w:sz="4" w:space="0" w:color="auto"/>
            </w:tcBorders>
            <w:vAlign w:val="center"/>
          </w:tcPr>
          <w:p w14:paraId="70974E1D" w14:textId="77777777" w:rsidR="005168F8" w:rsidRPr="00B25DD3" w:rsidRDefault="005168F8"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66.9 (2014)</w:t>
            </w:r>
          </w:p>
        </w:tc>
        <w:tc>
          <w:tcPr>
            <w:tcW w:w="1412" w:type="dxa"/>
            <w:tcBorders>
              <w:bottom w:val="single" w:sz="4" w:space="0" w:color="auto"/>
            </w:tcBorders>
            <w:shd w:val="clear" w:color="auto" w:fill="auto"/>
            <w:vAlign w:val="center"/>
            <w:hideMark/>
          </w:tcPr>
          <w:p w14:paraId="779CA824" w14:textId="77777777" w:rsidR="005168F8" w:rsidRPr="00B25DD3" w:rsidRDefault="005168F8"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61.0</w:t>
            </w:r>
          </w:p>
        </w:tc>
        <w:tc>
          <w:tcPr>
            <w:tcW w:w="1645" w:type="dxa"/>
            <w:tcBorders>
              <w:bottom w:val="single" w:sz="4" w:space="0" w:color="auto"/>
            </w:tcBorders>
            <w:vAlign w:val="center"/>
          </w:tcPr>
          <w:p w14:paraId="4FEB65C9" w14:textId="77777777" w:rsidR="005168F8" w:rsidRPr="00B25DD3" w:rsidRDefault="005168F8"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decrease</w:t>
            </w:r>
          </w:p>
        </w:tc>
      </w:tr>
      <w:tr w:rsidR="00E34CD1" w:rsidRPr="00802088" w14:paraId="63EE9028" w14:textId="77777777" w:rsidTr="00B25DD3">
        <w:trPr>
          <w:trHeight w:val="360"/>
          <w:jc w:val="center"/>
        </w:trPr>
        <w:tc>
          <w:tcPr>
            <w:tcW w:w="3978" w:type="dxa"/>
            <w:tcBorders>
              <w:top w:val="single" w:sz="4" w:space="0" w:color="auto"/>
              <w:bottom w:val="nil"/>
            </w:tcBorders>
            <w:shd w:val="clear" w:color="auto" w:fill="auto"/>
            <w:noWrap/>
            <w:vAlign w:val="center"/>
            <w:hideMark/>
          </w:tcPr>
          <w:p w14:paraId="42950536" w14:textId="12CCAD5E" w:rsidR="00E34CD1" w:rsidRPr="00B25DD3" w:rsidRDefault="00E34CD1" w:rsidP="008C6258">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t>Indicator</w:t>
            </w:r>
            <w:r w:rsidR="00AC7287">
              <w:rPr>
                <w:rFonts w:asciiTheme="minorBidi" w:hAnsiTheme="minorBidi" w:cstheme="minorBidi"/>
                <w:b/>
                <w:sz w:val="18"/>
                <w:szCs w:val="18"/>
              </w:rPr>
              <w:t xml:space="preserve"> </w:t>
            </w:r>
            <w:r w:rsidRPr="00B25DD3">
              <w:rPr>
                <w:rFonts w:asciiTheme="minorBidi" w:hAnsiTheme="minorBidi" w:cstheme="minorBidi"/>
                <w:b/>
                <w:bCs/>
                <w:sz w:val="18"/>
                <w:szCs w:val="18"/>
              </w:rPr>
              <w:t xml:space="preserve">3.7.2 </w:t>
            </w:r>
            <w:r w:rsidRPr="00B25DD3">
              <w:rPr>
                <w:rFonts w:asciiTheme="minorBidi" w:hAnsiTheme="minorBidi" w:cstheme="minorBidi"/>
                <w:sz w:val="18"/>
                <w:szCs w:val="18"/>
              </w:rPr>
              <w:t>Adolescent birth rate (age</w:t>
            </w:r>
            <w:r w:rsidR="00B3098A" w:rsidRPr="00B25DD3">
              <w:rPr>
                <w:rFonts w:asciiTheme="minorBidi" w:hAnsiTheme="minorBidi" w:cstheme="minorBidi"/>
                <w:sz w:val="18"/>
                <w:szCs w:val="18"/>
              </w:rPr>
              <w:t>s</w:t>
            </w:r>
            <w:r w:rsidRPr="00B25DD3">
              <w:rPr>
                <w:rFonts w:asciiTheme="minorBidi" w:hAnsiTheme="minorBidi" w:cstheme="minorBidi"/>
                <w:sz w:val="18"/>
                <w:szCs w:val="18"/>
              </w:rPr>
              <w:t xml:space="preserve"> 10-14 years; age</w:t>
            </w:r>
            <w:r w:rsidR="00B3098A" w:rsidRPr="00B25DD3">
              <w:rPr>
                <w:rFonts w:asciiTheme="minorBidi" w:hAnsiTheme="minorBidi" w:cstheme="minorBidi"/>
                <w:sz w:val="18"/>
                <w:szCs w:val="18"/>
              </w:rPr>
              <w:t>s</w:t>
            </w:r>
            <w:r w:rsidRPr="00B25DD3">
              <w:rPr>
                <w:rFonts w:asciiTheme="minorBidi" w:hAnsiTheme="minorBidi" w:cstheme="minorBidi"/>
                <w:sz w:val="18"/>
                <w:szCs w:val="18"/>
              </w:rPr>
              <w:t xml:space="preserve"> 15-19 years) per 1,000 women in that age group</w:t>
            </w:r>
          </w:p>
        </w:tc>
        <w:tc>
          <w:tcPr>
            <w:tcW w:w="1304" w:type="dxa"/>
            <w:tcBorders>
              <w:top w:val="single" w:sz="4" w:space="0" w:color="auto"/>
              <w:bottom w:val="nil"/>
            </w:tcBorders>
            <w:shd w:val="clear" w:color="auto" w:fill="auto"/>
            <w:noWrap/>
            <w:hideMark/>
          </w:tcPr>
          <w:p w14:paraId="69F5B39E" w14:textId="77777777" w:rsidR="00E34CD1" w:rsidRPr="00B25DD3" w:rsidRDefault="00E34CD1" w:rsidP="008C6258">
            <w:pPr>
              <w:bidi w:val="0"/>
              <w:spacing w:after="0" w:line="240" w:lineRule="auto"/>
              <w:jc w:val="center"/>
              <w:rPr>
                <w:rFonts w:asciiTheme="minorBidi" w:hAnsiTheme="minorBidi" w:cstheme="minorBidi"/>
                <w:sz w:val="18"/>
                <w:szCs w:val="18"/>
              </w:rPr>
            </w:pPr>
          </w:p>
        </w:tc>
        <w:tc>
          <w:tcPr>
            <w:tcW w:w="1295" w:type="dxa"/>
            <w:tcBorders>
              <w:top w:val="single" w:sz="4" w:space="0" w:color="auto"/>
              <w:bottom w:val="nil"/>
            </w:tcBorders>
          </w:tcPr>
          <w:p w14:paraId="11F8ADC9"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p>
        </w:tc>
        <w:tc>
          <w:tcPr>
            <w:tcW w:w="1412" w:type="dxa"/>
            <w:tcBorders>
              <w:top w:val="single" w:sz="4" w:space="0" w:color="auto"/>
              <w:bottom w:val="nil"/>
            </w:tcBorders>
            <w:shd w:val="clear" w:color="auto" w:fill="auto"/>
            <w:hideMark/>
          </w:tcPr>
          <w:p w14:paraId="0C2FB564"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p>
        </w:tc>
        <w:tc>
          <w:tcPr>
            <w:tcW w:w="1645" w:type="dxa"/>
            <w:tcBorders>
              <w:top w:val="single" w:sz="4" w:space="0" w:color="auto"/>
              <w:bottom w:val="nil"/>
            </w:tcBorders>
          </w:tcPr>
          <w:p w14:paraId="1D4E67BD"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p>
        </w:tc>
      </w:tr>
      <w:tr w:rsidR="00E34CD1" w:rsidRPr="00802088" w14:paraId="60C6449B" w14:textId="77777777" w:rsidTr="00B25DD3">
        <w:trPr>
          <w:trHeight w:val="360"/>
          <w:jc w:val="center"/>
        </w:trPr>
        <w:tc>
          <w:tcPr>
            <w:tcW w:w="3978" w:type="dxa"/>
            <w:tcBorders>
              <w:top w:val="nil"/>
              <w:bottom w:val="single" w:sz="4" w:space="0" w:color="auto"/>
            </w:tcBorders>
            <w:shd w:val="clear" w:color="auto" w:fill="auto"/>
            <w:noWrap/>
            <w:vAlign w:val="center"/>
            <w:hideMark/>
          </w:tcPr>
          <w:p w14:paraId="521D27D8" w14:textId="77777777" w:rsidR="00E34CD1" w:rsidRPr="00B25DD3" w:rsidRDefault="00E34CD1" w:rsidP="008C6258">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Adolescent birth rate age</w:t>
            </w:r>
            <w:r w:rsidR="00B3098A" w:rsidRPr="00B25DD3">
              <w:rPr>
                <w:rFonts w:asciiTheme="minorBidi" w:hAnsiTheme="minorBidi" w:cstheme="minorBidi"/>
                <w:sz w:val="18"/>
                <w:szCs w:val="18"/>
              </w:rPr>
              <w:t>s</w:t>
            </w:r>
            <w:r w:rsidRPr="00B25DD3">
              <w:rPr>
                <w:rFonts w:asciiTheme="minorBidi" w:hAnsiTheme="minorBidi" w:cstheme="minorBidi"/>
                <w:sz w:val="18"/>
                <w:szCs w:val="18"/>
              </w:rPr>
              <w:t xml:space="preserve"> (15-19 years) per 1,000 women in that age group (PCBS, 2019, rate)</w:t>
            </w:r>
          </w:p>
        </w:tc>
        <w:tc>
          <w:tcPr>
            <w:tcW w:w="1304" w:type="dxa"/>
            <w:tcBorders>
              <w:top w:val="nil"/>
              <w:bottom w:val="single" w:sz="4" w:space="0" w:color="auto"/>
            </w:tcBorders>
            <w:shd w:val="clear" w:color="auto" w:fill="auto"/>
            <w:noWrap/>
            <w:hideMark/>
          </w:tcPr>
          <w:p w14:paraId="438E7717" w14:textId="77777777" w:rsidR="00E34CD1" w:rsidRPr="00B25DD3" w:rsidRDefault="00E34CD1"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single" w:sz="4" w:space="0" w:color="auto"/>
            </w:tcBorders>
          </w:tcPr>
          <w:p w14:paraId="4B7B7D3B" w14:textId="77777777" w:rsidR="00E34CD1" w:rsidRPr="00B25DD3" w:rsidRDefault="00E34CD1"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48.0 (2014)</w:t>
            </w:r>
          </w:p>
        </w:tc>
        <w:tc>
          <w:tcPr>
            <w:tcW w:w="1412" w:type="dxa"/>
            <w:tcBorders>
              <w:top w:val="nil"/>
              <w:bottom w:val="single" w:sz="4" w:space="0" w:color="auto"/>
            </w:tcBorders>
            <w:shd w:val="clear" w:color="auto" w:fill="auto"/>
            <w:hideMark/>
          </w:tcPr>
          <w:p w14:paraId="5B800C09" w14:textId="77777777" w:rsidR="00E34CD1" w:rsidRPr="00B25DD3" w:rsidRDefault="00E34CD1" w:rsidP="008C6258">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42.8</w:t>
            </w:r>
          </w:p>
        </w:tc>
        <w:tc>
          <w:tcPr>
            <w:tcW w:w="1645" w:type="dxa"/>
            <w:tcBorders>
              <w:top w:val="nil"/>
              <w:bottom w:val="single" w:sz="4" w:space="0" w:color="auto"/>
            </w:tcBorders>
          </w:tcPr>
          <w:p w14:paraId="5A5A99AC" w14:textId="77777777" w:rsidR="00E34CD1" w:rsidRPr="00B25DD3" w:rsidRDefault="00C5198F"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In</w:t>
            </w:r>
            <w:r w:rsidR="00E34CD1" w:rsidRPr="00B25DD3">
              <w:rPr>
                <w:rFonts w:asciiTheme="minorBidi" w:hAnsiTheme="minorBidi" w:cstheme="minorBidi"/>
                <w:sz w:val="18"/>
                <w:szCs w:val="18"/>
              </w:rPr>
              <w:t>crease</w:t>
            </w:r>
          </w:p>
        </w:tc>
      </w:tr>
      <w:tr w:rsidR="005473F8" w:rsidRPr="00802088" w14:paraId="7587972F" w14:textId="77777777" w:rsidTr="00B25DD3">
        <w:trPr>
          <w:trHeight w:val="360"/>
          <w:jc w:val="center"/>
        </w:trPr>
        <w:tc>
          <w:tcPr>
            <w:tcW w:w="3978" w:type="dxa"/>
            <w:tcBorders>
              <w:bottom w:val="single" w:sz="4" w:space="0" w:color="auto"/>
            </w:tcBorders>
            <w:shd w:val="clear" w:color="auto" w:fill="auto"/>
            <w:noWrap/>
            <w:vAlign w:val="center"/>
          </w:tcPr>
          <w:p w14:paraId="3142E871" w14:textId="77777777" w:rsidR="00A42BA0" w:rsidRDefault="005473F8" w:rsidP="001F12C6">
            <w:pPr>
              <w:tabs>
                <w:tab w:val="left" w:pos="9072"/>
              </w:tabs>
              <w:bidi w:val="0"/>
              <w:spacing w:after="0" w:line="240" w:lineRule="auto"/>
              <w:rPr>
                <w:rFonts w:asciiTheme="minorBidi" w:hAnsiTheme="minorBidi" w:cstheme="minorBidi"/>
                <w:bCs/>
                <w:sz w:val="18"/>
                <w:szCs w:val="18"/>
              </w:rPr>
            </w:pPr>
            <w:r w:rsidRPr="00B25DD3">
              <w:rPr>
                <w:rFonts w:asciiTheme="minorBidi" w:hAnsiTheme="minorBidi" w:cstheme="minorBidi"/>
                <w:b/>
                <w:sz w:val="18"/>
                <w:szCs w:val="18"/>
              </w:rPr>
              <w:t xml:space="preserve">Indicator </w:t>
            </w:r>
            <w:r w:rsidRPr="00B25DD3">
              <w:rPr>
                <w:rFonts w:asciiTheme="minorBidi" w:hAnsiTheme="minorBidi" w:cstheme="minorBidi"/>
                <w:b/>
                <w:bCs/>
                <w:sz w:val="18"/>
                <w:szCs w:val="18"/>
              </w:rPr>
              <w:t xml:space="preserve">3.8.1 </w:t>
            </w:r>
            <w:r w:rsidRPr="00B25DD3">
              <w:rPr>
                <w:rFonts w:asciiTheme="minorBidi" w:hAnsiTheme="minorBidi" w:cstheme="minorBidi"/>
                <w:bCs/>
                <w:sz w:val="18"/>
                <w:szCs w:val="18"/>
              </w:rPr>
              <w:t>Universal health coverage (UHC) service coverage index(WHO, 2019, Index)</w:t>
            </w:r>
          </w:p>
          <w:p w14:paraId="6EDC13BC" w14:textId="77777777" w:rsidR="00446CF3" w:rsidRDefault="00446CF3" w:rsidP="00446CF3">
            <w:pPr>
              <w:tabs>
                <w:tab w:val="left" w:pos="9072"/>
              </w:tabs>
              <w:bidi w:val="0"/>
              <w:spacing w:after="0" w:line="240" w:lineRule="auto"/>
              <w:rPr>
                <w:rFonts w:asciiTheme="minorBidi" w:hAnsiTheme="minorBidi" w:cstheme="minorBidi"/>
                <w:bCs/>
                <w:sz w:val="18"/>
                <w:szCs w:val="18"/>
              </w:rPr>
            </w:pPr>
          </w:p>
          <w:p w14:paraId="0BEE0797" w14:textId="77777777" w:rsidR="00446CF3" w:rsidRDefault="00446CF3" w:rsidP="00446CF3">
            <w:pPr>
              <w:tabs>
                <w:tab w:val="left" w:pos="9072"/>
              </w:tabs>
              <w:bidi w:val="0"/>
              <w:spacing w:after="0" w:line="240" w:lineRule="auto"/>
              <w:rPr>
                <w:rFonts w:asciiTheme="minorBidi" w:hAnsiTheme="minorBidi" w:cstheme="minorBidi"/>
                <w:bCs/>
                <w:sz w:val="18"/>
                <w:szCs w:val="18"/>
              </w:rPr>
            </w:pPr>
          </w:p>
          <w:p w14:paraId="45A5DBBC" w14:textId="77777777" w:rsidR="00446CF3" w:rsidRPr="00B25DD3" w:rsidRDefault="00446CF3" w:rsidP="00446CF3">
            <w:pPr>
              <w:tabs>
                <w:tab w:val="left" w:pos="9072"/>
              </w:tabs>
              <w:bidi w:val="0"/>
              <w:spacing w:after="0" w:line="240" w:lineRule="auto"/>
              <w:rPr>
                <w:rFonts w:asciiTheme="minorBidi" w:hAnsiTheme="minorBidi" w:cstheme="minorBidi"/>
                <w:bCs/>
                <w:sz w:val="18"/>
                <w:szCs w:val="18"/>
              </w:rPr>
            </w:pPr>
          </w:p>
        </w:tc>
        <w:tc>
          <w:tcPr>
            <w:tcW w:w="1304" w:type="dxa"/>
            <w:tcBorders>
              <w:bottom w:val="single" w:sz="4" w:space="0" w:color="auto"/>
            </w:tcBorders>
            <w:shd w:val="clear" w:color="auto" w:fill="auto"/>
            <w:noWrap/>
          </w:tcPr>
          <w:p w14:paraId="06EB97C3" w14:textId="77777777" w:rsidR="005473F8" w:rsidRPr="00B25DD3" w:rsidRDefault="005473F8"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bottom w:val="single" w:sz="4" w:space="0" w:color="auto"/>
            </w:tcBorders>
            <w:shd w:val="clear" w:color="auto" w:fill="auto"/>
          </w:tcPr>
          <w:p w14:paraId="1729CCDD" w14:textId="77777777" w:rsidR="005473F8" w:rsidRPr="00B25DD3" w:rsidRDefault="005473F8"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69 (2017)</w:t>
            </w:r>
          </w:p>
        </w:tc>
        <w:tc>
          <w:tcPr>
            <w:tcW w:w="1412" w:type="dxa"/>
            <w:tcBorders>
              <w:bottom w:val="single" w:sz="4" w:space="0" w:color="auto"/>
            </w:tcBorders>
            <w:shd w:val="clear" w:color="auto" w:fill="auto"/>
          </w:tcPr>
          <w:p w14:paraId="39A4F687" w14:textId="77777777" w:rsidR="005473F8" w:rsidRPr="00B25DD3" w:rsidRDefault="005473F8"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65</w:t>
            </w:r>
          </w:p>
        </w:tc>
        <w:tc>
          <w:tcPr>
            <w:tcW w:w="1645" w:type="dxa"/>
            <w:tcBorders>
              <w:bottom w:val="single" w:sz="4" w:space="0" w:color="auto"/>
            </w:tcBorders>
            <w:shd w:val="clear" w:color="auto" w:fill="auto"/>
          </w:tcPr>
          <w:p w14:paraId="08927462" w14:textId="77777777" w:rsidR="005473F8" w:rsidRPr="00B25DD3" w:rsidRDefault="00B3098A"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D</w:t>
            </w:r>
            <w:r w:rsidR="007A0125" w:rsidRPr="00B25DD3">
              <w:rPr>
                <w:rFonts w:asciiTheme="minorBidi" w:hAnsiTheme="minorBidi" w:cstheme="minorBidi"/>
                <w:sz w:val="18"/>
                <w:szCs w:val="18"/>
              </w:rPr>
              <w:t>ecrease</w:t>
            </w:r>
          </w:p>
        </w:tc>
      </w:tr>
      <w:tr w:rsidR="00A42BA0" w:rsidRPr="00802088" w14:paraId="37D46BDF" w14:textId="77777777" w:rsidTr="00B25DD3">
        <w:trPr>
          <w:trHeight w:val="631"/>
          <w:jc w:val="center"/>
        </w:trPr>
        <w:tc>
          <w:tcPr>
            <w:tcW w:w="3978" w:type="dxa"/>
            <w:tcBorders>
              <w:top w:val="single" w:sz="4" w:space="0" w:color="auto"/>
              <w:bottom w:val="nil"/>
            </w:tcBorders>
            <w:shd w:val="clear" w:color="auto" w:fill="auto"/>
            <w:noWrap/>
            <w:hideMark/>
          </w:tcPr>
          <w:p w14:paraId="6DBFE021" w14:textId="77777777" w:rsidR="00A42BA0" w:rsidRPr="00B25DD3" w:rsidRDefault="00A42BA0" w:rsidP="004D0DC1">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lastRenderedPageBreak/>
              <w:t>Indicator</w:t>
            </w:r>
            <w:r w:rsidRPr="00B25DD3">
              <w:rPr>
                <w:rFonts w:asciiTheme="minorBidi" w:hAnsiTheme="minorBidi" w:cstheme="minorBidi"/>
                <w:b/>
                <w:bCs/>
                <w:sz w:val="18"/>
                <w:szCs w:val="18"/>
              </w:rPr>
              <w:t xml:space="preserve"> 3.8.2</w:t>
            </w:r>
            <w:r w:rsidRPr="00B25DD3">
              <w:rPr>
                <w:rFonts w:asciiTheme="minorBidi" w:hAnsiTheme="minorBidi" w:cstheme="minorBidi"/>
                <w:sz w:val="18"/>
                <w:szCs w:val="18"/>
              </w:rPr>
              <w:t xml:space="preserve"> Proportion of population with large household expenditures on health as a share of total </w:t>
            </w:r>
            <w:r w:rsidR="004D0DC1" w:rsidRPr="00B25DD3">
              <w:rPr>
                <w:rFonts w:asciiTheme="minorBidi" w:hAnsiTheme="minorBidi" w:cstheme="minorBidi"/>
                <w:sz w:val="18"/>
                <w:szCs w:val="18"/>
              </w:rPr>
              <w:t>household expenditure or income</w:t>
            </w:r>
          </w:p>
        </w:tc>
        <w:tc>
          <w:tcPr>
            <w:tcW w:w="1304" w:type="dxa"/>
            <w:tcBorders>
              <w:top w:val="single" w:sz="4" w:space="0" w:color="auto"/>
              <w:bottom w:val="nil"/>
            </w:tcBorders>
            <w:shd w:val="clear" w:color="auto" w:fill="auto"/>
            <w:noWrap/>
            <w:hideMark/>
          </w:tcPr>
          <w:p w14:paraId="75064E24" w14:textId="77777777" w:rsidR="00A42BA0" w:rsidRPr="00B25DD3" w:rsidRDefault="00A42BA0" w:rsidP="008C6258">
            <w:pPr>
              <w:bidi w:val="0"/>
              <w:spacing w:after="0" w:line="240" w:lineRule="auto"/>
              <w:jc w:val="center"/>
              <w:rPr>
                <w:rFonts w:asciiTheme="minorBidi" w:hAnsiTheme="minorBidi" w:cstheme="minorBidi"/>
                <w:sz w:val="18"/>
                <w:szCs w:val="18"/>
              </w:rPr>
            </w:pPr>
          </w:p>
        </w:tc>
        <w:tc>
          <w:tcPr>
            <w:tcW w:w="1295" w:type="dxa"/>
            <w:tcBorders>
              <w:top w:val="single" w:sz="4" w:space="0" w:color="auto"/>
              <w:bottom w:val="nil"/>
            </w:tcBorders>
          </w:tcPr>
          <w:p w14:paraId="0DF0BA89" w14:textId="77777777" w:rsidR="00A42BA0" w:rsidRPr="00B25DD3" w:rsidRDefault="00A42BA0" w:rsidP="008C6258">
            <w:pPr>
              <w:bidi w:val="0"/>
              <w:spacing w:after="0" w:line="240" w:lineRule="auto"/>
              <w:ind w:right="113"/>
              <w:jc w:val="center"/>
              <w:rPr>
                <w:rFonts w:asciiTheme="minorBidi" w:hAnsiTheme="minorBidi" w:cstheme="minorBidi"/>
                <w:sz w:val="18"/>
                <w:szCs w:val="18"/>
              </w:rPr>
            </w:pPr>
          </w:p>
        </w:tc>
        <w:tc>
          <w:tcPr>
            <w:tcW w:w="1412" w:type="dxa"/>
            <w:tcBorders>
              <w:top w:val="single" w:sz="4" w:space="0" w:color="auto"/>
              <w:bottom w:val="nil"/>
            </w:tcBorders>
            <w:shd w:val="clear" w:color="auto" w:fill="auto"/>
            <w:hideMark/>
          </w:tcPr>
          <w:p w14:paraId="6730CC32" w14:textId="77777777" w:rsidR="00A42BA0" w:rsidRPr="00B25DD3" w:rsidRDefault="00A42BA0" w:rsidP="008C6258">
            <w:pPr>
              <w:bidi w:val="0"/>
              <w:spacing w:after="0" w:line="240" w:lineRule="auto"/>
              <w:ind w:right="113"/>
              <w:jc w:val="center"/>
              <w:rPr>
                <w:rFonts w:asciiTheme="minorBidi" w:hAnsiTheme="minorBidi" w:cstheme="minorBidi"/>
                <w:sz w:val="18"/>
                <w:szCs w:val="18"/>
              </w:rPr>
            </w:pPr>
          </w:p>
        </w:tc>
        <w:tc>
          <w:tcPr>
            <w:tcW w:w="1645" w:type="dxa"/>
            <w:tcBorders>
              <w:top w:val="single" w:sz="4" w:space="0" w:color="auto"/>
              <w:bottom w:val="nil"/>
            </w:tcBorders>
          </w:tcPr>
          <w:p w14:paraId="56167D5E" w14:textId="77777777" w:rsidR="00A42BA0" w:rsidRPr="00B25DD3" w:rsidRDefault="00A42BA0" w:rsidP="008C6258">
            <w:pPr>
              <w:bidi w:val="0"/>
              <w:spacing w:after="0" w:line="240" w:lineRule="auto"/>
              <w:ind w:right="113"/>
              <w:jc w:val="center"/>
              <w:rPr>
                <w:rFonts w:asciiTheme="minorBidi" w:hAnsiTheme="minorBidi" w:cstheme="minorBidi"/>
                <w:sz w:val="18"/>
                <w:szCs w:val="18"/>
              </w:rPr>
            </w:pPr>
          </w:p>
        </w:tc>
      </w:tr>
      <w:tr w:rsidR="00E60F8B" w:rsidRPr="00802088" w14:paraId="2B07C015" w14:textId="77777777" w:rsidTr="00B25DD3">
        <w:trPr>
          <w:trHeight w:val="718"/>
          <w:jc w:val="center"/>
        </w:trPr>
        <w:tc>
          <w:tcPr>
            <w:tcW w:w="3978" w:type="dxa"/>
            <w:tcBorders>
              <w:top w:val="nil"/>
              <w:bottom w:val="nil"/>
            </w:tcBorders>
            <w:shd w:val="clear" w:color="auto" w:fill="auto"/>
            <w:noWrap/>
            <w:vAlign w:val="center"/>
          </w:tcPr>
          <w:p w14:paraId="6B3B12FD" w14:textId="77777777" w:rsidR="00E60F8B" w:rsidRPr="00B25DD3" w:rsidRDefault="006C7559" w:rsidP="0016618C">
            <w:pPr>
              <w:tabs>
                <w:tab w:val="left" w:pos="9072"/>
              </w:tabs>
              <w:bidi w:val="0"/>
              <w:spacing w:after="0" w:line="240" w:lineRule="auto"/>
              <w:ind w:left="336"/>
              <w:jc w:val="both"/>
              <w:rPr>
                <w:rFonts w:asciiTheme="minorBidi" w:hAnsiTheme="minorBidi" w:cstheme="minorBidi"/>
                <w:bCs/>
                <w:sz w:val="18"/>
                <w:szCs w:val="18"/>
              </w:rPr>
            </w:pPr>
            <w:r w:rsidRPr="00B25DD3">
              <w:rPr>
                <w:rFonts w:asciiTheme="minorBidi" w:hAnsiTheme="minorBidi" w:cstheme="minorBidi"/>
                <w:sz w:val="18"/>
                <w:szCs w:val="18"/>
              </w:rPr>
              <w:t xml:space="preserve">Proportion of population with large household                expenditures on </w:t>
            </w:r>
            <w:r w:rsidR="00E665C5" w:rsidRPr="00B25DD3">
              <w:rPr>
                <w:rFonts w:asciiTheme="minorBidi" w:hAnsiTheme="minorBidi" w:cstheme="minorBidi"/>
                <w:sz w:val="18"/>
                <w:szCs w:val="18"/>
              </w:rPr>
              <w:t xml:space="preserve">health more than 10% of total household expenditure </w:t>
            </w:r>
            <w:r w:rsidRPr="00B25DD3">
              <w:rPr>
                <w:rFonts w:asciiTheme="minorBidi" w:hAnsiTheme="minorBidi" w:cstheme="minorBidi"/>
                <w:sz w:val="18"/>
                <w:szCs w:val="18"/>
              </w:rPr>
              <w:t>(</w:t>
            </w:r>
            <w:r w:rsidR="0016618C" w:rsidRPr="00B25DD3">
              <w:rPr>
                <w:rFonts w:asciiTheme="minorBidi" w:hAnsiTheme="minorBidi" w:cstheme="minorBidi"/>
                <w:sz w:val="18"/>
                <w:szCs w:val="18"/>
              </w:rPr>
              <w:t xml:space="preserve">PCBS, </w:t>
            </w:r>
            <w:r w:rsidRPr="00B25DD3">
              <w:rPr>
                <w:rFonts w:asciiTheme="minorBidi" w:hAnsiTheme="minorBidi" w:cstheme="minorBidi"/>
                <w:sz w:val="18"/>
                <w:szCs w:val="18"/>
              </w:rPr>
              <w:t xml:space="preserve">2017, </w:t>
            </w:r>
            <w:r w:rsidR="00B3098A" w:rsidRPr="00B25DD3">
              <w:rPr>
                <w:rFonts w:asciiTheme="minorBidi" w:hAnsiTheme="minorBidi" w:cstheme="minorBidi"/>
                <w:sz w:val="18"/>
                <w:szCs w:val="18"/>
              </w:rPr>
              <w:t>p</w:t>
            </w:r>
            <w:r w:rsidRPr="00B25DD3">
              <w:rPr>
                <w:rFonts w:asciiTheme="minorBidi" w:hAnsiTheme="minorBidi" w:cstheme="minorBidi"/>
                <w:sz w:val="18"/>
                <w:szCs w:val="18"/>
              </w:rPr>
              <w:t>ercentage)</w:t>
            </w:r>
          </w:p>
        </w:tc>
        <w:tc>
          <w:tcPr>
            <w:tcW w:w="1304" w:type="dxa"/>
            <w:tcBorders>
              <w:top w:val="nil"/>
              <w:bottom w:val="nil"/>
            </w:tcBorders>
            <w:shd w:val="clear" w:color="auto" w:fill="auto"/>
            <w:noWrap/>
            <w:vAlign w:val="center"/>
          </w:tcPr>
          <w:p w14:paraId="545470F7" w14:textId="77777777" w:rsidR="00E60F8B" w:rsidRPr="00B25DD3" w:rsidRDefault="004D0DC1"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vAlign w:val="center"/>
          </w:tcPr>
          <w:p w14:paraId="467E93B7" w14:textId="77777777" w:rsidR="00E60F8B" w:rsidRPr="00B25DD3" w:rsidRDefault="00E60F8B" w:rsidP="008C6258">
            <w:pPr>
              <w:bidi w:val="0"/>
              <w:spacing w:after="0" w:line="240" w:lineRule="auto"/>
              <w:ind w:right="113"/>
              <w:jc w:val="center"/>
              <w:rPr>
                <w:rFonts w:asciiTheme="minorBidi" w:hAnsiTheme="minorBidi" w:cstheme="minorBidi"/>
                <w:sz w:val="18"/>
                <w:szCs w:val="18"/>
              </w:rPr>
            </w:pPr>
          </w:p>
        </w:tc>
        <w:tc>
          <w:tcPr>
            <w:tcW w:w="1412" w:type="dxa"/>
            <w:tcBorders>
              <w:top w:val="nil"/>
              <w:bottom w:val="nil"/>
            </w:tcBorders>
            <w:shd w:val="clear" w:color="auto" w:fill="auto"/>
            <w:vAlign w:val="center"/>
          </w:tcPr>
          <w:p w14:paraId="00F5A11C" w14:textId="77777777" w:rsidR="00E60F8B" w:rsidRPr="00B25DD3" w:rsidRDefault="004D0DC1" w:rsidP="008C6258">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tl/>
              </w:rPr>
              <w:t>9.0</w:t>
            </w:r>
          </w:p>
        </w:tc>
        <w:tc>
          <w:tcPr>
            <w:tcW w:w="1645" w:type="dxa"/>
            <w:tcBorders>
              <w:top w:val="nil"/>
              <w:bottom w:val="nil"/>
            </w:tcBorders>
            <w:vAlign w:val="center"/>
          </w:tcPr>
          <w:p w14:paraId="6A32698A" w14:textId="77777777" w:rsidR="00E60F8B" w:rsidRPr="00B25DD3" w:rsidRDefault="00E60F8B" w:rsidP="008C6258">
            <w:pPr>
              <w:bidi w:val="0"/>
              <w:spacing w:after="0" w:line="240" w:lineRule="auto"/>
              <w:ind w:right="113"/>
              <w:jc w:val="center"/>
              <w:rPr>
                <w:rFonts w:asciiTheme="minorBidi" w:hAnsiTheme="minorBidi" w:cstheme="minorBidi"/>
                <w:sz w:val="18"/>
                <w:szCs w:val="18"/>
              </w:rPr>
            </w:pPr>
          </w:p>
        </w:tc>
      </w:tr>
      <w:tr w:rsidR="00E34CD1" w:rsidRPr="00802088" w14:paraId="4443A0A2" w14:textId="77777777" w:rsidTr="00B25DD3">
        <w:trPr>
          <w:trHeight w:val="360"/>
          <w:jc w:val="center"/>
        </w:trPr>
        <w:tc>
          <w:tcPr>
            <w:tcW w:w="3978" w:type="dxa"/>
            <w:tcBorders>
              <w:top w:val="nil"/>
            </w:tcBorders>
            <w:shd w:val="clear" w:color="auto" w:fill="auto"/>
            <w:noWrap/>
            <w:vAlign w:val="center"/>
            <w:hideMark/>
          </w:tcPr>
          <w:p w14:paraId="6360A89D" w14:textId="77777777" w:rsidR="00E34CD1" w:rsidRPr="00B25DD3" w:rsidRDefault="00E34CD1" w:rsidP="0016618C">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Proportion of population with large household expenditures on health more than 25% of to</w:t>
            </w:r>
            <w:r w:rsidR="0016618C" w:rsidRPr="00B25DD3">
              <w:rPr>
                <w:rFonts w:asciiTheme="minorBidi" w:hAnsiTheme="minorBidi" w:cstheme="minorBidi"/>
                <w:sz w:val="18"/>
                <w:szCs w:val="18"/>
              </w:rPr>
              <w:t xml:space="preserve">tal household expenditure (PCBS, </w:t>
            </w:r>
            <w:r w:rsidRPr="00B25DD3">
              <w:rPr>
                <w:rFonts w:asciiTheme="minorBidi" w:hAnsiTheme="minorBidi" w:cstheme="minorBidi"/>
                <w:sz w:val="18"/>
                <w:szCs w:val="18"/>
              </w:rPr>
              <w:t xml:space="preserve">2017, </w:t>
            </w:r>
            <w:r w:rsidR="00B3098A" w:rsidRPr="00B25DD3">
              <w:rPr>
                <w:rFonts w:asciiTheme="minorBidi" w:hAnsiTheme="minorBidi" w:cstheme="minorBidi"/>
                <w:sz w:val="18"/>
                <w:szCs w:val="18"/>
              </w:rPr>
              <w:t>p</w:t>
            </w:r>
            <w:r w:rsidRPr="00B25DD3">
              <w:rPr>
                <w:rFonts w:asciiTheme="minorBidi" w:hAnsiTheme="minorBidi" w:cstheme="minorBidi"/>
                <w:sz w:val="18"/>
                <w:szCs w:val="18"/>
              </w:rPr>
              <w:t>ercentage)</w:t>
            </w:r>
          </w:p>
        </w:tc>
        <w:tc>
          <w:tcPr>
            <w:tcW w:w="1304" w:type="dxa"/>
            <w:tcBorders>
              <w:top w:val="nil"/>
            </w:tcBorders>
            <w:shd w:val="clear" w:color="auto" w:fill="auto"/>
            <w:noWrap/>
            <w:hideMark/>
          </w:tcPr>
          <w:p w14:paraId="0E3177B7" w14:textId="77777777" w:rsidR="00E34CD1" w:rsidRPr="00B25DD3" w:rsidRDefault="00E34CD1"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tcBorders>
          </w:tcPr>
          <w:p w14:paraId="1ACA5171" w14:textId="77777777" w:rsidR="00E34CD1" w:rsidRPr="00B25DD3" w:rsidRDefault="00E34CD1" w:rsidP="008C6258">
            <w:pPr>
              <w:bidi w:val="0"/>
              <w:spacing w:after="0" w:line="240" w:lineRule="auto"/>
              <w:ind w:right="113"/>
              <w:jc w:val="center"/>
              <w:rPr>
                <w:rFonts w:asciiTheme="minorBidi" w:hAnsiTheme="minorBidi" w:cstheme="minorBidi"/>
                <w:sz w:val="18"/>
                <w:szCs w:val="18"/>
                <w:rtl/>
              </w:rPr>
            </w:pPr>
          </w:p>
        </w:tc>
        <w:tc>
          <w:tcPr>
            <w:tcW w:w="1412" w:type="dxa"/>
            <w:tcBorders>
              <w:top w:val="nil"/>
            </w:tcBorders>
            <w:shd w:val="clear" w:color="auto" w:fill="auto"/>
            <w:hideMark/>
          </w:tcPr>
          <w:p w14:paraId="5EA32B19" w14:textId="77777777" w:rsidR="00E34CD1" w:rsidRPr="00B25DD3" w:rsidRDefault="00E34CD1" w:rsidP="008C6258">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tl/>
              </w:rPr>
              <w:t>1.5</w:t>
            </w:r>
          </w:p>
        </w:tc>
        <w:tc>
          <w:tcPr>
            <w:tcW w:w="1645" w:type="dxa"/>
            <w:tcBorders>
              <w:top w:val="nil"/>
            </w:tcBorders>
          </w:tcPr>
          <w:p w14:paraId="34B95020" w14:textId="77777777" w:rsidR="00E34CD1" w:rsidRPr="00B25DD3" w:rsidRDefault="00E34CD1" w:rsidP="008C6258">
            <w:pPr>
              <w:bidi w:val="0"/>
              <w:spacing w:after="0" w:line="240" w:lineRule="auto"/>
              <w:ind w:right="113"/>
              <w:jc w:val="center"/>
              <w:rPr>
                <w:rFonts w:asciiTheme="minorBidi" w:hAnsiTheme="minorBidi" w:cstheme="minorBidi"/>
                <w:sz w:val="18"/>
                <w:szCs w:val="18"/>
                <w:rtl/>
              </w:rPr>
            </w:pPr>
          </w:p>
        </w:tc>
      </w:tr>
      <w:tr w:rsidR="001D7158" w:rsidRPr="00802088" w14:paraId="4F771634" w14:textId="77777777" w:rsidTr="00B25DD3">
        <w:trPr>
          <w:trHeight w:val="680"/>
          <w:jc w:val="center"/>
        </w:trPr>
        <w:tc>
          <w:tcPr>
            <w:tcW w:w="3978" w:type="dxa"/>
            <w:tcBorders>
              <w:bottom w:val="single" w:sz="4" w:space="0" w:color="auto"/>
            </w:tcBorders>
            <w:shd w:val="clear" w:color="auto" w:fill="auto"/>
            <w:noWrap/>
          </w:tcPr>
          <w:p w14:paraId="71764BDA" w14:textId="77777777" w:rsidR="001D7158" w:rsidRPr="00B25DD3" w:rsidRDefault="001D7158" w:rsidP="00F9053B">
            <w:pPr>
              <w:tabs>
                <w:tab w:val="left" w:pos="9072"/>
              </w:tabs>
              <w:bidi w:val="0"/>
              <w:spacing w:after="0" w:line="240" w:lineRule="auto"/>
              <w:rPr>
                <w:rFonts w:asciiTheme="minorBidi" w:hAnsiTheme="minorBidi" w:cstheme="minorBidi"/>
                <w:b/>
                <w:sz w:val="18"/>
                <w:szCs w:val="18"/>
              </w:rPr>
            </w:pPr>
            <w:r w:rsidRPr="00B25DD3">
              <w:rPr>
                <w:rFonts w:asciiTheme="minorBidi" w:hAnsiTheme="minorBidi" w:cstheme="minorBidi"/>
                <w:b/>
                <w:sz w:val="18"/>
                <w:szCs w:val="18"/>
              </w:rPr>
              <w:t xml:space="preserve">Indicator 3.a.1 </w:t>
            </w:r>
            <w:r w:rsidRPr="00B25DD3">
              <w:rPr>
                <w:rFonts w:asciiTheme="minorBidi" w:hAnsiTheme="minorBidi" w:cstheme="minorBidi"/>
                <w:sz w:val="18"/>
                <w:szCs w:val="18"/>
              </w:rPr>
              <w:t>Age-standardized prevalence of current tobacco use among persons age</w:t>
            </w:r>
            <w:r w:rsidR="00B3098A" w:rsidRPr="00B25DD3">
              <w:rPr>
                <w:rFonts w:asciiTheme="minorBidi" w:hAnsiTheme="minorBidi" w:cstheme="minorBidi"/>
                <w:sz w:val="18"/>
                <w:szCs w:val="18"/>
              </w:rPr>
              <w:t>s</w:t>
            </w:r>
            <w:r w:rsidRPr="00B25DD3">
              <w:rPr>
                <w:rFonts w:asciiTheme="minorBidi" w:hAnsiTheme="minorBidi" w:cstheme="minorBidi"/>
                <w:sz w:val="18"/>
                <w:szCs w:val="18"/>
              </w:rPr>
              <w:t xml:space="preserve"> 15 years and older</w:t>
            </w:r>
            <w:r w:rsidRPr="00B25DD3">
              <w:rPr>
                <w:rFonts w:asciiTheme="minorBidi" w:hAnsiTheme="minorBidi" w:cstheme="minorBidi"/>
                <w:color w:val="777777"/>
                <w:sz w:val="18"/>
                <w:szCs w:val="18"/>
                <w:shd w:val="clear" w:color="auto" w:fill="F5F5F5"/>
              </w:rPr>
              <w:t> </w:t>
            </w:r>
            <w:r w:rsidRPr="00B25DD3">
              <w:rPr>
                <w:rFonts w:asciiTheme="minorBidi" w:hAnsiTheme="minorBidi" w:cstheme="minorBidi"/>
                <w:sz w:val="18"/>
                <w:szCs w:val="18"/>
              </w:rPr>
              <w:t xml:space="preserve">(PCBS, </w:t>
            </w:r>
            <w:r w:rsidR="00F9053B" w:rsidRPr="00B25DD3">
              <w:rPr>
                <w:rFonts w:asciiTheme="minorBidi" w:hAnsiTheme="minorBidi" w:cstheme="minorBidi"/>
                <w:sz w:val="18"/>
                <w:szCs w:val="18"/>
              </w:rPr>
              <w:t>2021</w:t>
            </w:r>
            <w:r w:rsidRPr="00B25DD3">
              <w:rPr>
                <w:rFonts w:asciiTheme="minorBidi" w:hAnsiTheme="minorBidi" w:cstheme="minorBidi"/>
                <w:sz w:val="18"/>
                <w:szCs w:val="18"/>
              </w:rPr>
              <w:t xml:space="preserve">, </w:t>
            </w:r>
            <w:r w:rsidR="00B3098A" w:rsidRPr="00B25DD3">
              <w:rPr>
                <w:rFonts w:asciiTheme="minorBidi" w:hAnsiTheme="minorBidi" w:cstheme="minorBidi"/>
                <w:sz w:val="18"/>
                <w:szCs w:val="18"/>
              </w:rPr>
              <w:t>p</w:t>
            </w:r>
            <w:r w:rsidRPr="00B25DD3">
              <w:rPr>
                <w:rFonts w:asciiTheme="minorBidi" w:hAnsiTheme="minorBidi" w:cstheme="minorBidi"/>
                <w:sz w:val="18"/>
                <w:szCs w:val="18"/>
              </w:rPr>
              <w:t>ercentage)</w:t>
            </w:r>
          </w:p>
        </w:tc>
        <w:tc>
          <w:tcPr>
            <w:tcW w:w="1304" w:type="dxa"/>
            <w:tcBorders>
              <w:bottom w:val="single" w:sz="4" w:space="0" w:color="auto"/>
            </w:tcBorders>
            <w:shd w:val="clear" w:color="auto" w:fill="auto"/>
            <w:noWrap/>
            <w:vAlign w:val="center"/>
          </w:tcPr>
          <w:p w14:paraId="6248E4B4" w14:textId="77777777" w:rsidR="001D7158" w:rsidRPr="00B25DD3" w:rsidRDefault="001D7158"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bottom w:val="single" w:sz="4" w:space="0" w:color="auto"/>
            </w:tcBorders>
            <w:vAlign w:val="center"/>
          </w:tcPr>
          <w:p w14:paraId="217AA6A2" w14:textId="77777777" w:rsidR="001D7158" w:rsidRPr="00B25DD3" w:rsidRDefault="00F9053B" w:rsidP="00F9053B">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24.3</w:t>
            </w:r>
            <w:r w:rsidR="001D7158" w:rsidRPr="00B25DD3">
              <w:rPr>
                <w:rFonts w:asciiTheme="minorBidi" w:hAnsiTheme="minorBidi" w:cstheme="minorBidi"/>
                <w:sz w:val="18"/>
                <w:szCs w:val="18"/>
              </w:rPr>
              <w:t>(</w:t>
            </w:r>
            <w:r w:rsidRPr="00B25DD3">
              <w:rPr>
                <w:rFonts w:asciiTheme="minorBidi" w:hAnsiTheme="minorBidi" w:cstheme="minorBidi"/>
                <w:sz w:val="18"/>
                <w:szCs w:val="18"/>
              </w:rPr>
              <w:t>2020</w:t>
            </w:r>
            <w:r w:rsidR="001D7158" w:rsidRPr="00B25DD3">
              <w:rPr>
                <w:rFonts w:asciiTheme="minorBidi" w:hAnsiTheme="minorBidi" w:cstheme="minorBidi"/>
                <w:sz w:val="18"/>
                <w:szCs w:val="18"/>
              </w:rPr>
              <w:t>)</w:t>
            </w:r>
            <w:r w:rsidR="007B7BEC" w:rsidRPr="00B25DD3">
              <w:rPr>
                <w:rFonts w:asciiTheme="minorBidi" w:hAnsiTheme="minorBidi" w:cstheme="minorBidi"/>
                <w:sz w:val="18"/>
                <w:szCs w:val="18"/>
              </w:rPr>
              <w:t>**</w:t>
            </w:r>
          </w:p>
        </w:tc>
        <w:tc>
          <w:tcPr>
            <w:tcW w:w="1412" w:type="dxa"/>
            <w:tcBorders>
              <w:bottom w:val="single" w:sz="4" w:space="0" w:color="auto"/>
            </w:tcBorders>
            <w:shd w:val="clear" w:color="auto" w:fill="auto"/>
            <w:vAlign w:val="center"/>
          </w:tcPr>
          <w:p w14:paraId="79575523" w14:textId="77777777" w:rsidR="001D7158" w:rsidRPr="00B25DD3" w:rsidRDefault="00F9053B" w:rsidP="008C6258">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31.3</w:t>
            </w:r>
            <w:r w:rsidR="007B7BEC" w:rsidRPr="00B25DD3">
              <w:rPr>
                <w:rFonts w:asciiTheme="minorBidi" w:hAnsiTheme="minorBidi" w:cstheme="minorBidi"/>
                <w:sz w:val="18"/>
                <w:szCs w:val="18"/>
              </w:rPr>
              <w:t>**</w:t>
            </w:r>
          </w:p>
        </w:tc>
        <w:tc>
          <w:tcPr>
            <w:tcW w:w="1645" w:type="dxa"/>
            <w:tcBorders>
              <w:bottom w:val="single" w:sz="4" w:space="0" w:color="auto"/>
            </w:tcBorders>
            <w:vAlign w:val="center"/>
          </w:tcPr>
          <w:p w14:paraId="266A1A13" w14:textId="77777777" w:rsidR="001D7158" w:rsidRPr="00B25DD3" w:rsidRDefault="00F9053B" w:rsidP="008C6258">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Decrease</w:t>
            </w:r>
          </w:p>
        </w:tc>
      </w:tr>
      <w:tr w:rsidR="001D7158" w:rsidRPr="00802088" w14:paraId="754C60D5" w14:textId="77777777" w:rsidTr="00B25DD3">
        <w:trPr>
          <w:trHeight w:val="559"/>
          <w:jc w:val="center"/>
        </w:trPr>
        <w:tc>
          <w:tcPr>
            <w:tcW w:w="3978" w:type="dxa"/>
            <w:tcBorders>
              <w:bottom w:val="nil"/>
            </w:tcBorders>
            <w:shd w:val="clear" w:color="auto" w:fill="auto"/>
            <w:noWrap/>
          </w:tcPr>
          <w:p w14:paraId="269BB7C9" w14:textId="77777777" w:rsidR="001D7158" w:rsidRPr="00B25DD3" w:rsidRDefault="001D7158" w:rsidP="008C6258">
            <w:pPr>
              <w:tabs>
                <w:tab w:val="left" w:pos="9072"/>
              </w:tabs>
              <w:bidi w:val="0"/>
              <w:spacing w:after="0" w:line="240" w:lineRule="auto"/>
              <w:rPr>
                <w:rFonts w:asciiTheme="minorBidi" w:hAnsiTheme="minorBidi" w:cstheme="minorBidi"/>
                <w:b/>
                <w:sz w:val="18"/>
                <w:szCs w:val="18"/>
              </w:rPr>
            </w:pPr>
            <w:r w:rsidRPr="00B25DD3">
              <w:rPr>
                <w:rFonts w:asciiTheme="minorBidi" w:hAnsiTheme="minorBidi" w:cstheme="minorBidi"/>
                <w:b/>
                <w:sz w:val="18"/>
                <w:szCs w:val="18"/>
              </w:rPr>
              <w:t>Indicator 3.b.1</w:t>
            </w:r>
            <w:r w:rsidRPr="00B25DD3">
              <w:rPr>
                <w:rFonts w:asciiTheme="minorBidi" w:hAnsiTheme="minorBidi" w:cstheme="minorBidi"/>
                <w:sz w:val="18"/>
                <w:szCs w:val="18"/>
              </w:rPr>
              <w:t>Percentage of children age</w:t>
            </w:r>
            <w:r w:rsidR="00B3098A" w:rsidRPr="00B25DD3">
              <w:rPr>
                <w:rFonts w:asciiTheme="minorBidi" w:hAnsiTheme="minorBidi" w:cstheme="minorBidi"/>
                <w:sz w:val="18"/>
                <w:szCs w:val="18"/>
              </w:rPr>
              <w:t>s</w:t>
            </w:r>
            <w:r w:rsidRPr="00B25DD3">
              <w:rPr>
                <w:rFonts w:asciiTheme="minorBidi" w:hAnsiTheme="minorBidi" w:cstheme="minorBidi"/>
                <w:sz w:val="18"/>
                <w:szCs w:val="18"/>
              </w:rPr>
              <w:t xml:space="preserve"> (12-23)/ ( 24-35) months </w:t>
            </w:r>
            <w:r w:rsidR="000317D8" w:rsidRPr="00B25DD3">
              <w:rPr>
                <w:rFonts w:asciiTheme="minorBidi" w:hAnsiTheme="minorBidi" w:cstheme="minorBidi"/>
                <w:sz w:val="18"/>
                <w:szCs w:val="18"/>
              </w:rPr>
              <w:t>who received the third dose of DTP containing vaccine (DTP3)/ or the third dose of Pneumococcal (Conjugate) vaccine (PCV3)/  or the second measles containing vaccine in a given year</w:t>
            </w:r>
          </w:p>
        </w:tc>
        <w:tc>
          <w:tcPr>
            <w:tcW w:w="1304" w:type="dxa"/>
            <w:tcBorders>
              <w:bottom w:val="nil"/>
            </w:tcBorders>
            <w:shd w:val="clear" w:color="auto" w:fill="auto"/>
            <w:noWrap/>
            <w:vAlign w:val="center"/>
          </w:tcPr>
          <w:p w14:paraId="3EE66D44" w14:textId="77777777" w:rsidR="001D7158" w:rsidRPr="00B25DD3" w:rsidRDefault="001D7158" w:rsidP="008C6258">
            <w:pPr>
              <w:bidi w:val="0"/>
              <w:spacing w:after="0" w:line="240" w:lineRule="auto"/>
              <w:jc w:val="center"/>
              <w:rPr>
                <w:rFonts w:asciiTheme="minorBidi" w:hAnsiTheme="minorBidi" w:cstheme="minorBidi"/>
                <w:sz w:val="18"/>
                <w:szCs w:val="18"/>
              </w:rPr>
            </w:pPr>
          </w:p>
        </w:tc>
        <w:tc>
          <w:tcPr>
            <w:tcW w:w="1295" w:type="dxa"/>
            <w:tcBorders>
              <w:bottom w:val="nil"/>
            </w:tcBorders>
            <w:vAlign w:val="center"/>
          </w:tcPr>
          <w:p w14:paraId="28FA9BFA"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c>
          <w:tcPr>
            <w:tcW w:w="1412" w:type="dxa"/>
            <w:tcBorders>
              <w:bottom w:val="nil"/>
            </w:tcBorders>
            <w:shd w:val="clear" w:color="auto" w:fill="auto"/>
            <w:vAlign w:val="center"/>
          </w:tcPr>
          <w:p w14:paraId="313E8A3B"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c>
          <w:tcPr>
            <w:tcW w:w="1645" w:type="dxa"/>
            <w:tcBorders>
              <w:bottom w:val="nil"/>
            </w:tcBorders>
            <w:vAlign w:val="center"/>
          </w:tcPr>
          <w:p w14:paraId="4749CD0E"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r>
      <w:tr w:rsidR="001D7158" w:rsidRPr="00802088" w14:paraId="0B609A25" w14:textId="77777777" w:rsidTr="00B25DD3">
        <w:trPr>
          <w:trHeight w:val="794"/>
          <w:jc w:val="center"/>
        </w:trPr>
        <w:tc>
          <w:tcPr>
            <w:tcW w:w="3978" w:type="dxa"/>
            <w:tcBorders>
              <w:top w:val="nil"/>
              <w:bottom w:val="nil"/>
            </w:tcBorders>
            <w:shd w:val="clear" w:color="auto" w:fill="auto"/>
            <w:noWrap/>
          </w:tcPr>
          <w:p w14:paraId="0E2BC7EA" w14:textId="77777777" w:rsidR="001D7158" w:rsidRPr="00B25DD3" w:rsidRDefault="001D7158" w:rsidP="008C6258">
            <w:pPr>
              <w:tabs>
                <w:tab w:val="left" w:pos="9072"/>
              </w:tabs>
              <w:bidi w:val="0"/>
              <w:spacing w:after="0" w:line="240" w:lineRule="auto"/>
              <w:ind w:left="306" w:firstLine="22"/>
              <w:rPr>
                <w:rFonts w:asciiTheme="minorBidi" w:hAnsiTheme="minorBidi" w:cstheme="minorBidi"/>
                <w:b/>
                <w:sz w:val="18"/>
                <w:szCs w:val="18"/>
              </w:rPr>
            </w:pPr>
            <w:r w:rsidRPr="00B25DD3">
              <w:rPr>
                <w:rFonts w:asciiTheme="minorBidi" w:hAnsiTheme="minorBidi" w:cstheme="minorBidi"/>
                <w:sz w:val="18"/>
                <w:szCs w:val="18"/>
              </w:rPr>
              <w:t>Percentage of children aged 12-23 months who received the third dose of DTP containing vaccine (DTP3) in a given year</w:t>
            </w:r>
            <w:r w:rsidR="000317D8" w:rsidRPr="00B25DD3">
              <w:rPr>
                <w:rFonts w:asciiTheme="minorBidi" w:hAnsiTheme="minorBidi" w:cstheme="minorBidi"/>
                <w:sz w:val="18"/>
                <w:szCs w:val="18"/>
              </w:rPr>
              <w:t xml:space="preserve">(PCBS, 2019, </w:t>
            </w:r>
            <w:r w:rsidR="00B3098A" w:rsidRPr="00B25DD3">
              <w:rPr>
                <w:rFonts w:asciiTheme="minorBidi" w:hAnsiTheme="minorBidi" w:cstheme="minorBidi"/>
                <w:sz w:val="18"/>
                <w:szCs w:val="18"/>
              </w:rPr>
              <w:t>p</w:t>
            </w:r>
            <w:r w:rsidR="000317D8" w:rsidRPr="00B25DD3">
              <w:rPr>
                <w:rFonts w:asciiTheme="minorBidi" w:hAnsiTheme="minorBidi" w:cstheme="minorBidi"/>
                <w:sz w:val="18"/>
                <w:szCs w:val="18"/>
              </w:rPr>
              <w:t>ercentage)</w:t>
            </w:r>
          </w:p>
        </w:tc>
        <w:tc>
          <w:tcPr>
            <w:tcW w:w="1304" w:type="dxa"/>
            <w:tcBorders>
              <w:top w:val="nil"/>
              <w:bottom w:val="nil"/>
            </w:tcBorders>
            <w:shd w:val="clear" w:color="auto" w:fill="auto"/>
            <w:noWrap/>
            <w:vAlign w:val="center"/>
          </w:tcPr>
          <w:p w14:paraId="40A10B4A" w14:textId="77777777" w:rsidR="001D7158" w:rsidRPr="00B25DD3" w:rsidRDefault="000317D8"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vAlign w:val="center"/>
          </w:tcPr>
          <w:p w14:paraId="7D3AE0F5" w14:textId="77777777" w:rsidR="001D7158" w:rsidRPr="00B25DD3" w:rsidRDefault="007B7BEC"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99.3 (2014)</w:t>
            </w:r>
          </w:p>
        </w:tc>
        <w:tc>
          <w:tcPr>
            <w:tcW w:w="1412" w:type="dxa"/>
            <w:tcBorders>
              <w:top w:val="nil"/>
              <w:bottom w:val="nil"/>
            </w:tcBorders>
            <w:shd w:val="clear" w:color="auto" w:fill="auto"/>
            <w:vAlign w:val="center"/>
          </w:tcPr>
          <w:p w14:paraId="56D5175B" w14:textId="77777777" w:rsidR="001D7158" w:rsidRPr="00B25DD3" w:rsidRDefault="000317D8"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94.6</w:t>
            </w:r>
          </w:p>
        </w:tc>
        <w:tc>
          <w:tcPr>
            <w:tcW w:w="1645" w:type="dxa"/>
            <w:tcBorders>
              <w:top w:val="nil"/>
              <w:bottom w:val="nil"/>
            </w:tcBorders>
            <w:vAlign w:val="center"/>
          </w:tcPr>
          <w:p w14:paraId="47EDDDBE" w14:textId="77777777" w:rsidR="001D7158" w:rsidRPr="00B25DD3" w:rsidRDefault="00B3098A"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D</w:t>
            </w:r>
            <w:r w:rsidR="007B7BEC" w:rsidRPr="00B25DD3">
              <w:rPr>
                <w:rFonts w:asciiTheme="minorBidi" w:hAnsiTheme="minorBidi" w:cstheme="minorBidi"/>
                <w:sz w:val="18"/>
                <w:szCs w:val="18"/>
              </w:rPr>
              <w:t>ecrease</w:t>
            </w:r>
          </w:p>
        </w:tc>
      </w:tr>
      <w:tr w:rsidR="001D7158" w:rsidRPr="00802088" w14:paraId="4DD98D46" w14:textId="77777777" w:rsidTr="00B25DD3">
        <w:trPr>
          <w:trHeight w:val="794"/>
          <w:jc w:val="center"/>
        </w:trPr>
        <w:tc>
          <w:tcPr>
            <w:tcW w:w="3978" w:type="dxa"/>
            <w:tcBorders>
              <w:top w:val="nil"/>
              <w:bottom w:val="nil"/>
            </w:tcBorders>
            <w:shd w:val="clear" w:color="auto" w:fill="auto"/>
            <w:noWrap/>
          </w:tcPr>
          <w:p w14:paraId="140621EF" w14:textId="77777777" w:rsidR="001D7158" w:rsidRPr="00B25DD3" w:rsidRDefault="001D7158" w:rsidP="008C6258">
            <w:pPr>
              <w:tabs>
                <w:tab w:val="left" w:pos="9072"/>
              </w:tabs>
              <w:bidi w:val="0"/>
              <w:spacing w:after="0" w:line="240" w:lineRule="auto"/>
              <w:ind w:left="306" w:firstLine="22"/>
              <w:rPr>
                <w:rFonts w:asciiTheme="minorBidi" w:hAnsiTheme="minorBidi" w:cstheme="minorBidi"/>
                <w:b/>
                <w:sz w:val="18"/>
                <w:szCs w:val="18"/>
              </w:rPr>
            </w:pPr>
            <w:r w:rsidRPr="00B25DD3">
              <w:rPr>
                <w:rFonts w:asciiTheme="minorBidi" w:hAnsiTheme="minorBidi" w:cstheme="minorBidi"/>
                <w:sz w:val="18"/>
                <w:szCs w:val="18"/>
              </w:rPr>
              <w:t>Percentage of children aged 12-23 months who received the third dose of Pneumococcal (Conjugate) vaccine (PCV3) in a given year</w:t>
            </w:r>
            <w:r w:rsidR="000317D8" w:rsidRPr="00B25DD3">
              <w:rPr>
                <w:rFonts w:asciiTheme="minorBidi" w:hAnsiTheme="minorBidi" w:cstheme="minorBidi"/>
                <w:sz w:val="18"/>
                <w:szCs w:val="18"/>
              </w:rPr>
              <w:t xml:space="preserve">(PCBS, 2019, </w:t>
            </w:r>
            <w:r w:rsidR="00B3098A" w:rsidRPr="00B25DD3">
              <w:rPr>
                <w:rFonts w:asciiTheme="minorBidi" w:hAnsiTheme="minorBidi" w:cstheme="minorBidi"/>
                <w:sz w:val="18"/>
                <w:szCs w:val="18"/>
              </w:rPr>
              <w:t>p</w:t>
            </w:r>
            <w:r w:rsidR="000317D8" w:rsidRPr="00B25DD3">
              <w:rPr>
                <w:rFonts w:asciiTheme="minorBidi" w:hAnsiTheme="minorBidi" w:cstheme="minorBidi"/>
                <w:sz w:val="18"/>
                <w:szCs w:val="18"/>
              </w:rPr>
              <w:t>ercentage)</w:t>
            </w:r>
          </w:p>
        </w:tc>
        <w:tc>
          <w:tcPr>
            <w:tcW w:w="1304" w:type="dxa"/>
            <w:tcBorders>
              <w:top w:val="nil"/>
              <w:bottom w:val="nil"/>
            </w:tcBorders>
            <w:shd w:val="clear" w:color="auto" w:fill="auto"/>
            <w:noWrap/>
            <w:vAlign w:val="center"/>
          </w:tcPr>
          <w:p w14:paraId="4A5092E8" w14:textId="77777777" w:rsidR="001D7158" w:rsidRPr="00B25DD3" w:rsidRDefault="000317D8"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vAlign w:val="center"/>
          </w:tcPr>
          <w:p w14:paraId="1020BA42"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c>
          <w:tcPr>
            <w:tcW w:w="1412" w:type="dxa"/>
            <w:tcBorders>
              <w:top w:val="nil"/>
              <w:bottom w:val="nil"/>
            </w:tcBorders>
            <w:shd w:val="clear" w:color="auto" w:fill="auto"/>
            <w:vAlign w:val="center"/>
          </w:tcPr>
          <w:p w14:paraId="52961FA3" w14:textId="77777777" w:rsidR="001D7158" w:rsidRPr="00B25DD3" w:rsidRDefault="000317D8"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91.7</w:t>
            </w:r>
          </w:p>
        </w:tc>
        <w:tc>
          <w:tcPr>
            <w:tcW w:w="1645" w:type="dxa"/>
            <w:tcBorders>
              <w:top w:val="nil"/>
              <w:bottom w:val="nil"/>
            </w:tcBorders>
            <w:vAlign w:val="center"/>
          </w:tcPr>
          <w:p w14:paraId="644889C1"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r>
      <w:tr w:rsidR="001D7158" w:rsidRPr="00802088" w14:paraId="0F3F1EDD" w14:textId="77777777" w:rsidTr="00B25DD3">
        <w:trPr>
          <w:trHeight w:val="794"/>
          <w:jc w:val="center"/>
        </w:trPr>
        <w:tc>
          <w:tcPr>
            <w:tcW w:w="3978" w:type="dxa"/>
            <w:tcBorders>
              <w:top w:val="nil"/>
              <w:bottom w:val="single" w:sz="4" w:space="0" w:color="auto"/>
            </w:tcBorders>
            <w:shd w:val="clear" w:color="auto" w:fill="auto"/>
            <w:noWrap/>
          </w:tcPr>
          <w:p w14:paraId="2E0DA04E" w14:textId="77777777" w:rsidR="001D7158" w:rsidRPr="00B25DD3" w:rsidRDefault="001D7158" w:rsidP="008C6258">
            <w:pPr>
              <w:tabs>
                <w:tab w:val="left" w:pos="9072"/>
              </w:tabs>
              <w:bidi w:val="0"/>
              <w:spacing w:after="0" w:line="240" w:lineRule="auto"/>
              <w:ind w:left="306" w:firstLine="22"/>
              <w:rPr>
                <w:rFonts w:asciiTheme="minorBidi" w:hAnsiTheme="minorBidi" w:cstheme="minorBidi"/>
                <w:color w:val="777777"/>
                <w:sz w:val="18"/>
                <w:szCs w:val="18"/>
                <w:shd w:val="clear" w:color="auto" w:fill="F5F5F5"/>
              </w:rPr>
            </w:pPr>
            <w:r w:rsidRPr="00B25DD3">
              <w:rPr>
                <w:rFonts w:asciiTheme="minorBidi" w:hAnsiTheme="minorBidi" w:cstheme="minorBidi"/>
                <w:sz w:val="18"/>
                <w:szCs w:val="18"/>
              </w:rPr>
              <w:t>Percentage of children aged 24-35 months who received the second measles containing vaccine in a given year</w:t>
            </w:r>
            <w:r w:rsidR="000317D8" w:rsidRPr="00B25DD3">
              <w:rPr>
                <w:rFonts w:asciiTheme="minorBidi" w:hAnsiTheme="minorBidi" w:cstheme="minorBidi"/>
                <w:sz w:val="18"/>
                <w:szCs w:val="18"/>
              </w:rPr>
              <w:t xml:space="preserve">(PCBS, 2019, </w:t>
            </w:r>
            <w:r w:rsidR="00B3098A" w:rsidRPr="00B25DD3">
              <w:rPr>
                <w:rFonts w:asciiTheme="minorBidi" w:hAnsiTheme="minorBidi" w:cstheme="minorBidi"/>
                <w:sz w:val="18"/>
                <w:szCs w:val="18"/>
              </w:rPr>
              <w:t>[</w:t>
            </w:r>
            <w:r w:rsidR="000317D8" w:rsidRPr="00B25DD3">
              <w:rPr>
                <w:rFonts w:asciiTheme="minorBidi" w:hAnsiTheme="minorBidi" w:cstheme="minorBidi"/>
                <w:sz w:val="18"/>
                <w:szCs w:val="18"/>
              </w:rPr>
              <w:t>ercentage)</w:t>
            </w:r>
          </w:p>
        </w:tc>
        <w:tc>
          <w:tcPr>
            <w:tcW w:w="1304" w:type="dxa"/>
            <w:tcBorders>
              <w:top w:val="nil"/>
              <w:bottom w:val="single" w:sz="4" w:space="0" w:color="auto"/>
            </w:tcBorders>
            <w:shd w:val="clear" w:color="auto" w:fill="auto"/>
            <w:noWrap/>
            <w:vAlign w:val="center"/>
          </w:tcPr>
          <w:p w14:paraId="5BCB9D10" w14:textId="77777777" w:rsidR="001D7158" w:rsidRPr="00B25DD3" w:rsidRDefault="000317D8" w:rsidP="008C6258">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single" w:sz="4" w:space="0" w:color="auto"/>
            </w:tcBorders>
            <w:vAlign w:val="center"/>
          </w:tcPr>
          <w:p w14:paraId="2D5548A7"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c>
          <w:tcPr>
            <w:tcW w:w="1412" w:type="dxa"/>
            <w:tcBorders>
              <w:top w:val="nil"/>
              <w:bottom w:val="single" w:sz="4" w:space="0" w:color="auto"/>
            </w:tcBorders>
            <w:shd w:val="clear" w:color="auto" w:fill="auto"/>
            <w:vAlign w:val="center"/>
          </w:tcPr>
          <w:p w14:paraId="3BD10057" w14:textId="77777777" w:rsidR="001D7158" w:rsidRPr="00B25DD3" w:rsidRDefault="000317D8" w:rsidP="008C6258">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93.9</w:t>
            </w:r>
          </w:p>
        </w:tc>
        <w:tc>
          <w:tcPr>
            <w:tcW w:w="1645" w:type="dxa"/>
            <w:tcBorders>
              <w:top w:val="nil"/>
              <w:bottom w:val="single" w:sz="4" w:space="0" w:color="auto"/>
            </w:tcBorders>
            <w:vAlign w:val="center"/>
          </w:tcPr>
          <w:p w14:paraId="5C06E2FE"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r>
      <w:tr w:rsidR="001D7158" w:rsidRPr="00802088" w14:paraId="3F52F64B" w14:textId="77777777" w:rsidTr="00B25DD3">
        <w:trPr>
          <w:trHeight w:val="20"/>
          <w:jc w:val="center"/>
        </w:trPr>
        <w:tc>
          <w:tcPr>
            <w:tcW w:w="3978" w:type="dxa"/>
            <w:tcBorders>
              <w:bottom w:val="nil"/>
            </w:tcBorders>
            <w:shd w:val="clear" w:color="auto" w:fill="auto"/>
            <w:noWrap/>
          </w:tcPr>
          <w:p w14:paraId="038FD00B" w14:textId="77777777" w:rsidR="001D7158" w:rsidRPr="00B25DD3" w:rsidRDefault="001D7158" w:rsidP="008C6258">
            <w:pPr>
              <w:tabs>
                <w:tab w:val="left" w:pos="9072"/>
              </w:tabs>
              <w:bidi w:val="0"/>
              <w:spacing w:after="0" w:line="240" w:lineRule="auto"/>
              <w:rPr>
                <w:rFonts w:asciiTheme="minorBidi" w:hAnsiTheme="minorBidi" w:cstheme="minorBidi"/>
                <w:color w:val="777777"/>
                <w:sz w:val="18"/>
                <w:szCs w:val="18"/>
                <w:shd w:val="clear" w:color="auto" w:fill="F5F5F5"/>
              </w:rPr>
            </w:pPr>
            <w:r w:rsidRPr="00B25DD3">
              <w:rPr>
                <w:rFonts w:asciiTheme="minorBidi" w:hAnsiTheme="minorBidi" w:cstheme="minorBidi"/>
                <w:b/>
                <w:sz w:val="18"/>
                <w:szCs w:val="18"/>
              </w:rPr>
              <w:t>Indicator 3.b.2</w:t>
            </w:r>
            <w:r w:rsidR="00D72FBC" w:rsidRPr="00B25DD3">
              <w:rPr>
                <w:rFonts w:asciiTheme="minorBidi" w:hAnsiTheme="minorBidi" w:cstheme="minorBidi"/>
                <w:sz w:val="18"/>
                <w:szCs w:val="18"/>
              </w:rPr>
              <w:t>Total net official development assistance to medical research and basic health sectors (gross disbursement) and (net disbursement)</w:t>
            </w:r>
          </w:p>
        </w:tc>
        <w:tc>
          <w:tcPr>
            <w:tcW w:w="1304" w:type="dxa"/>
            <w:tcBorders>
              <w:bottom w:val="nil"/>
            </w:tcBorders>
            <w:shd w:val="clear" w:color="auto" w:fill="auto"/>
            <w:noWrap/>
            <w:vAlign w:val="center"/>
          </w:tcPr>
          <w:p w14:paraId="3F2CDB9C" w14:textId="77777777" w:rsidR="001D7158" w:rsidRPr="00B25DD3" w:rsidRDefault="001D7158" w:rsidP="008C6258">
            <w:pPr>
              <w:bidi w:val="0"/>
              <w:spacing w:after="0" w:line="240" w:lineRule="auto"/>
              <w:jc w:val="center"/>
              <w:rPr>
                <w:rFonts w:asciiTheme="minorBidi" w:hAnsiTheme="minorBidi" w:cstheme="minorBidi"/>
                <w:sz w:val="18"/>
                <w:szCs w:val="18"/>
              </w:rPr>
            </w:pPr>
          </w:p>
        </w:tc>
        <w:tc>
          <w:tcPr>
            <w:tcW w:w="1295" w:type="dxa"/>
            <w:tcBorders>
              <w:bottom w:val="nil"/>
            </w:tcBorders>
            <w:vAlign w:val="center"/>
          </w:tcPr>
          <w:p w14:paraId="36F1D08E"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c>
          <w:tcPr>
            <w:tcW w:w="1412" w:type="dxa"/>
            <w:tcBorders>
              <w:bottom w:val="nil"/>
            </w:tcBorders>
            <w:shd w:val="clear" w:color="auto" w:fill="auto"/>
            <w:vAlign w:val="center"/>
          </w:tcPr>
          <w:p w14:paraId="75DAAC1A"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c>
          <w:tcPr>
            <w:tcW w:w="1645" w:type="dxa"/>
            <w:tcBorders>
              <w:bottom w:val="nil"/>
            </w:tcBorders>
            <w:vAlign w:val="center"/>
          </w:tcPr>
          <w:p w14:paraId="61095D73" w14:textId="77777777" w:rsidR="001D7158" w:rsidRPr="00B25DD3" w:rsidRDefault="001D7158" w:rsidP="008C6258">
            <w:pPr>
              <w:bidi w:val="0"/>
              <w:spacing w:after="0" w:line="240" w:lineRule="auto"/>
              <w:ind w:right="113"/>
              <w:jc w:val="center"/>
              <w:rPr>
                <w:rFonts w:asciiTheme="minorBidi" w:hAnsiTheme="minorBidi" w:cstheme="minorBidi"/>
                <w:sz w:val="18"/>
                <w:szCs w:val="18"/>
              </w:rPr>
            </w:pPr>
          </w:p>
        </w:tc>
      </w:tr>
      <w:tr w:rsidR="00F9053B" w:rsidRPr="00802088" w14:paraId="30CAA6B0" w14:textId="77777777" w:rsidTr="00B25DD3">
        <w:trPr>
          <w:trHeight w:val="20"/>
          <w:jc w:val="center"/>
        </w:trPr>
        <w:tc>
          <w:tcPr>
            <w:tcW w:w="3978" w:type="dxa"/>
            <w:tcBorders>
              <w:top w:val="nil"/>
              <w:bottom w:val="nil"/>
            </w:tcBorders>
            <w:shd w:val="clear" w:color="auto" w:fill="auto"/>
            <w:noWrap/>
          </w:tcPr>
          <w:p w14:paraId="6CBF7C33" w14:textId="77777777" w:rsidR="00F9053B" w:rsidRPr="00B25DD3" w:rsidRDefault="00F9053B" w:rsidP="0014336C">
            <w:pPr>
              <w:tabs>
                <w:tab w:val="left" w:pos="9072"/>
              </w:tabs>
              <w:bidi w:val="0"/>
              <w:spacing w:after="0" w:line="240" w:lineRule="auto"/>
              <w:ind w:left="306"/>
              <w:rPr>
                <w:rFonts w:asciiTheme="minorBidi" w:hAnsiTheme="minorBidi" w:cstheme="minorBidi"/>
                <w:color w:val="777777"/>
                <w:sz w:val="18"/>
                <w:szCs w:val="18"/>
                <w:shd w:val="clear" w:color="auto" w:fill="F5F5F5"/>
              </w:rPr>
            </w:pPr>
            <w:r w:rsidRPr="00B25DD3">
              <w:rPr>
                <w:rFonts w:asciiTheme="minorBidi" w:hAnsiTheme="minorBidi" w:cstheme="minorBidi"/>
                <w:sz w:val="18"/>
                <w:szCs w:val="18"/>
              </w:rPr>
              <w:t xml:space="preserve">Total net official development assistance to medical research and basic health sectors (gross disbursement)(OECD, </w:t>
            </w:r>
            <w:r w:rsidR="0014336C" w:rsidRPr="00B25DD3">
              <w:rPr>
                <w:rFonts w:asciiTheme="minorBidi" w:hAnsiTheme="minorBidi" w:cstheme="minorBidi"/>
                <w:sz w:val="18"/>
                <w:szCs w:val="18"/>
              </w:rPr>
              <w:t>2021</w:t>
            </w:r>
            <w:r w:rsidRPr="00B25DD3">
              <w:rPr>
                <w:rFonts w:asciiTheme="minorBidi" w:hAnsiTheme="minorBidi" w:cstheme="minorBidi"/>
                <w:sz w:val="18"/>
                <w:szCs w:val="18"/>
              </w:rPr>
              <w:t>, value(Million US$))</w:t>
            </w:r>
          </w:p>
        </w:tc>
        <w:tc>
          <w:tcPr>
            <w:tcW w:w="1304" w:type="dxa"/>
            <w:tcBorders>
              <w:top w:val="nil"/>
              <w:bottom w:val="nil"/>
            </w:tcBorders>
            <w:shd w:val="clear" w:color="auto" w:fill="auto"/>
            <w:noWrap/>
            <w:vAlign w:val="center"/>
          </w:tcPr>
          <w:p w14:paraId="090CB262" w14:textId="77777777" w:rsidR="00F9053B" w:rsidRPr="00B25DD3" w:rsidRDefault="00F9053B" w:rsidP="00F9053B">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vAlign w:val="center"/>
          </w:tcPr>
          <w:p w14:paraId="472404D6" w14:textId="77777777" w:rsidR="00F9053B" w:rsidRPr="00B25DD3" w:rsidRDefault="00F9053B" w:rsidP="00F9053B">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126.7</w:t>
            </w:r>
            <w:r w:rsidR="000D4DA9" w:rsidRPr="00B25DD3">
              <w:rPr>
                <w:rFonts w:asciiTheme="minorBidi" w:hAnsiTheme="minorBidi" w:cstheme="minorBidi"/>
                <w:sz w:val="18"/>
                <w:szCs w:val="18"/>
              </w:rPr>
              <w:t>(</w:t>
            </w:r>
            <w:r w:rsidR="00B060FF" w:rsidRPr="00B25DD3">
              <w:rPr>
                <w:rFonts w:asciiTheme="minorBidi" w:hAnsiTheme="minorBidi" w:cstheme="minorBidi"/>
                <w:sz w:val="18"/>
                <w:szCs w:val="18"/>
              </w:rPr>
              <w:t>2020</w:t>
            </w:r>
            <w:r w:rsidR="000D4DA9" w:rsidRPr="00B25DD3">
              <w:rPr>
                <w:rFonts w:asciiTheme="minorBidi" w:hAnsiTheme="minorBidi" w:cstheme="minorBidi"/>
                <w:sz w:val="18"/>
                <w:szCs w:val="18"/>
              </w:rPr>
              <w:t>)</w:t>
            </w:r>
          </w:p>
        </w:tc>
        <w:tc>
          <w:tcPr>
            <w:tcW w:w="1412" w:type="dxa"/>
            <w:tcBorders>
              <w:top w:val="nil"/>
              <w:bottom w:val="nil"/>
            </w:tcBorders>
            <w:shd w:val="clear" w:color="auto" w:fill="auto"/>
            <w:vAlign w:val="center"/>
          </w:tcPr>
          <w:p w14:paraId="4BDA582A" w14:textId="77777777" w:rsidR="00F9053B" w:rsidRPr="00B25DD3" w:rsidRDefault="00B060FF" w:rsidP="000D4DA9">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80.</w:t>
            </w:r>
            <w:r w:rsidR="000D4DA9" w:rsidRPr="00B25DD3">
              <w:rPr>
                <w:rFonts w:asciiTheme="minorBidi" w:hAnsiTheme="minorBidi" w:cstheme="minorBidi"/>
                <w:sz w:val="18"/>
                <w:szCs w:val="18"/>
              </w:rPr>
              <w:t>7</w:t>
            </w:r>
          </w:p>
        </w:tc>
        <w:tc>
          <w:tcPr>
            <w:tcW w:w="1645" w:type="dxa"/>
            <w:tcBorders>
              <w:top w:val="nil"/>
              <w:bottom w:val="nil"/>
            </w:tcBorders>
            <w:vAlign w:val="center"/>
          </w:tcPr>
          <w:p w14:paraId="1275159B" w14:textId="77777777" w:rsidR="00F9053B" w:rsidRPr="00B25DD3" w:rsidRDefault="00B060FF" w:rsidP="00F9053B">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Decrease</w:t>
            </w:r>
          </w:p>
        </w:tc>
      </w:tr>
      <w:tr w:rsidR="00F9053B" w:rsidRPr="00802088" w14:paraId="3CE6BB26" w14:textId="77777777" w:rsidTr="00B25DD3">
        <w:trPr>
          <w:trHeight w:val="20"/>
          <w:jc w:val="center"/>
        </w:trPr>
        <w:tc>
          <w:tcPr>
            <w:tcW w:w="3978" w:type="dxa"/>
            <w:tcBorders>
              <w:top w:val="nil"/>
              <w:bottom w:val="single" w:sz="4" w:space="0" w:color="auto"/>
            </w:tcBorders>
            <w:shd w:val="clear" w:color="auto" w:fill="auto"/>
            <w:noWrap/>
          </w:tcPr>
          <w:p w14:paraId="69697D6F" w14:textId="77777777" w:rsidR="00F9053B" w:rsidRPr="00B25DD3" w:rsidRDefault="00F9053B" w:rsidP="00F9053B">
            <w:pPr>
              <w:tabs>
                <w:tab w:val="left" w:pos="9072"/>
              </w:tabs>
              <w:bidi w:val="0"/>
              <w:spacing w:after="0" w:line="240" w:lineRule="auto"/>
              <w:ind w:left="306"/>
              <w:rPr>
                <w:rFonts w:asciiTheme="minorBidi" w:hAnsiTheme="minorBidi" w:cstheme="minorBidi"/>
                <w:color w:val="777777"/>
                <w:sz w:val="18"/>
                <w:szCs w:val="18"/>
                <w:shd w:val="clear" w:color="auto" w:fill="F5F5F5"/>
              </w:rPr>
            </w:pPr>
            <w:r w:rsidRPr="00B25DD3">
              <w:rPr>
                <w:rFonts w:asciiTheme="minorBidi" w:hAnsiTheme="minorBidi" w:cstheme="minorBidi"/>
                <w:sz w:val="18"/>
                <w:szCs w:val="18"/>
              </w:rPr>
              <w:t>Total net official development assistance to medical research and basic health sectors (net disbursement)(OECD, 2018, Million US$)</w:t>
            </w:r>
          </w:p>
        </w:tc>
        <w:tc>
          <w:tcPr>
            <w:tcW w:w="1304" w:type="dxa"/>
            <w:tcBorders>
              <w:top w:val="nil"/>
              <w:bottom w:val="single" w:sz="4" w:space="0" w:color="auto"/>
            </w:tcBorders>
            <w:shd w:val="clear" w:color="auto" w:fill="auto"/>
            <w:noWrap/>
            <w:vAlign w:val="center"/>
          </w:tcPr>
          <w:p w14:paraId="0EFE00D1" w14:textId="77777777" w:rsidR="00F9053B" w:rsidRPr="00B25DD3" w:rsidRDefault="00F9053B" w:rsidP="00F9053B">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single" w:sz="4" w:space="0" w:color="auto"/>
            </w:tcBorders>
            <w:vAlign w:val="center"/>
          </w:tcPr>
          <w:p w14:paraId="4171FE35" w14:textId="77777777" w:rsidR="00F9053B" w:rsidRPr="00B25DD3" w:rsidRDefault="00F9053B" w:rsidP="00F9053B">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167.2 (2017)</w:t>
            </w:r>
          </w:p>
        </w:tc>
        <w:tc>
          <w:tcPr>
            <w:tcW w:w="1412" w:type="dxa"/>
            <w:tcBorders>
              <w:top w:val="nil"/>
              <w:bottom w:val="single" w:sz="4" w:space="0" w:color="auto"/>
            </w:tcBorders>
            <w:shd w:val="clear" w:color="auto" w:fill="auto"/>
            <w:vAlign w:val="center"/>
          </w:tcPr>
          <w:p w14:paraId="4D321E81" w14:textId="77777777" w:rsidR="00F9053B" w:rsidRPr="00B25DD3" w:rsidRDefault="00F9053B" w:rsidP="00F9053B">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104.1</w:t>
            </w:r>
          </w:p>
        </w:tc>
        <w:tc>
          <w:tcPr>
            <w:tcW w:w="1645" w:type="dxa"/>
            <w:tcBorders>
              <w:top w:val="nil"/>
              <w:bottom w:val="single" w:sz="4" w:space="0" w:color="auto"/>
            </w:tcBorders>
            <w:vAlign w:val="center"/>
          </w:tcPr>
          <w:p w14:paraId="16C9203E" w14:textId="77777777" w:rsidR="00F9053B" w:rsidRPr="00B25DD3" w:rsidRDefault="00F9053B" w:rsidP="00F9053B">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Decrease</w:t>
            </w:r>
          </w:p>
        </w:tc>
      </w:tr>
      <w:tr w:rsidR="00F9053B" w:rsidRPr="00802088" w14:paraId="21DED28E" w14:textId="77777777" w:rsidTr="00B25DD3">
        <w:trPr>
          <w:trHeight w:val="360"/>
          <w:jc w:val="center"/>
        </w:trPr>
        <w:tc>
          <w:tcPr>
            <w:tcW w:w="3978" w:type="dxa"/>
            <w:tcBorders>
              <w:bottom w:val="nil"/>
            </w:tcBorders>
            <w:shd w:val="clear" w:color="auto" w:fill="auto"/>
            <w:noWrap/>
            <w:vAlign w:val="center"/>
          </w:tcPr>
          <w:p w14:paraId="7AA6655C" w14:textId="77777777" w:rsidR="00F9053B" w:rsidRPr="00B25DD3" w:rsidRDefault="00F9053B" w:rsidP="00F9053B">
            <w:pPr>
              <w:tabs>
                <w:tab w:val="left" w:pos="9072"/>
              </w:tabs>
              <w:bidi w:val="0"/>
              <w:spacing w:after="0" w:line="240" w:lineRule="auto"/>
              <w:jc w:val="both"/>
              <w:rPr>
                <w:rFonts w:asciiTheme="minorBidi" w:hAnsiTheme="minorBidi" w:cstheme="minorBidi"/>
                <w:sz w:val="18"/>
                <w:szCs w:val="18"/>
              </w:rPr>
            </w:pPr>
            <w:r w:rsidRPr="00B25DD3">
              <w:rPr>
                <w:rFonts w:asciiTheme="minorBidi" w:hAnsiTheme="minorBidi" w:cstheme="minorBidi"/>
                <w:b/>
                <w:sz w:val="18"/>
                <w:szCs w:val="18"/>
              </w:rPr>
              <w:t>Indicator</w:t>
            </w:r>
            <w:r w:rsidRPr="00B25DD3">
              <w:rPr>
                <w:rFonts w:asciiTheme="minorBidi" w:hAnsiTheme="minorBidi" w:cstheme="minorBidi"/>
                <w:b/>
                <w:bCs/>
                <w:sz w:val="18"/>
                <w:szCs w:val="18"/>
              </w:rPr>
              <w:t>3.c.1</w:t>
            </w:r>
            <w:r w:rsidRPr="00B25DD3">
              <w:rPr>
                <w:rFonts w:asciiTheme="minorBidi" w:hAnsiTheme="minorBidi" w:cstheme="minorBidi"/>
                <w:sz w:val="18"/>
                <w:szCs w:val="18"/>
              </w:rPr>
              <w:t xml:space="preserve"> Health worker density and distribution</w:t>
            </w:r>
          </w:p>
        </w:tc>
        <w:tc>
          <w:tcPr>
            <w:tcW w:w="1304" w:type="dxa"/>
            <w:tcBorders>
              <w:bottom w:val="nil"/>
            </w:tcBorders>
            <w:shd w:val="clear" w:color="auto" w:fill="auto"/>
            <w:noWrap/>
          </w:tcPr>
          <w:p w14:paraId="5C8B8257" w14:textId="77777777" w:rsidR="00F9053B" w:rsidRPr="00B25DD3" w:rsidRDefault="00F9053B" w:rsidP="00F9053B">
            <w:pPr>
              <w:bidi w:val="0"/>
              <w:spacing w:after="0" w:line="240" w:lineRule="auto"/>
              <w:jc w:val="center"/>
              <w:rPr>
                <w:rFonts w:asciiTheme="minorBidi" w:hAnsiTheme="minorBidi" w:cstheme="minorBidi"/>
                <w:sz w:val="18"/>
                <w:szCs w:val="18"/>
              </w:rPr>
            </w:pPr>
          </w:p>
        </w:tc>
        <w:tc>
          <w:tcPr>
            <w:tcW w:w="1295" w:type="dxa"/>
            <w:tcBorders>
              <w:bottom w:val="nil"/>
            </w:tcBorders>
          </w:tcPr>
          <w:p w14:paraId="6F1430A0" w14:textId="77777777" w:rsidR="00F9053B" w:rsidRPr="00B25DD3" w:rsidRDefault="00F9053B" w:rsidP="00F9053B">
            <w:pPr>
              <w:bidi w:val="0"/>
              <w:spacing w:after="0" w:line="240" w:lineRule="auto"/>
              <w:ind w:right="113"/>
              <w:jc w:val="center"/>
              <w:rPr>
                <w:rFonts w:asciiTheme="minorBidi" w:hAnsiTheme="minorBidi" w:cstheme="minorBidi"/>
                <w:sz w:val="18"/>
                <w:szCs w:val="18"/>
                <w:rtl/>
              </w:rPr>
            </w:pPr>
          </w:p>
        </w:tc>
        <w:tc>
          <w:tcPr>
            <w:tcW w:w="1412" w:type="dxa"/>
            <w:tcBorders>
              <w:bottom w:val="nil"/>
            </w:tcBorders>
            <w:shd w:val="clear" w:color="auto" w:fill="auto"/>
          </w:tcPr>
          <w:p w14:paraId="749A4EFA" w14:textId="77777777" w:rsidR="00F9053B" w:rsidRPr="00B25DD3" w:rsidRDefault="00F9053B" w:rsidP="00F9053B">
            <w:pPr>
              <w:bidi w:val="0"/>
              <w:spacing w:after="0" w:line="240" w:lineRule="auto"/>
              <w:ind w:right="113"/>
              <w:jc w:val="center"/>
              <w:rPr>
                <w:rFonts w:asciiTheme="minorBidi" w:hAnsiTheme="minorBidi" w:cstheme="minorBidi"/>
                <w:sz w:val="18"/>
                <w:szCs w:val="18"/>
                <w:rtl/>
              </w:rPr>
            </w:pPr>
          </w:p>
        </w:tc>
        <w:tc>
          <w:tcPr>
            <w:tcW w:w="1645" w:type="dxa"/>
            <w:tcBorders>
              <w:bottom w:val="nil"/>
            </w:tcBorders>
          </w:tcPr>
          <w:p w14:paraId="5ED4B98A" w14:textId="77777777" w:rsidR="00F9053B" w:rsidRPr="00B25DD3" w:rsidRDefault="00F9053B" w:rsidP="00F9053B">
            <w:pPr>
              <w:bidi w:val="0"/>
              <w:spacing w:after="0" w:line="240" w:lineRule="auto"/>
              <w:ind w:right="113"/>
              <w:jc w:val="center"/>
              <w:rPr>
                <w:rFonts w:asciiTheme="minorBidi" w:hAnsiTheme="minorBidi" w:cstheme="minorBidi"/>
                <w:sz w:val="18"/>
                <w:szCs w:val="18"/>
                <w:rtl/>
              </w:rPr>
            </w:pPr>
          </w:p>
        </w:tc>
      </w:tr>
      <w:tr w:rsidR="004F0861" w:rsidRPr="00802088" w14:paraId="081F4941" w14:textId="77777777" w:rsidTr="00267BC4">
        <w:trPr>
          <w:trHeight w:val="510"/>
          <w:jc w:val="center"/>
        </w:trPr>
        <w:tc>
          <w:tcPr>
            <w:tcW w:w="3978" w:type="dxa"/>
            <w:tcBorders>
              <w:top w:val="nil"/>
              <w:bottom w:val="nil"/>
            </w:tcBorders>
            <w:shd w:val="clear" w:color="auto" w:fill="auto"/>
            <w:noWrap/>
            <w:vAlign w:val="center"/>
          </w:tcPr>
          <w:p w14:paraId="7C4048E1" w14:textId="77777777" w:rsidR="004F0861" w:rsidRPr="00B25DD3" w:rsidRDefault="004F0861" w:rsidP="00267BC4">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Physicians (MOH, 2021, per 10,000 population)</w:t>
            </w:r>
          </w:p>
        </w:tc>
        <w:tc>
          <w:tcPr>
            <w:tcW w:w="1304" w:type="dxa"/>
            <w:tcBorders>
              <w:top w:val="nil"/>
              <w:bottom w:val="nil"/>
            </w:tcBorders>
            <w:shd w:val="clear" w:color="auto" w:fill="auto"/>
            <w:noWrap/>
          </w:tcPr>
          <w:p w14:paraId="4938E1E3" w14:textId="77777777" w:rsidR="004F0861" w:rsidRPr="00B25DD3" w:rsidRDefault="004F0861" w:rsidP="004F0861">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tcPr>
          <w:p w14:paraId="263EAEF0" w14:textId="77777777" w:rsidR="004F0861" w:rsidRPr="00B25DD3" w:rsidRDefault="004F0861" w:rsidP="004F0861">
            <w:pPr>
              <w:bidi w:val="0"/>
              <w:spacing w:after="0" w:line="240" w:lineRule="auto"/>
              <w:ind w:right="113"/>
              <w:jc w:val="center"/>
              <w:rPr>
                <w:rFonts w:asciiTheme="minorBidi" w:hAnsiTheme="minorBidi" w:cstheme="minorBidi"/>
                <w:sz w:val="18"/>
                <w:szCs w:val="18"/>
              </w:rPr>
            </w:pPr>
            <w:r w:rsidRPr="00B25DD3">
              <w:rPr>
                <w:rFonts w:ascii="Simplified Arabic" w:hAnsi="Simplified Arabic" w:cs="Simplified Arabic"/>
                <w:sz w:val="18"/>
                <w:szCs w:val="18"/>
              </w:rPr>
              <w:t>22.4 (2020)</w:t>
            </w:r>
          </w:p>
        </w:tc>
        <w:tc>
          <w:tcPr>
            <w:tcW w:w="1412" w:type="dxa"/>
            <w:tcBorders>
              <w:top w:val="nil"/>
              <w:bottom w:val="nil"/>
            </w:tcBorders>
            <w:shd w:val="clear" w:color="auto" w:fill="auto"/>
          </w:tcPr>
          <w:p w14:paraId="4DC9EF20" w14:textId="77777777" w:rsidR="004F0861" w:rsidRPr="00B25DD3" w:rsidRDefault="004F0861" w:rsidP="004F0861">
            <w:pPr>
              <w:bidi w:val="0"/>
              <w:spacing w:after="0" w:line="240" w:lineRule="auto"/>
              <w:ind w:right="113"/>
              <w:jc w:val="center"/>
              <w:rPr>
                <w:rFonts w:asciiTheme="minorBidi" w:hAnsiTheme="minorBidi" w:cstheme="minorBidi"/>
                <w:sz w:val="18"/>
                <w:szCs w:val="18"/>
                <w:rtl/>
              </w:rPr>
            </w:pPr>
            <w:r w:rsidRPr="00B25DD3">
              <w:rPr>
                <w:rFonts w:ascii="Simplified Arabic" w:hAnsi="Simplified Arabic" w:cs="Simplified Arabic"/>
                <w:sz w:val="18"/>
                <w:szCs w:val="18"/>
              </w:rPr>
              <w:t>26.9</w:t>
            </w:r>
          </w:p>
        </w:tc>
        <w:tc>
          <w:tcPr>
            <w:tcW w:w="1645" w:type="dxa"/>
            <w:tcBorders>
              <w:top w:val="nil"/>
              <w:bottom w:val="nil"/>
            </w:tcBorders>
          </w:tcPr>
          <w:p w14:paraId="56E77278" w14:textId="77777777" w:rsidR="004F0861" w:rsidRPr="00B25DD3" w:rsidRDefault="004F0861" w:rsidP="004F0861">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Increase</w:t>
            </w:r>
          </w:p>
        </w:tc>
      </w:tr>
      <w:tr w:rsidR="004F0861" w:rsidRPr="00802088" w14:paraId="10991F71" w14:textId="77777777" w:rsidTr="00267BC4">
        <w:trPr>
          <w:trHeight w:val="510"/>
          <w:jc w:val="center"/>
        </w:trPr>
        <w:tc>
          <w:tcPr>
            <w:tcW w:w="3978" w:type="dxa"/>
            <w:tcBorders>
              <w:top w:val="nil"/>
              <w:bottom w:val="nil"/>
            </w:tcBorders>
            <w:shd w:val="clear" w:color="auto" w:fill="auto"/>
            <w:noWrap/>
            <w:vAlign w:val="center"/>
          </w:tcPr>
          <w:p w14:paraId="3349E60E" w14:textId="77777777" w:rsidR="004F0861" w:rsidRPr="00B25DD3" w:rsidRDefault="004F0861" w:rsidP="00267BC4">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Dentists (MOH, 2021, per 10,000  population)</w:t>
            </w:r>
          </w:p>
        </w:tc>
        <w:tc>
          <w:tcPr>
            <w:tcW w:w="1304" w:type="dxa"/>
            <w:tcBorders>
              <w:top w:val="nil"/>
              <w:bottom w:val="nil"/>
            </w:tcBorders>
            <w:shd w:val="clear" w:color="auto" w:fill="auto"/>
            <w:noWrap/>
          </w:tcPr>
          <w:p w14:paraId="350B7DB4" w14:textId="77777777" w:rsidR="004F0861" w:rsidRPr="00B25DD3" w:rsidRDefault="004F0861" w:rsidP="004F0861">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tcPr>
          <w:p w14:paraId="14E23B55" w14:textId="77777777" w:rsidR="004F0861" w:rsidRPr="00B25DD3" w:rsidRDefault="004F0861" w:rsidP="004F0861">
            <w:pPr>
              <w:spacing w:after="0" w:line="240" w:lineRule="auto"/>
              <w:ind w:right="113"/>
              <w:jc w:val="center"/>
              <w:rPr>
                <w:rFonts w:ascii="Simplified Arabic" w:hAnsi="Simplified Arabic" w:cs="Simplified Arabic"/>
                <w:sz w:val="18"/>
                <w:szCs w:val="18"/>
                <w:rtl/>
              </w:rPr>
            </w:pPr>
            <w:r w:rsidRPr="00B25DD3">
              <w:rPr>
                <w:rFonts w:ascii="Simplified Arabic" w:hAnsi="Simplified Arabic" w:cs="Simplified Arabic"/>
                <w:sz w:val="18"/>
                <w:szCs w:val="18"/>
              </w:rPr>
              <w:t xml:space="preserve">8.1 </w:t>
            </w:r>
          </w:p>
          <w:p w14:paraId="460AF6A8" w14:textId="77777777" w:rsidR="004F0861" w:rsidRPr="00B25DD3" w:rsidRDefault="004F0861" w:rsidP="004F0861">
            <w:pPr>
              <w:bidi w:val="0"/>
              <w:spacing w:after="0" w:line="240" w:lineRule="auto"/>
              <w:ind w:right="113"/>
              <w:jc w:val="center"/>
              <w:rPr>
                <w:rFonts w:asciiTheme="minorBidi" w:hAnsiTheme="minorBidi" w:cstheme="minorBidi"/>
                <w:sz w:val="18"/>
                <w:szCs w:val="18"/>
              </w:rPr>
            </w:pPr>
            <w:r w:rsidRPr="00B25DD3">
              <w:rPr>
                <w:rFonts w:ascii="Simplified Arabic" w:hAnsi="Simplified Arabic" w:cs="Simplified Arabic"/>
                <w:sz w:val="18"/>
                <w:szCs w:val="18"/>
              </w:rPr>
              <w:t>(2020)</w:t>
            </w:r>
          </w:p>
        </w:tc>
        <w:tc>
          <w:tcPr>
            <w:tcW w:w="1412" w:type="dxa"/>
            <w:tcBorders>
              <w:top w:val="nil"/>
              <w:bottom w:val="nil"/>
            </w:tcBorders>
            <w:shd w:val="clear" w:color="auto" w:fill="auto"/>
          </w:tcPr>
          <w:p w14:paraId="2DA56F83" w14:textId="77777777" w:rsidR="004F0861" w:rsidRPr="00B25DD3" w:rsidRDefault="004F0861" w:rsidP="004F0861">
            <w:pPr>
              <w:bidi w:val="0"/>
              <w:spacing w:after="0" w:line="240" w:lineRule="auto"/>
              <w:ind w:right="113"/>
              <w:jc w:val="center"/>
              <w:rPr>
                <w:rFonts w:asciiTheme="minorBidi" w:hAnsiTheme="minorBidi" w:cstheme="minorBidi"/>
                <w:sz w:val="18"/>
                <w:szCs w:val="18"/>
                <w:rtl/>
              </w:rPr>
            </w:pPr>
            <w:r w:rsidRPr="00B25DD3">
              <w:rPr>
                <w:rFonts w:ascii="Simplified Arabic" w:hAnsi="Simplified Arabic" w:cs="Simplified Arabic"/>
                <w:sz w:val="18"/>
                <w:szCs w:val="18"/>
              </w:rPr>
              <w:t>11.4</w:t>
            </w:r>
          </w:p>
        </w:tc>
        <w:tc>
          <w:tcPr>
            <w:tcW w:w="1645" w:type="dxa"/>
            <w:tcBorders>
              <w:top w:val="nil"/>
              <w:bottom w:val="nil"/>
            </w:tcBorders>
          </w:tcPr>
          <w:p w14:paraId="3EB3BE52" w14:textId="77777777" w:rsidR="004F0861" w:rsidRPr="00B25DD3" w:rsidRDefault="004F0861" w:rsidP="004F0861">
            <w:pPr>
              <w:bidi w:val="0"/>
              <w:spacing w:after="0" w:line="240" w:lineRule="auto"/>
              <w:ind w:right="113"/>
              <w:jc w:val="center"/>
              <w:rPr>
                <w:rFonts w:asciiTheme="minorBidi" w:hAnsiTheme="minorBidi" w:cstheme="minorBidi"/>
                <w:sz w:val="18"/>
                <w:szCs w:val="18"/>
              </w:rPr>
            </w:pPr>
            <w:r w:rsidRPr="00B25DD3">
              <w:rPr>
                <w:rFonts w:asciiTheme="minorBidi" w:hAnsiTheme="minorBidi" w:cstheme="minorBidi"/>
                <w:sz w:val="18"/>
                <w:szCs w:val="18"/>
              </w:rPr>
              <w:t>Increase</w:t>
            </w:r>
          </w:p>
        </w:tc>
      </w:tr>
      <w:tr w:rsidR="004F0861" w:rsidRPr="00802088" w14:paraId="463CB3D5" w14:textId="77777777" w:rsidTr="00267BC4">
        <w:trPr>
          <w:trHeight w:val="510"/>
          <w:jc w:val="center"/>
        </w:trPr>
        <w:tc>
          <w:tcPr>
            <w:tcW w:w="3978" w:type="dxa"/>
            <w:tcBorders>
              <w:top w:val="nil"/>
              <w:bottom w:val="nil"/>
            </w:tcBorders>
            <w:shd w:val="clear" w:color="auto" w:fill="auto"/>
            <w:noWrap/>
            <w:vAlign w:val="center"/>
          </w:tcPr>
          <w:p w14:paraId="5D57E8BF" w14:textId="77777777" w:rsidR="004F0861" w:rsidRPr="00B25DD3" w:rsidRDefault="004F0861" w:rsidP="00267BC4">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Pharmacist (MOH, 2021, per 10,000  population)</w:t>
            </w:r>
          </w:p>
        </w:tc>
        <w:tc>
          <w:tcPr>
            <w:tcW w:w="1304" w:type="dxa"/>
            <w:tcBorders>
              <w:top w:val="nil"/>
              <w:bottom w:val="nil"/>
            </w:tcBorders>
            <w:shd w:val="clear" w:color="auto" w:fill="auto"/>
            <w:noWrap/>
          </w:tcPr>
          <w:p w14:paraId="1088D828" w14:textId="77777777" w:rsidR="004F0861" w:rsidRPr="00B25DD3" w:rsidRDefault="004F0861" w:rsidP="004F0861">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tcPr>
          <w:p w14:paraId="6CD9382B" w14:textId="77777777" w:rsidR="004F0861" w:rsidRPr="00B25DD3" w:rsidRDefault="004F0861" w:rsidP="004F0861">
            <w:pPr>
              <w:bidi w:val="0"/>
              <w:spacing w:after="0" w:line="240" w:lineRule="auto"/>
              <w:ind w:right="113"/>
              <w:jc w:val="center"/>
              <w:rPr>
                <w:rFonts w:asciiTheme="minorBidi" w:hAnsiTheme="minorBidi" w:cstheme="minorBidi"/>
                <w:sz w:val="18"/>
                <w:szCs w:val="18"/>
                <w:rtl/>
              </w:rPr>
            </w:pPr>
            <w:r w:rsidRPr="00B25DD3">
              <w:rPr>
                <w:rFonts w:ascii="Simplified Arabic" w:hAnsi="Simplified Arabic" w:cs="Simplified Arabic"/>
                <w:sz w:val="18"/>
                <w:szCs w:val="18"/>
              </w:rPr>
              <w:t>11.5 (2020)</w:t>
            </w:r>
          </w:p>
        </w:tc>
        <w:tc>
          <w:tcPr>
            <w:tcW w:w="1412" w:type="dxa"/>
            <w:tcBorders>
              <w:top w:val="nil"/>
              <w:bottom w:val="nil"/>
            </w:tcBorders>
            <w:shd w:val="clear" w:color="auto" w:fill="auto"/>
          </w:tcPr>
          <w:p w14:paraId="644CA7F4" w14:textId="77777777" w:rsidR="004F0861" w:rsidRPr="00B25DD3" w:rsidRDefault="004F0861" w:rsidP="004F0861">
            <w:pPr>
              <w:bidi w:val="0"/>
              <w:spacing w:after="0" w:line="240" w:lineRule="auto"/>
              <w:ind w:right="113"/>
              <w:jc w:val="center"/>
              <w:rPr>
                <w:rFonts w:asciiTheme="minorBidi" w:hAnsiTheme="minorBidi" w:cstheme="minorBidi"/>
                <w:sz w:val="18"/>
                <w:szCs w:val="18"/>
              </w:rPr>
            </w:pPr>
            <w:r w:rsidRPr="00B25DD3">
              <w:rPr>
                <w:rFonts w:ascii="Simplified Arabic" w:hAnsi="Simplified Arabic" w:cs="Simplified Arabic"/>
                <w:sz w:val="18"/>
                <w:szCs w:val="18"/>
              </w:rPr>
              <w:t>16.7</w:t>
            </w:r>
          </w:p>
        </w:tc>
        <w:tc>
          <w:tcPr>
            <w:tcW w:w="1645" w:type="dxa"/>
            <w:tcBorders>
              <w:top w:val="nil"/>
              <w:bottom w:val="nil"/>
            </w:tcBorders>
          </w:tcPr>
          <w:p w14:paraId="6BD42FDA" w14:textId="77777777" w:rsidR="004F0861" w:rsidRPr="00B25DD3" w:rsidRDefault="004F0861" w:rsidP="004F0861">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Increase</w:t>
            </w:r>
          </w:p>
        </w:tc>
      </w:tr>
      <w:tr w:rsidR="004F0861" w:rsidRPr="00802088" w14:paraId="5BD1303D" w14:textId="77777777" w:rsidTr="00267BC4">
        <w:trPr>
          <w:trHeight w:val="510"/>
          <w:jc w:val="center"/>
        </w:trPr>
        <w:tc>
          <w:tcPr>
            <w:tcW w:w="3978" w:type="dxa"/>
            <w:tcBorders>
              <w:top w:val="nil"/>
              <w:bottom w:val="nil"/>
            </w:tcBorders>
            <w:shd w:val="clear" w:color="auto" w:fill="auto"/>
            <w:noWrap/>
            <w:vAlign w:val="center"/>
          </w:tcPr>
          <w:p w14:paraId="21CBD31D" w14:textId="77777777" w:rsidR="004F0861" w:rsidRPr="00B25DD3" w:rsidRDefault="004F0861" w:rsidP="00267BC4">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Nursing  (MOH, 2021, per 10,000  population)</w:t>
            </w:r>
          </w:p>
        </w:tc>
        <w:tc>
          <w:tcPr>
            <w:tcW w:w="1304" w:type="dxa"/>
            <w:tcBorders>
              <w:top w:val="nil"/>
              <w:bottom w:val="nil"/>
            </w:tcBorders>
            <w:shd w:val="clear" w:color="auto" w:fill="auto"/>
            <w:noWrap/>
          </w:tcPr>
          <w:p w14:paraId="236EC61F" w14:textId="77777777" w:rsidR="004F0861" w:rsidRPr="00B25DD3" w:rsidRDefault="004F0861" w:rsidP="004F0861">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nil"/>
            </w:tcBorders>
          </w:tcPr>
          <w:p w14:paraId="6BB34AC8" w14:textId="77777777" w:rsidR="004F0861" w:rsidRPr="00B25DD3" w:rsidRDefault="004F0861" w:rsidP="004F0861">
            <w:pPr>
              <w:bidi w:val="0"/>
              <w:spacing w:after="0" w:line="240" w:lineRule="auto"/>
              <w:ind w:right="113"/>
              <w:jc w:val="center"/>
              <w:rPr>
                <w:rFonts w:asciiTheme="minorBidi" w:hAnsiTheme="minorBidi" w:cstheme="minorBidi"/>
                <w:sz w:val="18"/>
                <w:szCs w:val="18"/>
                <w:rtl/>
              </w:rPr>
            </w:pPr>
            <w:r w:rsidRPr="00B25DD3">
              <w:rPr>
                <w:rFonts w:ascii="Simplified Arabic" w:hAnsi="Simplified Arabic" w:cs="Simplified Arabic"/>
                <w:sz w:val="18"/>
                <w:szCs w:val="18"/>
              </w:rPr>
              <w:t>27.8 (2020)</w:t>
            </w:r>
          </w:p>
        </w:tc>
        <w:tc>
          <w:tcPr>
            <w:tcW w:w="1412" w:type="dxa"/>
            <w:tcBorders>
              <w:top w:val="nil"/>
              <w:bottom w:val="nil"/>
            </w:tcBorders>
            <w:shd w:val="clear" w:color="auto" w:fill="auto"/>
          </w:tcPr>
          <w:p w14:paraId="5848CB59" w14:textId="77777777" w:rsidR="004F0861" w:rsidRPr="00B25DD3" w:rsidRDefault="004F0861" w:rsidP="004F0861">
            <w:pPr>
              <w:bidi w:val="0"/>
              <w:spacing w:after="0" w:line="240" w:lineRule="auto"/>
              <w:ind w:right="113"/>
              <w:jc w:val="center"/>
              <w:rPr>
                <w:rFonts w:asciiTheme="minorBidi" w:hAnsiTheme="minorBidi" w:cstheme="minorBidi"/>
                <w:sz w:val="18"/>
                <w:szCs w:val="18"/>
              </w:rPr>
            </w:pPr>
            <w:r w:rsidRPr="00B25DD3">
              <w:rPr>
                <w:rFonts w:ascii="Simplified Arabic" w:hAnsi="Simplified Arabic" w:cs="Simplified Arabic"/>
                <w:sz w:val="18"/>
                <w:szCs w:val="18"/>
              </w:rPr>
              <w:t>19.9</w:t>
            </w:r>
          </w:p>
        </w:tc>
        <w:tc>
          <w:tcPr>
            <w:tcW w:w="1645" w:type="dxa"/>
            <w:tcBorders>
              <w:top w:val="nil"/>
              <w:bottom w:val="nil"/>
            </w:tcBorders>
          </w:tcPr>
          <w:p w14:paraId="7BADF65C" w14:textId="77777777" w:rsidR="004F0861" w:rsidRPr="00B25DD3" w:rsidRDefault="004F0861" w:rsidP="004F0861">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Decrease</w:t>
            </w:r>
          </w:p>
        </w:tc>
      </w:tr>
      <w:tr w:rsidR="004F0861" w:rsidRPr="00802088" w14:paraId="4321BAE2" w14:textId="77777777" w:rsidTr="00267BC4">
        <w:trPr>
          <w:trHeight w:val="510"/>
          <w:jc w:val="center"/>
        </w:trPr>
        <w:tc>
          <w:tcPr>
            <w:tcW w:w="3978" w:type="dxa"/>
            <w:tcBorders>
              <w:top w:val="nil"/>
              <w:bottom w:val="single" w:sz="4" w:space="0" w:color="auto"/>
            </w:tcBorders>
            <w:shd w:val="clear" w:color="auto" w:fill="auto"/>
            <w:noWrap/>
            <w:vAlign w:val="center"/>
          </w:tcPr>
          <w:p w14:paraId="03348814" w14:textId="77777777" w:rsidR="004F0861" w:rsidRPr="00B25DD3" w:rsidRDefault="004F0861" w:rsidP="00267BC4">
            <w:pPr>
              <w:tabs>
                <w:tab w:val="left" w:pos="9072"/>
              </w:tabs>
              <w:bidi w:val="0"/>
              <w:spacing w:after="0" w:line="240" w:lineRule="auto"/>
              <w:ind w:left="336"/>
              <w:jc w:val="both"/>
              <w:rPr>
                <w:rFonts w:asciiTheme="minorBidi" w:hAnsiTheme="minorBidi" w:cstheme="minorBidi"/>
                <w:sz w:val="18"/>
                <w:szCs w:val="18"/>
              </w:rPr>
            </w:pPr>
            <w:r w:rsidRPr="00B25DD3">
              <w:rPr>
                <w:rFonts w:asciiTheme="minorBidi" w:hAnsiTheme="minorBidi" w:cstheme="minorBidi"/>
                <w:sz w:val="18"/>
                <w:szCs w:val="18"/>
              </w:rPr>
              <w:t>Midwifery (MOH, 2021, per 10,000  population)</w:t>
            </w:r>
          </w:p>
        </w:tc>
        <w:tc>
          <w:tcPr>
            <w:tcW w:w="1304" w:type="dxa"/>
            <w:tcBorders>
              <w:top w:val="nil"/>
              <w:bottom w:val="single" w:sz="4" w:space="0" w:color="auto"/>
            </w:tcBorders>
            <w:shd w:val="clear" w:color="auto" w:fill="auto"/>
            <w:noWrap/>
          </w:tcPr>
          <w:p w14:paraId="11551AAB" w14:textId="77777777" w:rsidR="004F0861" w:rsidRPr="00B25DD3" w:rsidRDefault="004F0861" w:rsidP="004F0861">
            <w:pPr>
              <w:bidi w:val="0"/>
              <w:spacing w:after="0" w:line="240" w:lineRule="auto"/>
              <w:jc w:val="center"/>
              <w:rPr>
                <w:rFonts w:asciiTheme="minorBidi" w:hAnsiTheme="minorBidi" w:cstheme="minorBidi"/>
                <w:sz w:val="18"/>
                <w:szCs w:val="18"/>
              </w:rPr>
            </w:pPr>
            <w:r w:rsidRPr="00B25DD3">
              <w:rPr>
                <w:rFonts w:asciiTheme="minorBidi" w:hAnsiTheme="minorBidi" w:cstheme="minorBidi"/>
                <w:sz w:val="18"/>
                <w:szCs w:val="18"/>
              </w:rPr>
              <w:t>Identical</w:t>
            </w:r>
          </w:p>
        </w:tc>
        <w:tc>
          <w:tcPr>
            <w:tcW w:w="1295" w:type="dxa"/>
            <w:tcBorders>
              <w:top w:val="nil"/>
              <w:bottom w:val="single" w:sz="4" w:space="0" w:color="auto"/>
            </w:tcBorders>
          </w:tcPr>
          <w:p w14:paraId="08ECDCD5" w14:textId="77777777" w:rsidR="004F0861" w:rsidRPr="00B25DD3" w:rsidRDefault="004F0861" w:rsidP="004F0861">
            <w:pPr>
              <w:bidi w:val="0"/>
              <w:spacing w:after="0" w:line="240" w:lineRule="auto"/>
              <w:ind w:right="113"/>
              <w:jc w:val="center"/>
              <w:rPr>
                <w:rFonts w:asciiTheme="minorBidi" w:hAnsiTheme="minorBidi" w:cstheme="minorBidi"/>
                <w:sz w:val="18"/>
                <w:szCs w:val="18"/>
                <w:rtl/>
              </w:rPr>
            </w:pPr>
            <w:r w:rsidRPr="00B25DD3">
              <w:rPr>
                <w:rFonts w:ascii="Simplified Arabic" w:hAnsi="Simplified Arabic" w:cs="Simplified Arabic"/>
                <w:sz w:val="18"/>
                <w:szCs w:val="18"/>
              </w:rPr>
              <w:t>2.7 (2020)</w:t>
            </w:r>
          </w:p>
        </w:tc>
        <w:tc>
          <w:tcPr>
            <w:tcW w:w="1412" w:type="dxa"/>
            <w:tcBorders>
              <w:top w:val="nil"/>
              <w:bottom w:val="single" w:sz="4" w:space="0" w:color="auto"/>
            </w:tcBorders>
            <w:shd w:val="clear" w:color="auto" w:fill="auto"/>
          </w:tcPr>
          <w:p w14:paraId="01E07F2C" w14:textId="77777777" w:rsidR="004F0861" w:rsidRPr="00B25DD3" w:rsidRDefault="004F0861" w:rsidP="004F0861">
            <w:pPr>
              <w:bidi w:val="0"/>
              <w:spacing w:after="0" w:line="240" w:lineRule="auto"/>
              <w:ind w:right="113"/>
              <w:jc w:val="center"/>
              <w:rPr>
                <w:rFonts w:asciiTheme="minorBidi" w:hAnsiTheme="minorBidi" w:cstheme="minorBidi"/>
                <w:sz w:val="18"/>
                <w:szCs w:val="18"/>
                <w:rtl/>
              </w:rPr>
            </w:pPr>
            <w:r w:rsidRPr="00B25DD3">
              <w:rPr>
                <w:rFonts w:ascii="Simplified Arabic" w:hAnsi="Simplified Arabic" w:cs="Simplified Arabic"/>
                <w:sz w:val="18"/>
                <w:szCs w:val="18"/>
              </w:rPr>
              <w:t>2.0</w:t>
            </w:r>
          </w:p>
        </w:tc>
        <w:tc>
          <w:tcPr>
            <w:tcW w:w="1645" w:type="dxa"/>
            <w:tcBorders>
              <w:top w:val="nil"/>
              <w:bottom w:val="single" w:sz="4" w:space="0" w:color="auto"/>
            </w:tcBorders>
          </w:tcPr>
          <w:p w14:paraId="1C7B5968" w14:textId="77777777" w:rsidR="004F0861" w:rsidRPr="00B25DD3" w:rsidRDefault="004F0861" w:rsidP="004F0861">
            <w:pPr>
              <w:bidi w:val="0"/>
              <w:spacing w:after="0" w:line="240" w:lineRule="auto"/>
              <w:ind w:right="113"/>
              <w:jc w:val="center"/>
              <w:rPr>
                <w:rFonts w:asciiTheme="minorBidi" w:hAnsiTheme="minorBidi" w:cstheme="minorBidi"/>
                <w:sz w:val="18"/>
                <w:szCs w:val="18"/>
                <w:rtl/>
              </w:rPr>
            </w:pPr>
            <w:r w:rsidRPr="00B25DD3">
              <w:rPr>
                <w:rFonts w:asciiTheme="minorBidi" w:hAnsiTheme="minorBidi" w:cstheme="minorBidi"/>
                <w:sz w:val="18"/>
                <w:szCs w:val="18"/>
              </w:rPr>
              <w:t>Decrease</w:t>
            </w:r>
          </w:p>
        </w:tc>
      </w:tr>
    </w:tbl>
    <w:p w14:paraId="000B4141" w14:textId="77777777" w:rsidR="00E34CD1" w:rsidRPr="00802088" w:rsidRDefault="00E34CD1" w:rsidP="008C6258">
      <w:pPr>
        <w:widowControl w:val="0"/>
        <w:bidi w:val="0"/>
        <w:spacing w:after="0" w:line="240" w:lineRule="auto"/>
        <w:rPr>
          <w:rFonts w:asciiTheme="minorBidi" w:eastAsia="Arial Narrow" w:hAnsiTheme="minorBidi" w:cstheme="minorBidi"/>
          <w:color w:val="000000"/>
          <w:spacing w:val="2"/>
          <w:sz w:val="18"/>
          <w:szCs w:val="18"/>
          <w:shd w:val="clear" w:color="auto" w:fill="FFFFFF"/>
          <w:lang w:val="en-GB"/>
        </w:rPr>
      </w:pPr>
      <w:r w:rsidRPr="00802088">
        <w:rPr>
          <w:rFonts w:asciiTheme="minorBidi" w:eastAsia="Arial Narrow" w:hAnsiTheme="minorBidi" w:cstheme="minorBidi"/>
          <w:color w:val="000000"/>
          <w:spacing w:val="2"/>
          <w:sz w:val="18"/>
          <w:szCs w:val="18"/>
          <w:shd w:val="clear" w:color="auto" w:fill="FFFFFF"/>
          <w:lang w:val="en-GB"/>
        </w:rPr>
        <w:t>*: Data represent</w:t>
      </w:r>
      <w:r w:rsidR="00B3098A">
        <w:rPr>
          <w:rFonts w:asciiTheme="minorBidi" w:eastAsia="Arial Narrow" w:hAnsiTheme="minorBidi" w:cstheme="minorBidi"/>
          <w:color w:val="000000"/>
          <w:spacing w:val="2"/>
          <w:sz w:val="18"/>
          <w:szCs w:val="18"/>
          <w:shd w:val="clear" w:color="auto" w:fill="FFFFFF"/>
          <w:lang w:val="en-GB"/>
        </w:rPr>
        <w:t>s</w:t>
      </w:r>
      <w:r w:rsidRPr="00802088">
        <w:rPr>
          <w:rFonts w:asciiTheme="minorBidi" w:eastAsia="Arial Narrow" w:hAnsiTheme="minorBidi" w:cstheme="minorBidi"/>
          <w:color w:val="000000"/>
          <w:spacing w:val="2"/>
          <w:sz w:val="18"/>
          <w:szCs w:val="18"/>
          <w:shd w:val="clear" w:color="auto" w:fill="FFFFFF"/>
          <w:lang w:val="en-GB"/>
        </w:rPr>
        <w:t xml:space="preserve"> the West Bank only</w:t>
      </w:r>
    </w:p>
    <w:p w14:paraId="4AD30339" w14:textId="77777777" w:rsidR="005400EE" w:rsidRPr="00802088" w:rsidRDefault="007B7BEC" w:rsidP="007B7BEC">
      <w:pPr>
        <w:bidi w:val="0"/>
        <w:spacing w:after="0" w:line="240" w:lineRule="auto"/>
        <w:ind w:right="-334"/>
        <w:jc w:val="both"/>
        <w:rPr>
          <w:rFonts w:asciiTheme="minorBidi" w:eastAsia="Arial Narrow" w:hAnsiTheme="minorBidi" w:cstheme="minorBidi"/>
          <w:color w:val="000000"/>
          <w:spacing w:val="2"/>
          <w:sz w:val="18"/>
          <w:szCs w:val="18"/>
          <w:shd w:val="clear" w:color="auto" w:fill="FFFFFF"/>
          <w:lang w:val="en-GB"/>
        </w:rPr>
      </w:pPr>
      <w:r w:rsidRPr="00802088">
        <w:rPr>
          <w:rFonts w:asciiTheme="minorBidi" w:eastAsia="Arial Narrow" w:hAnsiTheme="minorBidi" w:cstheme="minorBidi"/>
          <w:color w:val="000000"/>
          <w:spacing w:val="2"/>
          <w:sz w:val="18"/>
          <w:szCs w:val="18"/>
          <w:shd w:val="clear" w:color="auto" w:fill="FFFFFF"/>
          <w:lang w:val="en-GB"/>
        </w:rPr>
        <w:t>**: Data represent</w:t>
      </w:r>
      <w:r w:rsidR="00B3098A">
        <w:rPr>
          <w:rFonts w:asciiTheme="minorBidi" w:eastAsia="Arial Narrow" w:hAnsiTheme="minorBidi" w:cstheme="minorBidi"/>
          <w:color w:val="000000"/>
          <w:spacing w:val="2"/>
          <w:sz w:val="18"/>
          <w:szCs w:val="18"/>
          <w:shd w:val="clear" w:color="auto" w:fill="FFFFFF"/>
          <w:lang w:val="en-GB"/>
        </w:rPr>
        <w:t>s</w:t>
      </w:r>
      <w:r w:rsidR="00AC2E62" w:rsidRPr="00802088">
        <w:rPr>
          <w:rFonts w:asciiTheme="minorBidi" w:eastAsia="Arial Narrow" w:hAnsiTheme="minorBidi" w:cstheme="minorBidi"/>
          <w:color w:val="000000"/>
          <w:spacing w:val="2"/>
          <w:sz w:val="18"/>
          <w:szCs w:val="18"/>
          <w:shd w:val="clear" w:color="auto" w:fill="FFFFFF"/>
          <w:lang w:val="en-GB"/>
        </w:rPr>
        <w:t>individuals</w:t>
      </w:r>
      <w:r w:rsidRPr="00802088">
        <w:rPr>
          <w:rFonts w:asciiTheme="minorBidi" w:eastAsia="Arial Narrow" w:hAnsiTheme="minorBidi" w:cstheme="minorBidi"/>
          <w:color w:val="000000"/>
          <w:spacing w:val="2"/>
          <w:sz w:val="18"/>
          <w:szCs w:val="18"/>
          <w:shd w:val="clear" w:color="auto" w:fill="FFFFFF"/>
          <w:lang w:val="en-GB"/>
        </w:rPr>
        <w:t xml:space="preserve"> 18 and above</w:t>
      </w:r>
    </w:p>
    <w:p w14:paraId="1C2F8CC9" w14:textId="77777777" w:rsidR="00B25DD3" w:rsidRDefault="00B25DD3" w:rsidP="00D57BFD">
      <w:pPr>
        <w:tabs>
          <w:tab w:val="left" w:pos="8115"/>
        </w:tabs>
        <w:autoSpaceDE w:val="0"/>
        <w:autoSpaceDN w:val="0"/>
        <w:bidi w:val="0"/>
        <w:adjustRightInd w:val="0"/>
        <w:spacing w:after="0" w:line="240" w:lineRule="auto"/>
        <w:jc w:val="both"/>
        <w:rPr>
          <w:rFonts w:ascii="Times New Roman" w:hAnsi="Times New Roman" w:cs="Times New Roman"/>
          <w:b/>
          <w:bCs/>
          <w:i/>
          <w:iCs/>
          <w:sz w:val="24"/>
          <w:szCs w:val="24"/>
        </w:rPr>
      </w:pPr>
    </w:p>
    <w:p w14:paraId="6738AB6C" w14:textId="77777777" w:rsidR="00877949" w:rsidRDefault="00E34CD1" w:rsidP="00B25DD3">
      <w:pPr>
        <w:tabs>
          <w:tab w:val="left" w:pos="8115"/>
        </w:tabs>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lastRenderedPageBreak/>
        <w:t>Indicator 3.1.1 Maternal mortality ratio</w:t>
      </w:r>
    </w:p>
    <w:p w14:paraId="0415351D" w14:textId="77777777" w:rsidR="00055BF1" w:rsidRPr="00D57BFD" w:rsidRDefault="00E34CD1" w:rsidP="00877949">
      <w:pPr>
        <w:tabs>
          <w:tab w:val="left" w:pos="8115"/>
        </w:tabs>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ab/>
      </w:r>
    </w:p>
    <w:p w14:paraId="3CA35C12" w14:textId="77777777" w:rsidR="00E34CD1" w:rsidRDefault="00E34CD1" w:rsidP="00CF007C">
      <w:pPr>
        <w:autoSpaceDE w:val="0"/>
        <w:autoSpaceDN w:val="0"/>
        <w:bidi w:val="0"/>
        <w:adjustRightInd w:val="0"/>
        <w:spacing w:after="0" w:line="240" w:lineRule="auto"/>
        <w:jc w:val="both"/>
        <w:rPr>
          <w:rFonts w:ascii="Times New Roman" w:hAnsi="Times New Roman" w:cs="Times New Roman"/>
          <w:sz w:val="24"/>
          <w:szCs w:val="24"/>
        </w:rPr>
      </w:pPr>
      <w:r w:rsidRPr="00604E30">
        <w:rPr>
          <w:rFonts w:ascii="Times New Roman" w:hAnsi="Times New Roman" w:cs="Times New Roman"/>
          <w:sz w:val="24"/>
          <w:szCs w:val="24"/>
        </w:rPr>
        <w:t xml:space="preserve">The maternal mortality rate in Palestine </w:t>
      </w:r>
      <w:r w:rsidR="007548B2">
        <w:rPr>
          <w:rFonts w:ascii="Times New Roman" w:hAnsi="Times New Roman" w:cs="Times New Roman"/>
          <w:sz w:val="24"/>
          <w:szCs w:val="24"/>
        </w:rPr>
        <w:t>reached</w:t>
      </w:r>
      <w:r w:rsidR="008C6F40">
        <w:rPr>
          <w:rFonts w:ascii="Times New Roman" w:hAnsi="Times New Roman" w:cs="Times New Roman" w:hint="cs"/>
          <w:sz w:val="24"/>
          <w:szCs w:val="24"/>
          <w:rtl/>
        </w:rPr>
        <w:t>47.7</w:t>
      </w:r>
      <w:r w:rsidRPr="00604E30">
        <w:rPr>
          <w:rFonts w:ascii="Times New Roman" w:hAnsi="Times New Roman" w:cs="Times New Roman"/>
          <w:sz w:val="24"/>
          <w:szCs w:val="24"/>
        </w:rPr>
        <w:t xml:space="preserve"> women per 100,000 live births in 20</w:t>
      </w:r>
      <w:r w:rsidR="008C6F40">
        <w:rPr>
          <w:rFonts w:ascii="Times New Roman" w:hAnsi="Times New Roman" w:cs="Times New Roman" w:hint="cs"/>
          <w:sz w:val="24"/>
          <w:szCs w:val="24"/>
          <w:rtl/>
        </w:rPr>
        <w:t>21</w:t>
      </w:r>
      <w:r w:rsidRPr="00604E30">
        <w:rPr>
          <w:rFonts w:ascii="Times New Roman" w:hAnsi="Times New Roman" w:cs="Times New Roman"/>
          <w:sz w:val="24"/>
          <w:szCs w:val="24"/>
        </w:rPr>
        <w:t>,</w:t>
      </w:r>
      <w:r>
        <w:rPr>
          <w:rFonts w:ascii="Times New Roman" w:hAnsi="Times New Roman" w:cs="Times New Roman"/>
          <w:sz w:val="24"/>
          <w:szCs w:val="24"/>
        </w:rPr>
        <w:t xml:space="preserve"> compared to </w:t>
      </w:r>
      <w:r w:rsidR="008C6F40">
        <w:rPr>
          <w:rFonts w:ascii="Times New Roman" w:hAnsi="Times New Roman" w:cs="Times New Roman"/>
          <w:sz w:val="24"/>
          <w:szCs w:val="24"/>
        </w:rPr>
        <w:t>28.5</w:t>
      </w:r>
      <w:r w:rsidRPr="00604E30">
        <w:rPr>
          <w:rFonts w:ascii="Times New Roman" w:hAnsi="Times New Roman" w:cs="Times New Roman"/>
          <w:sz w:val="24"/>
          <w:szCs w:val="24"/>
        </w:rPr>
        <w:t>women per 100,000 live births</w:t>
      </w:r>
      <w:r>
        <w:rPr>
          <w:rFonts w:ascii="Times New Roman" w:hAnsi="Times New Roman" w:cs="Times New Roman"/>
          <w:sz w:val="24"/>
          <w:szCs w:val="24"/>
        </w:rPr>
        <w:t xml:space="preserve"> in 20</w:t>
      </w:r>
      <w:r w:rsidR="008C6F40">
        <w:rPr>
          <w:rFonts w:ascii="Times New Roman" w:hAnsi="Times New Roman" w:cs="Times New Roman"/>
          <w:sz w:val="24"/>
          <w:szCs w:val="24"/>
        </w:rPr>
        <w:t>20</w:t>
      </w:r>
      <w:r>
        <w:rPr>
          <w:rFonts w:ascii="Times New Roman" w:hAnsi="Times New Roman" w:cs="Times New Roman"/>
          <w:sz w:val="24"/>
          <w:szCs w:val="24"/>
        </w:rPr>
        <w:t xml:space="preserve">. </w:t>
      </w:r>
      <w:r w:rsidRPr="00604E30">
        <w:rPr>
          <w:rFonts w:ascii="Times New Roman" w:hAnsi="Times New Roman" w:cs="Times New Roman"/>
          <w:sz w:val="24"/>
          <w:szCs w:val="24"/>
        </w:rPr>
        <w:t xml:space="preserve">At the region level, maternal mortality in Gaza Strip </w:t>
      </w:r>
      <w:r w:rsidR="002973D7">
        <w:rPr>
          <w:rFonts w:ascii="Times New Roman" w:hAnsi="Times New Roman" w:cs="Times New Roman"/>
          <w:sz w:val="24"/>
          <w:szCs w:val="24"/>
        </w:rPr>
        <w:t>reached</w:t>
      </w:r>
      <w:r w:rsidR="00714484">
        <w:rPr>
          <w:rFonts w:ascii="Times New Roman" w:hAnsi="Times New Roman" w:cs="Times New Roman"/>
          <w:sz w:val="24"/>
          <w:szCs w:val="24"/>
        </w:rPr>
        <w:t>39.1</w:t>
      </w:r>
      <w:r w:rsidRPr="00604E30">
        <w:rPr>
          <w:rFonts w:ascii="Times New Roman" w:hAnsi="Times New Roman" w:cs="Times New Roman"/>
          <w:sz w:val="24"/>
          <w:szCs w:val="24"/>
        </w:rPr>
        <w:t xml:space="preserve"> per 100,000 live births, while the rate in the West Bank was </w:t>
      </w:r>
      <w:r w:rsidR="00714484">
        <w:rPr>
          <w:rFonts w:ascii="Times New Roman" w:hAnsi="Times New Roman" w:cs="Times New Roman"/>
          <w:sz w:val="24"/>
          <w:szCs w:val="24"/>
        </w:rPr>
        <w:t>60</w:t>
      </w:r>
      <w:r w:rsidRPr="00604E30">
        <w:rPr>
          <w:rFonts w:ascii="Times New Roman" w:hAnsi="Times New Roman" w:cs="Times New Roman"/>
          <w:sz w:val="24"/>
          <w:szCs w:val="24"/>
        </w:rPr>
        <w:t xml:space="preserve"> per 100,000 live births in 202</w:t>
      </w:r>
      <w:r w:rsidR="00714484">
        <w:rPr>
          <w:rFonts w:ascii="Times New Roman" w:hAnsi="Times New Roman" w:cs="Times New Roman"/>
          <w:sz w:val="24"/>
          <w:szCs w:val="24"/>
        </w:rPr>
        <w:t>1</w:t>
      </w:r>
      <w:r w:rsidRPr="00604E30">
        <w:rPr>
          <w:rFonts w:ascii="Times New Roman" w:hAnsi="Times New Roman" w:cs="Times New Roman"/>
          <w:sz w:val="24"/>
          <w:szCs w:val="24"/>
        </w:rPr>
        <w:t>.</w:t>
      </w:r>
    </w:p>
    <w:p w14:paraId="621003C4" w14:textId="77777777" w:rsidR="00F13199" w:rsidRDefault="00F13199" w:rsidP="00F13199">
      <w:pPr>
        <w:autoSpaceDE w:val="0"/>
        <w:autoSpaceDN w:val="0"/>
        <w:bidi w:val="0"/>
        <w:adjustRightInd w:val="0"/>
        <w:spacing w:after="0" w:line="240" w:lineRule="auto"/>
        <w:jc w:val="both"/>
        <w:rPr>
          <w:rFonts w:ascii="Times New Roman" w:hAnsi="Times New Roman" w:cs="Times New Roman"/>
          <w:sz w:val="24"/>
          <w:szCs w:val="24"/>
        </w:rPr>
      </w:pPr>
    </w:p>
    <w:p w14:paraId="1B6D5F41" w14:textId="77777777" w:rsidR="00E34CD1" w:rsidRDefault="00E34CD1" w:rsidP="008C6258">
      <w:pPr>
        <w:tabs>
          <w:tab w:val="left" w:pos="9072"/>
        </w:tabs>
        <w:bidi w:val="0"/>
        <w:spacing w:after="0" w:line="240" w:lineRule="auto"/>
        <w:jc w:val="center"/>
        <w:rPr>
          <w:rFonts w:ascii="Arial" w:hAnsi="Arial"/>
          <w:b/>
          <w:bCs/>
        </w:rPr>
      </w:pPr>
      <w:r w:rsidRPr="00272204">
        <w:rPr>
          <w:rFonts w:ascii="Arial" w:hAnsi="Arial"/>
          <w:b/>
          <w:bCs/>
        </w:rPr>
        <w:t>Maternal Mortality Ratio for Selected Years (Per 100,000 Live Births)</w:t>
      </w:r>
    </w:p>
    <w:p w14:paraId="4DEC0D6A" w14:textId="77777777" w:rsidR="00682C5E" w:rsidRDefault="00682C5E" w:rsidP="00682C5E">
      <w:pPr>
        <w:pBdr>
          <w:top w:val="single" w:sz="2" w:space="1" w:color="auto"/>
          <w:left w:val="single" w:sz="2" w:space="4" w:color="auto"/>
          <w:bottom w:val="single" w:sz="2" w:space="1" w:color="auto"/>
          <w:right w:val="single" w:sz="2" w:space="4" w:color="auto"/>
        </w:pBdr>
        <w:tabs>
          <w:tab w:val="left" w:pos="9072"/>
        </w:tabs>
        <w:bidi w:val="0"/>
        <w:spacing w:after="0" w:line="240" w:lineRule="auto"/>
        <w:jc w:val="center"/>
        <w:rPr>
          <w:rFonts w:ascii="Arial" w:hAnsi="Arial"/>
          <w:b/>
          <w:bCs/>
        </w:rPr>
      </w:pPr>
      <w:r>
        <w:rPr>
          <w:b/>
          <w:bCs/>
          <w:noProof/>
          <w:sz w:val="16"/>
          <w:szCs w:val="16"/>
        </w:rPr>
        <w:drawing>
          <wp:inline distT="0" distB="0" distL="0" distR="0" wp14:anchorId="0ABCC8BC" wp14:editId="076D7E56">
            <wp:extent cx="5701030" cy="1987550"/>
            <wp:effectExtent l="0" t="0" r="0" b="0"/>
            <wp:docPr id="14"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3CB7C50" w14:textId="77777777" w:rsidR="00E34CD1" w:rsidRPr="00F13199" w:rsidRDefault="00DA4CD1" w:rsidP="0070247A">
      <w:pPr>
        <w:bidi w:val="0"/>
        <w:spacing w:after="0" w:line="240" w:lineRule="auto"/>
        <w:rPr>
          <w:rFonts w:ascii="Arial" w:hAnsi="Arial"/>
          <w:b/>
          <w:bCs/>
          <w:sz w:val="18"/>
          <w:szCs w:val="18"/>
        </w:rPr>
      </w:pPr>
      <w:r w:rsidRPr="00272204">
        <w:rPr>
          <w:rFonts w:ascii="Arial" w:hAnsi="Arial"/>
          <w:b/>
          <w:bCs/>
          <w:sz w:val="18"/>
          <w:szCs w:val="18"/>
        </w:rPr>
        <w:t>Source: Ministry</w:t>
      </w:r>
      <w:r w:rsidR="00E34CD1" w:rsidRPr="00272204">
        <w:rPr>
          <w:rFonts w:ascii="Arial" w:hAnsi="Arial"/>
          <w:b/>
          <w:bCs/>
          <w:sz w:val="18"/>
          <w:szCs w:val="18"/>
        </w:rPr>
        <w:t xml:space="preserve"> of </w:t>
      </w:r>
      <w:r w:rsidRPr="00272204">
        <w:rPr>
          <w:rFonts w:ascii="Arial" w:hAnsi="Arial"/>
          <w:b/>
          <w:bCs/>
          <w:sz w:val="18"/>
          <w:szCs w:val="18"/>
        </w:rPr>
        <w:t>Health</w:t>
      </w:r>
      <w:r w:rsidRPr="00F13199">
        <w:rPr>
          <w:rFonts w:ascii="Arial" w:hAnsi="Arial"/>
          <w:b/>
          <w:bCs/>
          <w:sz w:val="18"/>
          <w:szCs w:val="18"/>
        </w:rPr>
        <w:t xml:space="preserve">. </w:t>
      </w:r>
      <w:r w:rsidRPr="00E665C5">
        <w:rPr>
          <w:rFonts w:ascii="Arial" w:hAnsi="Arial"/>
          <w:sz w:val="18"/>
        </w:rPr>
        <w:t>Annual</w:t>
      </w:r>
      <w:r w:rsidR="00E34CD1" w:rsidRPr="00E665C5">
        <w:rPr>
          <w:rFonts w:ascii="Arial" w:hAnsi="Arial"/>
          <w:sz w:val="18"/>
        </w:rPr>
        <w:t xml:space="preserve"> reports 20</w:t>
      </w:r>
      <w:r w:rsidR="0070247A" w:rsidRPr="00E665C5">
        <w:rPr>
          <w:rFonts w:ascii="Arial" w:hAnsi="Arial"/>
          <w:sz w:val="18"/>
        </w:rPr>
        <w:t>15</w:t>
      </w:r>
      <w:r w:rsidR="00E34CD1" w:rsidRPr="00E665C5">
        <w:rPr>
          <w:rFonts w:ascii="Arial" w:hAnsi="Arial"/>
          <w:sz w:val="18"/>
        </w:rPr>
        <w:t>-</w:t>
      </w:r>
      <w:r w:rsidR="00682C5E" w:rsidRPr="00E665C5">
        <w:rPr>
          <w:rFonts w:ascii="Arial" w:hAnsi="Arial"/>
          <w:sz w:val="18"/>
        </w:rPr>
        <w:t>2021</w:t>
      </w:r>
      <w:r w:rsidR="00E34CD1" w:rsidRPr="00E665C5">
        <w:rPr>
          <w:rFonts w:ascii="Arial" w:hAnsi="Arial"/>
          <w:sz w:val="18"/>
        </w:rPr>
        <w:t>.Ramallah-Palestine.</w:t>
      </w:r>
    </w:p>
    <w:p w14:paraId="606CFCFA" w14:textId="77777777" w:rsidR="00D57BFD" w:rsidRDefault="00D57BFD" w:rsidP="003A32B8">
      <w:pPr>
        <w:tabs>
          <w:tab w:val="left" w:pos="9072"/>
        </w:tabs>
        <w:bidi w:val="0"/>
        <w:spacing w:after="0" w:line="240" w:lineRule="auto"/>
        <w:rPr>
          <w:rFonts w:ascii="Times New Roman" w:hAnsi="Times New Roman" w:cs="Times New Roman"/>
          <w:sz w:val="24"/>
          <w:szCs w:val="24"/>
        </w:rPr>
      </w:pPr>
    </w:p>
    <w:p w14:paraId="5031DCA9" w14:textId="77777777" w:rsidR="00D53899" w:rsidRPr="00D53899" w:rsidRDefault="00D53899" w:rsidP="00D53899">
      <w:pPr>
        <w:tabs>
          <w:tab w:val="left" w:pos="9072"/>
        </w:tabs>
        <w:bidi w:val="0"/>
        <w:spacing w:after="0" w:line="240" w:lineRule="auto"/>
        <w:rPr>
          <w:rFonts w:ascii="Times New Roman" w:hAnsi="Times New Roman" w:cs="Times New Roman"/>
          <w:sz w:val="24"/>
          <w:szCs w:val="24"/>
        </w:rPr>
      </w:pPr>
    </w:p>
    <w:p w14:paraId="23EB1112" w14:textId="77777777" w:rsidR="00E34CD1" w:rsidRDefault="00E34CD1" w:rsidP="00D57BFD">
      <w:pPr>
        <w:tabs>
          <w:tab w:val="left" w:pos="9072"/>
        </w:tabs>
        <w:bidi w:val="0"/>
        <w:spacing w:after="0" w:line="240" w:lineRule="auto"/>
        <w:jc w:val="center"/>
        <w:rPr>
          <w:rFonts w:ascii="Arial" w:hAnsi="Arial"/>
          <w:b/>
          <w:bCs/>
        </w:rPr>
      </w:pPr>
      <w:r w:rsidRPr="00E03C51">
        <w:rPr>
          <w:rFonts w:ascii="Arial" w:hAnsi="Arial"/>
          <w:b/>
          <w:bCs/>
        </w:rPr>
        <w:t>Maternal Mortality Ratio for Selected Years</w:t>
      </w:r>
      <w:r w:rsidR="00E60F8B">
        <w:rPr>
          <w:rFonts w:ascii="Arial" w:hAnsi="Arial"/>
          <w:b/>
          <w:bCs/>
        </w:rPr>
        <w:t xml:space="preserve"> by Region</w:t>
      </w:r>
      <w:r w:rsidRPr="00E03C51">
        <w:rPr>
          <w:rFonts w:ascii="Arial" w:hAnsi="Arial"/>
          <w:b/>
          <w:bCs/>
        </w:rPr>
        <w:t xml:space="preserve"> (Per 100,000 Live Births)</w:t>
      </w:r>
    </w:p>
    <w:p w14:paraId="0BFA9292" w14:textId="77777777" w:rsidR="00E34CD1" w:rsidRPr="00BE516B" w:rsidRDefault="00E34CD1" w:rsidP="008C6258">
      <w:pPr>
        <w:tabs>
          <w:tab w:val="left" w:pos="9072"/>
        </w:tabs>
        <w:bidi w:val="0"/>
        <w:spacing w:after="0" w:line="240" w:lineRule="auto"/>
        <w:jc w:val="center"/>
        <w:rPr>
          <w:rFonts w:ascii="Arial" w:hAnsi="Arial"/>
          <w:b/>
          <w:bCs/>
          <w:sz w:val="10"/>
          <w:szCs w:val="10"/>
        </w:rPr>
      </w:pPr>
    </w:p>
    <w:tbl>
      <w:tblPr>
        <w:tblW w:w="91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9"/>
      </w:tblGrid>
      <w:tr w:rsidR="00E34CD1" w:rsidRPr="000D2E4D" w14:paraId="6A7173AB" w14:textId="77777777" w:rsidTr="00E665C5">
        <w:trPr>
          <w:trHeight w:val="3404"/>
        </w:trPr>
        <w:tc>
          <w:tcPr>
            <w:tcW w:w="9199" w:type="dxa"/>
            <w:shd w:val="clear" w:color="auto" w:fill="auto"/>
          </w:tcPr>
          <w:p w14:paraId="26D592E7" w14:textId="77777777" w:rsidR="00E34CD1" w:rsidRPr="000D2E4D" w:rsidRDefault="00E34CD1" w:rsidP="008C6258">
            <w:pPr>
              <w:tabs>
                <w:tab w:val="left" w:pos="9072"/>
              </w:tabs>
              <w:bidi w:val="0"/>
              <w:spacing w:after="0" w:line="240" w:lineRule="auto"/>
              <w:jc w:val="center"/>
              <w:rPr>
                <w:rFonts w:ascii="Arial" w:hAnsi="Arial"/>
                <w:b/>
                <w:bCs/>
                <w:lang w:val="it-IT"/>
              </w:rPr>
            </w:pPr>
            <w:r>
              <w:rPr>
                <w:rFonts w:ascii="Times New Roman" w:hAnsi="Times New Roman" w:cs="Times New Roman"/>
                <w:noProof/>
                <w:sz w:val="24"/>
                <w:szCs w:val="24"/>
              </w:rPr>
              <w:drawing>
                <wp:inline distT="0" distB="0" distL="0" distR="0" wp14:anchorId="0E9458E6" wp14:editId="6C23371C">
                  <wp:extent cx="5562600" cy="2009775"/>
                  <wp:effectExtent l="0" t="0" r="0" b="0"/>
                  <wp:docPr id="15"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1D6F5977" w14:textId="77777777" w:rsidR="00E34CD1" w:rsidRPr="00E665C5" w:rsidRDefault="00DA4CD1" w:rsidP="00F5793A">
      <w:pPr>
        <w:bidi w:val="0"/>
        <w:spacing w:after="0" w:line="240" w:lineRule="auto"/>
        <w:rPr>
          <w:rFonts w:ascii="Arial" w:hAnsi="Arial"/>
          <w:sz w:val="18"/>
        </w:rPr>
      </w:pPr>
      <w:r w:rsidRPr="0064509A">
        <w:rPr>
          <w:rFonts w:ascii="Arial" w:hAnsi="Arial"/>
          <w:b/>
          <w:bCs/>
          <w:sz w:val="18"/>
          <w:szCs w:val="18"/>
        </w:rPr>
        <w:t>Source: Ministry</w:t>
      </w:r>
      <w:r w:rsidR="00E34CD1" w:rsidRPr="0064509A">
        <w:rPr>
          <w:rFonts w:ascii="Arial" w:hAnsi="Arial"/>
          <w:b/>
          <w:bCs/>
          <w:sz w:val="18"/>
          <w:szCs w:val="18"/>
        </w:rPr>
        <w:t xml:space="preserve"> of </w:t>
      </w:r>
      <w:r w:rsidRPr="0064509A">
        <w:rPr>
          <w:rFonts w:ascii="Arial" w:hAnsi="Arial"/>
          <w:b/>
          <w:bCs/>
          <w:sz w:val="18"/>
          <w:szCs w:val="18"/>
        </w:rPr>
        <w:t>Health</w:t>
      </w:r>
      <w:r w:rsidRPr="00F13199">
        <w:rPr>
          <w:rFonts w:ascii="Arial" w:hAnsi="Arial"/>
          <w:b/>
          <w:bCs/>
          <w:sz w:val="18"/>
          <w:szCs w:val="18"/>
        </w:rPr>
        <w:t xml:space="preserve">. </w:t>
      </w:r>
      <w:r w:rsidRPr="00E665C5">
        <w:rPr>
          <w:rFonts w:ascii="Arial" w:hAnsi="Arial"/>
          <w:sz w:val="18"/>
        </w:rPr>
        <w:t>Annual</w:t>
      </w:r>
      <w:r w:rsidR="00E34CD1" w:rsidRPr="00E665C5">
        <w:rPr>
          <w:rFonts w:ascii="Arial" w:hAnsi="Arial"/>
          <w:sz w:val="18"/>
        </w:rPr>
        <w:t xml:space="preserve"> reports 2015</w:t>
      </w:r>
      <w:r w:rsidR="00682C5E" w:rsidRPr="00E665C5">
        <w:rPr>
          <w:rFonts w:ascii="Arial" w:hAnsi="Arial"/>
          <w:sz w:val="18"/>
        </w:rPr>
        <w:t>-2021</w:t>
      </w:r>
      <w:r w:rsidR="00E34CD1" w:rsidRPr="00E665C5">
        <w:rPr>
          <w:rFonts w:ascii="Arial" w:hAnsi="Arial"/>
          <w:sz w:val="18"/>
        </w:rPr>
        <w:t>.Ramallah-Palestine.</w:t>
      </w:r>
    </w:p>
    <w:p w14:paraId="53C7E4C0" w14:textId="77777777" w:rsidR="00E34CD1" w:rsidRDefault="00E34CD1" w:rsidP="003A32B8">
      <w:pPr>
        <w:tabs>
          <w:tab w:val="left" w:pos="390"/>
          <w:tab w:val="left" w:pos="1140"/>
        </w:tabs>
        <w:bidi w:val="0"/>
        <w:spacing w:after="0" w:line="240" w:lineRule="auto"/>
        <w:rPr>
          <w:rFonts w:ascii="Times New Roman" w:hAnsi="Times New Roman" w:cs="Times New Roman"/>
          <w:b/>
          <w:i/>
          <w:sz w:val="24"/>
          <w:szCs w:val="24"/>
        </w:rPr>
      </w:pPr>
      <w:r>
        <w:rPr>
          <w:rFonts w:ascii="Times New Roman" w:hAnsi="Times New Roman" w:cs="Times New Roman"/>
          <w:b/>
          <w:i/>
          <w:sz w:val="24"/>
          <w:szCs w:val="24"/>
        </w:rPr>
        <w:tab/>
      </w:r>
      <w:r>
        <w:rPr>
          <w:rFonts w:ascii="Times New Roman" w:hAnsi="Times New Roman" w:cs="Times New Roman"/>
          <w:b/>
          <w:i/>
          <w:sz w:val="24"/>
          <w:szCs w:val="24"/>
        </w:rPr>
        <w:tab/>
      </w:r>
    </w:p>
    <w:p w14:paraId="369F6E45" w14:textId="77777777" w:rsidR="00E34CD1" w:rsidRDefault="00E34CD1"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3.1.2 Proportion of births attended by skilled health personnel</w:t>
      </w:r>
    </w:p>
    <w:p w14:paraId="1D5622B6"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0C7E6B33" w14:textId="77777777" w:rsidR="00E34CD1" w:rsidRPr="00C22521" w:rsidRDefault="00E34CD1" w:rsidP="002973D7">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Death due to complications of pregnancy and childbirth are preventable with appropriate management and care</w:t>
      </w:r>
      <w:r w:rsidR="002973D7">
        <w:rPr>
          <w:rFonts w:ascii="Times New Roman" w:hAnsi="Times New Roman" w:cs="Times New Roman"/>
          <w:sz w:val="24"/>
          <w:szCs w:val="24"/>
        </w:rPr>
        <w:t>; therefore</w:t>
      </w:r>
      <w:r w:rsidRPr="00C22521">
        <w:rPr>
          <w:rFonts w:ascii="Times New Roman" w:hAnsi="Times New Roman" w:cs="Times New Roman"/>
          <w:sz w:val="24"/>
          <w:szCs w:val="24"/>
        </w:rPr>
        <w:t xml:space="preserve">, </w:t>
      </w:r>
      <w:r w:rsidR="00AC2E62" w:rsidRPr="00C22521">
        <w:rPr>
          <w:rFonts w:ascii="Times New Roman" w:hAnsi="Times New Roman" w:cs="Times New Roman"/>
          <w:sz w:val="24"/>
          <w:szCs w:val="24"/>
        </w:rPr>
        <w:t>the</w:t>
      </w:r>
      <w:r w:rsidRPr="00C22521">
        <w:rPr>
          <w:rFonts w:ascii="Times New Roman" w:hAnsi="Times New Roman" w:cs="Times New Roman"/>
          <w:sz w:val="24"/>
          <w:szCs w:val="24"/>
        </w:rPr>
        <w:t xml:space="preserve"> presence of a trained birth attendant is essential at every delivery. Globally</w:t>
      </w:r>
      <w:r w:rsidR="002973D7">
        <w:rPr>
          <w:rFonts w:ascii="Times New Roman" w:hAnsi="Times New Roman" w:cs="Times New Roman"/>
          <w:sz w:val="24"/>
          <w:szCs w:val="24"/>
        </w:rPr>
        <w:t>,</w:t>
      </w:r>
      <w:r w:rsidRPr="00C22521">
        <w:rPr>
          <w:rFonts w:ascii="Times New Roman" w:hAnsi="Times New Roman" w:cs="Times New Roman"/>
          <w:sz w:val="24"/>
          <w:szCs w:val="24"/>
        </w:rPr>
        <w:t xml:space="preserve"> a significant improvement ha</w:t>
      </w:r>
      <w:r w:rsidR="002973D7">
        <w:rPr>
          <w:rFonts w:ascii="Times New Roman" w:hAnsi="Times New Roman" w:cs="Times New Roman"/>
          <w:sz w:val="24"/>
          <w:szCs w:val="24"/>
        </w:rPr>
        <w:t>s taken place</w:t>
      </w:r>
      <w:r w:rsidRPr="00C22521">
        <w:rPr>
          <w:rFonts w:ascii="Times New Roman" w:hAnsi="Times New Roman" w:cs="Times New Roman"/>
          <w:sz w:val="24"/>
          <w:szCs w:val="24"/>
        </w:rPr>
        <w:t xml:space="preserve"> since 2012 </w:t>
      </w:r>
      <w:r w:rsidR="002973D7">
        <w:rPr>
          <w:rFonts w:ascii="Times New Roman" w:hAnsi="Times New Roman" w:cs="Times New Roman"/>
          <w:sz w:val="24"/>
          <w:szCs w:val="24"/>
        </w:rPr>
        <w:t>as</w:t>
      </w:r>
      <w:r w:rsidRPr="00C22521">
        <w:rPr>
          <w:rFonts w:ascii="Times New Roman" w:hAnsi="Times New Roman" w:cs="Times New Roman"/>
          <w:sz w:val="24"/>
          <w:szCs w:val="24"/>
        </w:rPr>
        <w:t xml:space="preserve"> the percentage of births that took place with the assistance of a skilled birth attendant increased from </w:t>
      </w:r>
      <w:r>
        <w:rPr>
          <w:rFonts w:ascii="Times New Roman" w:hAnsi="Times New Roman" w:cs="Times New Roman"/>
          <w:sz w:val="24"/>
          <w:szCs w:val="24"/>
        </w:rPr>
        <w:t>71.0</w:t>
      </w:r>
      <w:r w:rsidRPr="00C22521">
        <w:rPr>
          <w:rFonts w:ascii="Times New Roman" w:hAnsi="Times New Roman" w:cs="Times New Roman"/>
          <w:sz w:val="24"/>
          <w:szCs w:val="24"/>
        </w:rPr>
        <w:t xml:space="preserve">% in </w:t>
      </w:r>
      <w:r>
        <w:rPr>
          <w:rFonts w:ascii="Times New Roman" w:hAnsi="Times New Roman" w:cs="Times New Roman"/>
          <w:sz w:val="24"/>
          <w:szCs w:val="24"/>
        </w:rPr>
        <w:t>2010</w:t>
      </w:r>
      <w:r w:rsidRPr="00C22521">
        <w:rPr>
          <w:rFonts w:ascii="Times New Roman" w:hAnsi="Times New Roman" w:cs="Times New Roman"/>
          <w:sz w:val="24"/>
          <w:szCs w:val="24"/>
        </w:rPr>
        <w:t xml:space="preserve"> to </w:t>
      </w:r>
      <w:r>
        <w:rPr>
          <w:rFonts w:ascii="Times New Roman" w:hAnsi="Times New Roman" w:cs="Times New Roman"/>
          <w:sz w:val="24"/>
          <w:szCs w:val="24"/>
        </w:rPr>
        <w:t>82.6</w:t>
      </w:r>
      <w:r w:rsidRPr="00C22521">
        <w:rPr>
          <w:rFonts w:ascii="Times New Roman" w:hAnsi="Times New Roman" w:cs="Times New Roman"/>
          <w:sz w:val="24"/>
          <w:szCs w:val="24"/>
        </w:rPr>
        <w:t xml:space="preserve">% in </w:t>
      </w:r>
      <w:r>
        <w:rPr>
          <w:rFonts w:ascii="Times New Roman" w:hAnsi="Times New Roman" w:cs="Times New Roman"/>
          <w:sz w:val="24"/>
          <w:szCs w:val="24"/>
        </w:rPr>
        <w:t>2020</w:t>
      </w:r>
      <w:r w:rsidRPr="00C22521">
        <w:rPr>
          <w:rFonts w:ascii="Times New Roman" w:hAnsi="Times New Roman" w:cs="Times New Roman"/>
          <w:sz w:val="24"/>
          <w:szCs w:val="24"/>
        </w:rPr>
        <w:t xml:space="preserve">.In Palestine, coverage of skilled birth attendants is very high. In </w:t>
      </w:r>
      <w:r>
        <w:rPr>
          <w:rFonts w:ascii="Times New Roman" w:hAnsi="Times New Roman" w:cs="Times New Roman"/>
          <w:sz w:val="24"/>
          <w:szCs w:val="24"/>
        </w:rPr>
        <w:t>2019</w:t>
      </w:r>
      <w:r w:rsidR="002973D7">
        <w:rPr>
          <w:rFonts w:ascii="Times New Roman" w:hAnsi="Times New Roman" w:cs="Times New Roman"/>
          <w:sz w:val="24"/>
          <w:szCs w:val="24"/>
        </w:rPr>
        <w:t>,</w:t>
      </w:r>
      <w:r w:rsidRPr="00C22521">
        <w:rPr>
          <w:rFonts w:ascii="Times New Roman" w:hAnsi="Times New Roman" w:cs="Times New Roman"/>
          <w:sz w:val="24"/>
          <w:szCs w:val="24"/>
        </w:rPr>
        <w:t xml:space="preserve"> almost all births took place with the assistance of a skilled birth attendant (99.</w:t>
      </w:r>
      <w:r>
        <w:rPr>
          <w:rFonts w:ascii="Times New Roman" w:hAnsi="Times New Roman" w:cs="Times New Roman"/>
          <w:sz w:val="24"/>
          <w:szCs w:val="24"/>
        </w:rPr>
        <w:t>7</w:t>
      </w:r>
      <w:r w:rsidRPr="00C22521">
        <w:rPr>
          <w:rFonts w:ascii="Times New Roman" w:hAnsi="Times New Roman" w:cs="Times New Roman"/>
          <w:sz w:val="24"/>
          <w:szCs w:val="24"/>
        </w:rPr>
        <w:t>%).</w:t>
      </w:r>
    </w:p>
    <w:p w14:paraId="68E33727" w14:textId="77777777" w:rsidR="00D53899" w:rsidRDefault="00D53899" w:rsidP="00E02452">
      <w:pPr>
        <w:tabs>
          <w:tab w:val="left" w:pos="9072"/>
        </w:tabs>
        <w:bidi w:val="0"/>
        <w:spacing w:after="0" w:line="240" w:lineRule="auto"/>
        <w:jc w:val="center"/>
        <w:rPr>
          <w:rFonts w:ascii="Times New Roman" w:hAnsi="Times New Roman" w:cs="Times New Roman"/>
          <w:sz w:val="24"/>
          <w:szCs w:val="24"/>
        </w:rPr>
      </w:pPr>
    </w:p>
    <w:p w14:paraId="6FC7B2C6" w14:textId="77777777" w:rsidR="00D53899" w:rsidRDefault="00D53899" w:rsidP="00D53899">
      <w:pPr>
        <w:tabs>
          <w:tab w:val="left" w:pos="9072"/>
        </w:tabs>
        <w:bidi w:val="0"/>
        <w:spacing w:after="0" w:line="240" w:lineRule="auto"/>
        <w:jc w:val="center"/>
        <w:rPr>
          <w:rFonts w:ascii="Times New Roman" w:hAnsi="Times New Roman" w:cs="Times New Roman"/>
          <w:sz w:val="24"/>
          <w:szCs w:val="24"/>
        </w:rPr>
      </w:pPr>
    </w:p>
    <w:p w14:paraId="5B224D70" w14:textId="77777777" w:rsidR="00D53899" w:rsidRDefault="00D53899" w:rsidP="00D53899">
      <w:pPr>
        <w:tabs>
          <w:tab w:val="left" w:pos="9072"/>
        </w:tabs>
        <w:bidi w:val="0"/>
        <w:spacing w:after="0" w:line="240" w:lineRule="auto"/>
        <w:jc w:val="center"/>
        <w:rPr>
          <w:rFonts w:ascii="Times New Roman" w:hAnsi="Times New Roman" w:cs="Times New Roman"/>
          <w:sz w:val="24"/>
          <w:szCs w:val="24"/>
        </w:rPr>
      </w:pPr>
    </w:p>
    <w:p w14:paraId="4E01B719" w14:textId="77777777" w:rsidR="006D0C5D" w:rsidRDefault="006D0C5D" w:rsidP="006D0C5D">
      <w:pPr>
        <w:tabs>
          <w:tab w:val="left" w:pos="9072"/>
        </w:tabs>
        <w:bidi w:val="0"/>
        <w:spacing w:after="0" w:line="240" w:lineRule="auto"/>
        <w:jc w:val="center"/>
        <w:rPr>
          <w:rFonts w:ascii="Times New Roman" w:hAnsi="Times New Roman" w:cs="Times New Roman"/>
          <w:sz w:val="24"/>
          <w:szCs w:val="24"/>
        </w:rPr>
      </w:pPr>
    </w:p>
    <w:p w14:paraId="32DA2C20" w14:textId="77777777" w:rsidR="00D53899" w:rsidRDefault="00D53899" w:rsidP="00D53899">
      <w:pPr>
        <w:tabs>
          <w:tab w:val="left" w:pos="9072"/>
        </w:tabs>
        <w:bidi w:val="0"/>
        <w:spacing w:after="0" w:line="240" w:lineRule="auto"/>
        <w:jc w:val="center"/>
        <w:rPr>
          <w:rFonts w:ascii="Times New Roman" w:hAnsi="Times New Roman" w:cs="Times New Roman"/>
          <w:sz w:val="24"/>
          <w:szCs w:val="24"/>
        </w:rPr>
      </w:pPr>
    </w:p>
    <w:p w14:paraId="76DB8CA2" w14:textId="77777777" w:rsidR="00E34CD1" w:rsidRDefault="00E34CD1" w:rsidP="00D53899">
      <w:pPr>
        <w:tabs>
          <w:tab w:val="left" w:pos="9072"/>
        </w:tabs>
        <w:bidi w:val="0"/>
        <w:spacing w:after="0" w:line="240" w:lineRule="auto"/>
        <w:jc w:val="center"/>
        <w:rPr>
          <w:rFonts w:ascii="Arial" w:hAnsi="Arial"/>
          <w:b/>
          <w:bCs/>
        </w:rPr>
      </w:pPr>
      <w:r w:rsidRPr="00E03C51">
        <w:rPr>
          <w:rFonts w:ascii="Arial" w:hAnsi="Arial"/>
          <w:b/>
          <w:bCs/>
        </w:rPr>
        <w:lastRenderedPageBreak/>
        <w:t>Proportion of Births Attended by Skilled Health Personnel for Selected Years (%)</w:t>
      </w:r>
    </w:p>
    <w:p w14:paraId="5FAF07DA" w14:textId="77777777" w:rsidR="00E34CD1" w:rsidRPr="00370DAA" w:rsidRDefault="00E34CD1" w:rsidP="008C6258">
      <w:pPr>
        <w:tabs>
          <w:tab w:val="left" w:pos="9072"/>
        </w:tabs>
        <w:bidi w:val="0"/>
        <w:spacing w:after="0" w:line="240" w:lineRule="auto"/>
        <w:jc w:val="both"/>
        <w:rPr>
          <w:rFonts w:ascii="Arial" w:hAnsi="Arial"/>
          <w:b/>
          <w:bCs/>
          <w:sz w:val="10"/>
          <w:szCs w:val="10"/>
        </w:rPr>
      </w:pPr>
    </w:p>
    <w:tbl>
      <w:tblPr>
        <w:tblStyle w:val="TableGrid"/>
        <w:tblW w:w="0" w:type="auto"/>
        <w:tblLook w:val="04A0" w:firstRow="1" w:lastRow="0" w:firstColumn="1" w:lastColumn="0" w:noHBand="0" w:noVBand="1"/>
      </w:tblPr>
      <w:tblGrid>
        <w:gridCol w:w="9060"/>
      </w:tblGrid>
      <w:tr w:rsidR="00E34CD1" w14:paraId="52D2428E" w14:textId="77777777" w:rsidTr="009A7D13">
        <w:trPr>
          <w:trHeight w:val="3745"/>
        </w:trPr>
        <w:tc>
          <w:tcPr>
            <w:tcW w:w="9060" w:type="dxa"/>
          </w:tcPr>
          <w:p w14:paraId="58CD30B4" w14:textId="77777777" w:rsidR="00E34CD1" w:rsidRDefault="00E34CD1" w:rsidP="008C6258">
            <w:pPr>
              <w:tabs>
                <w:tab w:val="left" w:pos="9072"/>
              </w:tabs>
              <w:bidi w:val="0"/>
              <w:spacing w:after="0" w:line="240" w:lineRule="auto"/>
              <w:jc w:val="both"/>
              <w:rPr>
                <w:rFonts w:ascii="Arial" w:hAnsi="Arial"/>
                <w:b/>
                <w:bCs/>
                <w:sz w:val="18"/>
                <w:szCs w:val="18"/>
              </w:rPr>
            </w:pPr>
            <w:r>
              <w:rPr>
                <w:rFonts w:ascii="Times New Roman" w:hAnsi="Times New Roman" w:cs="Times New Roman"/>
                <w:b/>
                <w:bCs/>
                <w:noProof/>
              </w:rPr>
              <w:drawing>
                <wp:inline distT="0" distB="0" distL="0" distR="0" wp14:anchorId="1E0618EC" wp14:editId="6AF6D100">
                  <wp:extent cx="5637530" cy="2295525"/>
                  <wp:effectExtent l="0" t="0" r="1270" b="0"/>
                  <wp:docPr id="16"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67502144" w14:textId="77777777" w:rsidR="00E34CD1" w:rsidRPr="00876568" w:rsidRDefault="00111EFC" w:rsidP="008C6258">
      <w:pPr>
        <w:tabs>
          <w:tab w:val="left" w:pos="9072"/>
        </w:tabs>
        <w:bidi w:val="0"/>
        <w:spacing w:after="0" w:line="240" w:lineRule="auto"/>
        <w:jc w:val="both"/>
        <w:rPr>
          <w:rFonts w:ascii="Arial" w:hAnsi="Arial"/>
          <w:b/>
          <w:bCs/>
          <w:sz w:val="18"/>
          <w:szCs w:val="18"/>
        </w:rPr>
      </w:pPr>
      <w:r>
        <w:rPr>
          <w:rFonts w:ascii="Arial" w:hAnsi="Arial"/>
          <w:b/>
          <w:bCs/>
          <w:sz w:val="18"/>
          <w:szCs w:val="18"/>
        </w:rPr>
        <w:t xml:space="preserve">Source: </w:t>
      </w:r>
      <w:r w:rsidR="00E34CD1" w:rsidRPr="00876568">
        <w:rPr>
          <w:rFonts w:ascii="Arial" w:hAnsi="Arial"/>
          <w:b/>
          <w:bCs/>
          <w:sz w:val="18"/>
          <w:szCs w:val="18"/>
        </w:rPr>
        <w:t xml:space="preserve">Palestinian Central Bureau of Statistics, </w:t>
      </w:r>
      <w:r w:rsidR="00E34CD1" w:rsidRPr="00FF756E">
        <w:rPr>
          <w:rFonts w:ascii="Arial" w:hAnsi="Arial"/>
          <w:sz w:val="18"/>
          <w:szCs w:val="18"/>
        </w:rPr>
        <w:t>Health Surveys Database, 2000.</w:t>
      </w:r>
      <w:r w:rsidR="00E34CD1" w:rsidRPr="00E665C5">
        <w:rPr>
          <w:rFonts w:ascii="Arial" w:hAnsi="Arial"/>
          <w:sz w:val="18"/>
        </w:rPr>
        <w:t>Ramallah – Palestine.</w:t>
      </w:r>
    </w:p>
    <w:p w14:paraId="08192C30" w14:textId="77777777" w:rsidR="00E34CD1" w:rsidRPr="006246D1" w:rsidRDefault="00E34CD1" w:rsidP="008C6258">
      <w:pPr>
        <w:tabs>
          <w:tab w:val="left" w:pos="9072"/>
        </w:tabs>
        <w:bidi w:val="0"/>
        <w:spacing w:after="0" w:line="240" w:lineRule="auto"/>
        <w:ind w:left="720"/>
        <w:jc w:val="both"/>
        <w:rPr>
          <w:rFonts w:ascii="Arial" w:hAnsi="Arial"/>
          <w:sz w:val="18"/>
        </w:rPr>
      </w:pPr>
      <w:r w:rsidRPr="00876568">
        <w:rPr>
          <w:rFonts w:ascii="Arial" w:hAnsi="Arial"/>
          <w:b/>
          <w:bCs/>
          <w:sz w:val="18"/>
          <w:szCs w:val="18"/>
        </w:rPr>
        <w:t xml:space="preserve">Palestinian Central Bureau of Statistics, </w:t>
      </w:r>
      <w:r w:rsidRPr="006246D1">
        <w:rPr>
          <w:rFonts w:ascii="Arial" w:hAnsi="Arial"/>
          <w:sz w:val="18"/>
          <w:szCs w:val="18"/>
        </w:rPr>
        <w:t xml:space="preserve">Palestinian Family Health Survey Database, 2010. </w:t>
      </w:r>
      <w:r w:rsidRPr="006246D1">
        <w:rPr>
          <w:rFonts w:ascii="Arial" w:hAnsi="Arial"/>
          <w:sz w:val="18"/>
        </w:rPr>
        <w:t>Ramallah– Palestine.</w:t>
      </w:r>
    </w:p>
    <w:p w14:paraId="48C0D1ED" w14:textId="77777777" w:rsidR="00E34CD1" w:rsidRPr="006246D1" w:rsidRDefault="00E34CD1" w:rsidP="008C6258">
      <w:pPr>
        <w:tabs>
          <w:tab w:val="left" w:pos="9072"/>
        </w:tabs>
        <w:bidi w:val="0"/>
        <w:spacing w:after="0" w:line="240" w:lineRule="auto"/>
        <w:ind w:left="720"/>
        <w:jc w:val="both"/>
        <w:rPr>
          <w:rFonts w:ascii="Arial" w:hAnsi="Arial"/>
          <w:sz w:val="18"/>
        </w:rPr>
      </w:pPr>
      <w:r w:rsidRPr="00876568">
        <w:rPr>
          <w:rFonts w:ascii="Arial" w:hAnsi="Arial"/>
          <w:b/>
          <w:bCs/>
          <w:sz w:val="18"/>
          <w:szCs w:val="18"/>
        </w:rPr>
        <w:t xml:space="preserve">Palestinian Central Bureau of Statistics, </w:t>
      </w:r>
      <w:r w:rsidRPr="006246D1">
        <w:rPr>
          <w:rFonts w:ascii="Arial" w:hAnsi="Arial"/>
          <w:sz w:val="18"/>
          <w:szCs w:val="18"/>
        </w:rPr>
        <w:t xml:space="preserve">Palestinian Multiple Indicator Cluster Survey Database, 2019. </w:t>
      </w:r>
      <w:r w:rsidRPr="006246D1">
        <w:rPr>
          <w:rFonts w:ascii="Arial" w:hAnsi="Arial"/>
          <w:sz w:val="18"/>
        </w:rPr>
        <w:t>Ramallah – Palestine</w:t>
      </w:r>
    </w:p>
    <w:p w14:paraId="28425C8C" w14:textId="77777777" w:rsidR="00E34CD1" w:rsidRPr="006246D1" w:rsidRDefault="00E34CD1" w:rsidP="008C6258">
      <w:pPr>
        <w:autoSpaceDE w:val="0"/>
        <w:autoSpaceDN w:val="0"/>
        <w:bidi w:val="0"/>
        <w:adjustRightInd w:val="0"/>
        <w:spacing w:after="0" w:line="240" w:lineRule="auto"/>
        <w:jc w:val="both"/>
        <w:rPr>
          <w:rFonts w:ascii="Times New Roman" w:hAnsi="Times New Roman" w:cs="Times New Roman"/>
          <w:i/>
          <w:iCs/>
          <w:sz w:val="18"/>
          <w:szCs w:val="18"/>
        </w:rPr>
      </w:pPr>
    </w:p>
    <w:p w14:paraId="14E52C79" w14:textId="77777777" w:rsidR="00F13199" w:rsidRPr="00FF756E" w:rsidRDefault="00F13199" w:rsidP="00F13199">
      <w:pPr>
        <w:autoSpaceDE w:val="0"/>
        <w:autoSpaceDN w:val="0"/>
        <w:bidi w:val="0"/>
        <w:adjustRightInd w:val="0"/>
        <w:spacing w:after="0" w:line="240" w:lineRule="auto"/>
        <w:jc w:val="both"/>
        <w:rPr>
          <w:rFonts w:ascii="Times New Roman" w:hAnsi="Times New Roman" w:cs="Times New Roman"/>
          <w:b/>
          <w:bCs/>
          <w:i/>
          <w:iCs/>
          <w:sz w:val="24"/>
          <w:szCs w:val="24"/>
        </w:rPr>
      </w:pPr>
    </w:p>
    <w:p w14:paraId="36E7C79E" w14:textId="77777777" w:rsidR="00E34CD1" w:rsidRDefault="00BF7830" w:rsidP="008C6258">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Indicator 3.2.1</w:t>
      </w:r>
      <w:r w:rsidR="00E34CD1" w:rsidRPr="00C22521">
        <w:rPr>
          <w:rFonts w:ascii="Times New Roman" w:hAnsi="Times New Roman" w:cs="Times New Roman"/>
          <w:b/>
          <w:bCs/>
          <w:i/>
          <w:iCs/>
          <w:sz w:val="24"/>
          <w:szCs w:val="24"/>
        </w:rPr>
        <w:t>Under</w:t>
      </w:r>
      <w:r w:rsidR="002973D7">
        <w:rPr>
          <w:rFonts w:ascii="Times New Roman" w:hAnsi="Times New Roman" w:cs="Times New Roman"/>
          <w:b/>
          <w:bCs/>
          <w:i/>
          <w:iCs/>
          <w:sz w:val="24"/>
          <w:szCs w:val="24"/>
        </w:rPr>
        <w:t>five</w:t>
      </w:r>
      <w:r w:rsidR="00E34CD1" w:rsidRPr="00C22521">
        <w:rPr>
          <w:rFonts w:ascii="Times New Roman" w:hAnsi="Times New Roman" w:cs="Times New Roman"/>
          <w:b/>
          <w:bCs/>
          <w:i/>
          <w:iCs/>
          <w:sz w:val="24"/>
          <w:szCs w:val="24"/>
        </w:rPr>
        <w:t xml:space="preserve"> mortality rate </w:t>
      </w:r>
    </w:p>
    <w:p w14:paraId="74E1D1EF"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63FC05A" w14:textId="77777777" w:rsidR="00E34CD1" w:rsidRDefault="00E34CD1" w:rsidP="00CF007C">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 xml:space="preserve">In Palestine, tangible improvements </w:t>
      </w:r>
      <w:r w:rsidR="002973D7">
        <w:rPr>
          <w:rFonts w:ascii="Times New Roman" w:hAnsi="Times New Roman" w:cs="Times New Roman"/>
          <w:sz w:val="24"/>
          <w:szCs w:val="24"/>
        </w:rPr>
        <w:t xml:space="preserve">took place in terms of the </w:t>
      </w:r>
      <w:r w:rsidRPr="00C22521">
        <w:rPr>
          <w:rFonts w:ascii="Times New Roman" w:hAnsi="Times New Roman" w:cs="Times New Roman"/>
          <w:sz w:val="24"/>
          <w:szCs w:val="24"/>
        </w:rPr>
        <w:t>national health status</w:t>
      </w:r>
      <w:r w:rsidR="002973D7">
        <w:rPr>
          <w:rFonts w:ascii="Times New Roman" w:hAnsi="Times New Roman" w:cs="Times New Roman"/>
          <w:sz w:val="24"/>
          <w:szCs w:val="24"/>
        </w:rPr>
        <w:t>.</w:t>
      </w:r>
      <w:r w:rsidRPr="00C22521">
        <w:rPr>
          <w:rFonts w:ascii="Times New Roman" w:hAnsi="Times New Roman" w:cs="Times New Roman"/>
          <w:sz w:val="24"/>
          <w:szCs w:val="24"/>
        </w:rPr>
        <w:t xml:space="preserve"> Palestine managed to m</w:t>
      </w:r>
      <w:r w:rsidR="00753FD1">
        <w:rPr>
          <w:rFonts w:ascii="Times New Roman" w:hAnsi="Times New Roman" w:cs="Times New Roman"/>
          <w:sz w:val="24"/>
          <w:szCs w:val="24"/>
        </w:rPr>
        <w:t>e</w:t>
      </w:r>
      <w:r w:rsidRPr="00C22521">
        <w:rPr>
          <w:rFonts w:ascii="Times New Roman" w:hAnsi="Times New Roman" w:cs="Times New Roman"/>
          <w:sz w:val="24"/>
          <w:szCs w:val="24"/>
        </w:rPr>
        <w:t>et the SDGs target of reducing neonatal mortality to at least as low as 12 per 1,000 live births and under-</w:t>
      </w:r>
      <w:r w:rsidR="002973D7">
        <w:rPr>
          <w:rFonts w:ascii="Times New Roman" w:hAnsi="Times New Roman" w:cs="Times New Roman"/>
          <w:sz w:val="24"/>
          <w:szCs w:val="24"/>
        </w:rPr>
        <w:t>five</w:t>
      </w:r>
      <w:r w:rsidRPr="00C22521">
        <w:rPr>
          <w:rFonts w:ascii="Times New Roman" w:hAnsi="Times New Roman" w:cs="Times New Roman"/>
          <w:sz w:val="24"/>
          <w:szCs w:val="24"/>
        </w:rPr>
        <w:t xml:space="preserve"> mortality to at least as low as 25 per 1,000 live births. </w:t>
      </w:r>
      <w:r w:rsidR="002973D7">
        <w:rPr>
          <w:rFonts w:ascii="Times New Roman" w:hAnsi="Times New Roman" w:cs="Times New Roman"/>
          <w:sz w:val="24"/>
          <w:szCs w:val="24"/>
        </w:rPr>
        <w:t>T</w:t>
      </w:r>
      <w:r w:rsidRPr="00C22521">
        <w:rPr>
          <w:rFonts w:ascii="Times New Roman" w:hAnsi="Times New Roman" w:cs="Times New Roman"/>
          <w:sz w:val="24"/>
          <w:szCs w:val="24"/>
        </w:rPr>
        <w:t>he under-</w:t>
      </w:r>
      <w:r w:rsidR="002973D7">
        <w:rPr>
          <w:rFonts w:ascii="Times New Roman" w:hAnsi="Times New Roman" w:cs="Times New Roman"/>
          <w:sz w:val="24"/>
          <w:szCs w:val="24"/>
        </w:rPr>
        <w:t>five</w:t>
      </w:r>
      <w:r w:rsidRPr="00C22521">
        <w:rPr>
          <w:rFonts w:ascii="Times New Roman" w:hAnsi="Times New Roman" w:cs="Times New Roman"/>
          <w:sz w:val="24"/>
          <w:szCs w:val="24"/>
        </w:rPr>
        <w:t xml:space="preserve"> mortality rate in Palestine fell to </w:t>
      </w:r>
      <w:r>
        <w:rPr>
          <w:rFonts w:ascii="Times New Roman" w:hAnsi="Times New Roman" w:cs="Times New Roman"/>
          <w:sz w:val="24"/>
          <w:szCs w:val="24"/>
        </w:rPr>
        <w:t>14.2</w:t>
      </w:r>
      <w:r w:rsidRPr="00C22521">
        <w:rPr>
          <w:rFonts w:ascii="Times New Roman" w:hAnsi="Times New Roman" w:cs="Times New Roman"/>
          <w:sz w:val="24"/>
          <w:szCs w:val="24"/>
        </w:rPr>
        <w:t xml:space="preserve"> deaths per 1,000 live births in </w:t>
      </w:r>
      <w:r>
        <w:rPr>
          <w:rFonts w:ascii="Times New Roman" w:hAnsi="Times New Roman" w:cs="Times New Roman"/>
          <w:sz w:val="24"/>
          <w:szCs w:val="24"/>
        </w:rPr>
        <w:t xml:space="preserve">2019, compared to </w:t>
      </w:r>
      <w:r w:rsidR="00EF1E02">
        <w:rPr>
          <w:rFonts w:ascii="Times New Roman" w:hAnsi="Times New Roman" w:cs="Times New Roman"/>
          <w:sz w:val="24"/>
          <w:szCs w:val="24"/>
        </w:rPr>
        <w:t>22</w:t>
      </w:r>
      <w:r w:rsidR="00223519">
        <w:rPr>
          <w:rFonts w:ascii="Times New Roman" w:hAnsi="Times New Roman" w:cs="Times New Roman"/>
          <w:sz w:val="24"/>
          <w:szCs w:val="24"/>
        </w:rPr>
        <w:t xml:space="preserve"> </w:t>
      </w:r>
      <w:r w:rsidRPr="00C22521">
        <w:rPr>
          <w:rFonts w:ascii="Times New Roman" w:hAnsi="Times New Roman" w:cs="Times New Roman"/>
          <w:sz w:val="24"/>
          <w:szCs w:val="24"/>
        </w:rPr>
        <w:t xml:space="preserve">deaths per 1,000 live births in </w:t>
      </w:r>
      <w:r>
        <w:rPr>
          <w:rFonts w:ascii="Times New Roman" w:hAnsi="Times New Roman" w:cs="Times New Roman"/>
          <w:sz w:val="24"/>
          <w:szCs w:val="24"/>
        </w:rPr>
        <w:t xml:space="preserve">2014. </w:t>
      </w:r>
      <w:r w:rsidRPr="00604E30">
        <w:rPr>
          <w:rFonts w:ascii="Times New Roman" w:hAnsi="Times New Roman" w:cs="Times New Roman"/>
          <w:sz w:val="24"/>
          <w:szCs w:val="24"/>
        </w:rPr>
        <w:t xml:space="preserve">At the region level, </w:t>
      </w:r>
      <w:r w:rsidR="002973D7">
        <w:rPr>
          <w:rFonts w:ascii="Times New Roman" w:hAnsi="Times New Roman" w:cs="Times New Roman"/>
          <w:sz w:val="24"/>
          <w:szCs w:val="24"/>
        </w:rPr>
        <w:t xml:space="preserve">the </w:t>
      </w:r>
      <w:r w:rsidRPr="00C22521">
        <w:rPr>
          <w:rFonts w:ascii="Times New Roman" w:hAnsi="Times New Roman" w:cs="Times New Roman"/>
          <w:sz w:val="24"/>
          <w:szCs w:val="24"/>
        </w:rPr>
        <w:t>under-</w:t>
      </w:r>
      <w:r w:rsidR="002973D7">
        <w:rPr>
          <w:rFonts w:ascii="Times New Roman" w:hAnsi="Times New Roman" w:cs="Times New Roman"/>
          <w:sz w:val="24"/>
          <w:szCs w:val="24"/>
        </w:rPr>
        <w:t>five</w:t>
      </w:r>
      <w:r w:rsidRPr="00C22521">
        <w:rPr>
          <w:rFonts w:ascii="Times New Roman" w:hAnsi="Times New Roman" w:cs="Times New Roman"/>
          <w:sz w:val="24"/>
          <w:szCs w:val="24"/>
        </w:rPr>
        <w:t xml:space="preserve"> mortality rate </w:t>
      </w:r>
      <w:r w:rsidRPr="00604E30">
        <w:rPr>
          <w:rFonts w:ascii="Times New Roman" w:hAnsi="Times New Roman" w:cs="Times New Roman"/>
          <w:sz w:val="24"/>
          <w:szCs w:val="24"/>
        </w:rPr>
        <w:t xml:space="preserve">in Gaza Strip </w:t>
      </w:r>
      <w:r w:rsidR="002973D7">
        <w:rPr>
          <w:rFonts w:ascii="Times New Roman" w:hAnsi="Times New Roman" w:cs="Times New Roman"/>
          <w:sz w:val="24"/>
          <w:szCs w:val="24"/>
        </w:rPr>
        <w:t>reached</w:t>
      </w:r>
      <w:r>
        <w:rPr>
          <w:rFonts w:ascii="Times New Roman" w:hAnsi="Times New Roman" w:cs="Times New Roman"/>
          <w:sz w:val="24"/>
          <w:szCs w:val="24"/>
        </w:rPr>
        <w:t xml:space="preserve">13.7 deaths </w:t>
      </w:r>
      <w:r w:rsidRPr="00604E30">
        <w:rPr>
          <w:rFonts w:ascii="Times New Roman" w:hAnsi="Times New Roman" w:cs="Times New Roman"/>
          <w:sz w:val="24"/>
          <w:szCs w:val="24"/>
        </w:rPr>
        <w:t xml:space="preserve">per 1,000 live births, while the rate in the West Bank </w:t>
      </w:r>
      <w:r w:rsidR="002973D7">
        <w:rPr>
          <w:rFonts w:ascii="Times New Roman" w:hAnsi="Times New Roman" w:cs="Times New Roman"/>
          <w:sz w:val="24"/>
          <w:szCs w:val="24"/>
        </w:rPr>
        <w:t>reached</w:t>
      </w:r>
      <w:r>
        <w:rPr>
          <w:rFonts w:ascii="Times New Roman" w:hAnsi="Times New Roman" w:cs="Times New Roman"/>
          <w:sz w:val="24"/>
          <w:szCs w:val="24"/>
        </w:rPr>
        <w:t>14.7 de</w:t>
      </w:r>
      <w:r w:rsidR="00753FD1">
        <w:rPr>
          <w:rFonts w:ascii="Times New Roman" w:hAnsi="Times New Roman" w:cs="Times New Roman"/>
          <w:sz w:val="24"/>
          <w:szCs w:val="24"/>
        </w:rPr>
        <w:t>a</w:t>
      </w:r>
      <w:r>
        <w:rPr>
          <w:rFonts w:ascii="Times New Roman" w:hAnsi="Times New Roman" w:cs="Times New Roman"/>
          <w:sz w:val="24"/>
          <w:szCs w:val="24"/>
        </w:rPr>
        <w:t>ths</w:t>
      </w:r>
      <w:r w:rsidRPr="00604E30">
        <w:rPr>
          <w:rFonts w:ascii="Times New Roman" w:hAnsi="Times New Roman" w:cs="Times New Roman"/>
          <w:sz w:val="24"/>
          <w:szCs w:val="24"/>
        </w:rPr>
        <w:t xml:space="preserve"> per 1,000 live births in </w:t>
      </w:r>
      <w:r>
        <w:rPr>
          <w:rFonts w:ascii="Times New Roman" w:hAnsi="Times New Roman" w:cs="Times New Roman"/>
          <w:sz w:val="24"/>
          <w:szCs w:val="24"/>
        </w:rPr>
        <w:t>2019</w:t>
      </w:r>
      <w:r w:rsidRPr="00604E30">
        <w:rPr>
          <w:rFonts w:ascii="Times New Roman" w:hAnsi="Times New Roman" w:cs="Times New Roman"/>
          <w:sz w:val="24"/>
          <w:szCs w:val="24"/>
        </w:rPr>
        <w:t>.</w:t>
      </w:r>
    </w:p>
    <w:p w14:paraId="26C3005C" w14:textId="77777777" w:rsidR="00F13199" w:rsidRDefault="00F13199" w:rsidP="00F13199">
      <w:pPr>
        <w:autoSpaceDE w:val="0"/>
        <w:autoSpaceDN w:val="0"/>
        <w:bidi w:val="0"/>
        <w:adjustRightInd w:val="0"/>
        <w:spacing w:after="0" w:line="240" w:lineRule="auto"/>
        <w:jc w:val="both"/>
        <w:rPr>
          <w:rFonts w:ascii="Times New Roman" w:hAnsi="Times New Roman" w:cs="Times New Roman"/>
          <w:sz w:val="24"/>
          <w:szCs w:val="24"/>
        </w:rPr>
      </w:pPr>
    </w:p>
    <w:p w14:paraId="21F17DB9" w14:textId="77777777" w:rsidR="00E34CD1" w:rsidRPr="00472C74" w:rsidRDefault="00E34CD1" w:rsidP="008C6258">
      <w:pPr>
        <w:autoSpaceDE w:val="0"/>
        <w:autoSpaceDN w:val="0"/>
        <w:bidi w:val="0"/>
        <w:adjustRightInd w:val="0"/>
        <w:spacing w:after="0" w:line="240" w:lineRule="auto"/>
        <w:jc w:val="both"/>
        <w:rPr>
          <w:rFonts w:ascii="Times New Roman" w:hAnsi="Times New Roman" w:cs="Times New Roman"/>
          <w:sz w:val="16"/>
          <w:szCs w:val="16"/>
        </w:rPr>
      </w:pPr>
    </w:p>
    <w:p w14:paraId="4870F3CE" w14:textId="77777777" w:rsidR="00E34CD1" w:rsidRDefault="007B7BEC" w:rsidP="008C6258">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w:t>
      </w:r>
      <w:r w:rsidR="00E34CD1" w:rsidRPr="00C22521">
        <w:rPr>
          <w:rFonts w:ascii="Times New Roman" w:hAnsi="Times New Roman" w:cs="Times New Roman"/>
          <w:b/>
          <w:bCs/>
          <w:i/>
          <w:iCs/>
          <w:sz w:val="24"/>
          <w:szCs w:val="24"/>
        </w:rPr>
        <w:t>3.2.2  Neonatal mortality rate</w:t>
      </w:r>
    </w:p>
    <w:p w14:paraId="3045F842"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0751CE54" w14:textId="77777777" w:rsidR="00E34CD1" w:rsidRDefault="00BF7830" w:rsidP="00055BF1">
      <w:pPr>
        <w:autoSpaceDE w:val="0"/>
        <w:autoSpaceDN w:val="0"/>
        <w:bidi w:val="0"/>
        <w:adjustRightInd w:val="0"/>
        <w:spacing w:after="0" w:line="240" w:lineRule="auto"/>
        <w:jc w:val="both"/>
        <w:rPr>
          <w:rFonts w:ascii="Times New Roman" w:hAnsi="Times New Roman" w:cs="Times New Roman"/>
          <w:sz w:val="24"/>
          <w:szCs w:val="24"/>
        </w:rPr>
      </w:pPr>
      <w:r w:rsidRPr="00BF7830">
        <w:rPr>
          <w:rFonts w:ascii="Times New Roman" w:hAnsi="Times New Roman" w:cs="Times New Roman"/>
          <w:sz w:val="24"/>
          <w:szCs w:val="24"/>
        </w:rPr>
        <w:t xml:space="preserve">Meanwhile, the neonatal mortality (within 28 days </w:t>
      </w:r>
      <w:r w:rsidR="002973D7">
        <w:rPr>
          <w:rFonts w:ascii="Times New Roman" w:hAnsi="Times New Roman" w:cs="Times New Roman"/>
          <w:sz w:val="24"/>
          <w:szCs w:val="24"/>
        </w:rPr>
        <w:t>of</w:t>
      </w:r>
      <w:r w:rsidRPr="00BF7830">
        <w:rPr>
          <w:rFonts w:ascii="Times New Roman" w:hAnsi="Times New Roman" w:cs="Times New Roman"/>
          <w:sz w:val="24"/>
          <w:szCs w:val="24"/>
        </w:rPr>
        <w:t xml:space="preserve"> birth) continued to decline from 11.2 deaths per 1,000 live births in 2014 to 9.4 in 2019. </w:t>
      </w:r>
      <w:r w:rsidR="002973D7">
        <w:rPr>
          <w:rFonts w:ascii="Times New Roman" w:hAnsi="Times New Roman" w:cs="Times New Roman"/>
          <w:sz w:val="24"/>
          <w:szCs w:val="24"/>
        </w:rPr>
        <w:t>Thei</w:t>
      </w:r>
      <w:r w:rsidRPr="00BF7830">
        <w:rPr>
          <w:rFonts w:ascii="Times New Roman" w:hAnsi="Times New Roman" w:cs="Times New Roman"/>
          <w:sz w:val="24"/>
          <w:szCs w:val="24"/>
        </w:rPr>
        <w:t>nfant mortality rate (deaths per 1,00</w:t>
      </w:r>
      <w:r>
        <w:rPr>
          <w:rFonts w:ascii="Times New Roman" w:hAnsi="Times New Roman" w:cs="Times New Roman"/>
          <w:sz w:val="24"/>
          <w:szCs w:val="24"/>
        </w:rPr>
        <w:t>0 live births) was 12.1 in 2019</w:t>
      </w:r>
      <w:r w:rsidR="002973D7">
        <w:rPr>
          <w:rFonts w:ascii="Times New Roman" w:hAnsi="Times New Roman" w:cs="Times New Roman"/>
          <w:sz w:val="24"/>
          <w:szCs w:val="24"/>
        </w:rPr>
        <w:t>;h</w:t>
      </w:r>
      <w:r w:rsidR="00E34CD1" w:rsidRPr="0009593E">
        <w:rPr>
          <w:rFonts w:ascii="Times New Roman" w:hAnsi="Times New Roman" w:cs="Times New Roman"/>
          <w:sz w:val="24"/>
          <w:szCs w:val="24"/>
        </w:rPr>
        <w:t>owever</w:t>
      </w:r>
      <w:r w:rsidR="002973D7">
        <w:rPr>
          <w:rFonts w:ascii="Times New Roman" w:hAnsi="Times New Roman" w:cs="Times New Roman"/>
          <w:sz w:val="24"/>
          <w:szCs w:val="24"/>
        </w:rPr>
        <w:t>,</w:t>
      </w:r>
      <w:r w:rsidR="00E34CD1" w:rsidRPr="0009593E">
        <w:rPr>
          <w:rFonts w:ascii="Times New Roman" w:hAnsi="Times New Roman" w:cs="Times New Roman"/>
          <w:sz w:val="24"/>
          <w:szCs w:val="24"/>
        </w:rPr>
        <w:t xml:space="preserve"> neonatal mortality still account</w:t>
      </w:r>
      <w:r w:rsidR="002973D7">
        <w:rPr>
          <w:rFonts w:ascii="Times New Roman" w:hAnsi="Times New Roman" w:cs="Times New Roman"/>
          <w:sz w:val="24"/>
          <w:szCs w:val="24"/>
        </w:rPr>
        <w:t>s</w:t>
      </w:r>
      <w:r w:rsidR="00E34CD1" w:rsidRPr="0009593E">
        <w:rPr>
          <w:rFonts w:ascii="Times New Roman" w:hAnsi="Times New Roman" w:cs="Times New Roman"/>
          <w:sz w:val="24"/>
          <w:szCs w:val="24"/>
        </w:rPr>
        <w:t xml:space="preserve"> for most infant mortality and half of </w:t>
      </w:r>
      <w:r w:rsidR="002973D7">
        <w:rPr>
          <w:rFonts w:ascii="Times New Roman" w:hAnsi="Times New Roman" w:cs="Times New Roman"/>
          <w:sz w:val="24"/>
          <w:szCs w:val="24"/>
        </w:rPr>
        <w:t xml:space="preserve">the </w:t>
      </w:r>
      <w:r w:rsidR="00E34CD1" w:rsidRPr="0009593E">
        <w:rPr>
          <w:rFonts w:ascii="Times New Roman" w:hAnsi="Times New Roman" w:cs="Times New Roman"/>
          <w:sz w:val="24"/>
          <w:szCs w:val="24"/>
        </w:rPr>
        <w:t>under-five child deaths, which c</w:t>
      </w:r>
      <w:r w:rsidR="002973D7">
        <w:rPr>
          <w:rFonts w:ascii="Times New Roman" w:hAnsi="Times New Roman" w:cs="Times New Roman"/>
          <w:sz w:val="24"/>
          <w:szCs w:val="24"/>
        </w:rPr>
        <w:t>an</w:t>
      </w:r>
      <w:r w:rsidR="00E34CD1" w:rsidRPr="0009593E">
        <w:rPr>
          <w:rFonts w:ascii="Times New Roman" w:hAnsi="Times New Roman" w:cs="Times New Roman"/>
          <w:sz w:val="24"/>
          <w:szCs w:val="24"/>
        </w:rPr>
        <w:t xml:space="preserve"> be prevented.</w:t>
      </w:r>
    </w:p>
    <w:p w14:paraId="68651187" w14:textId="77777777" w:rsidR="00F13199" w:rsidRDefault="00F13199" w:rsidP="00F13199">
      <w:pPr>
        <w:autoSpaceDE w:val="0"/>
        <w:autoSpaceDN w:val="0"/>
        <w:bidi w:val="0"/>
        <w:adjustRightInd w:val="0"/>
        <w:spacing w:after="0" w:line="240" w:lineRule="auto"/>
        <w:jc w:val="both"/>
        <w:rPr>
          <w:rFonts w:ascii="Times New Roman" w:hAnsi="Times New Roman" w:cs="Times New Roman"/>
          <w:sz w:val="24"/>
          <w:szCs w:val="24"/>
        </w:rPr>
      </w:pPr>
    </w:p>
    <w:p w14:paraId="085E5DE9" w14:textId="77777777"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27455C68" w14:textId="77777777"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2AF6D46E" w14:textId="77777777"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5A4040D9" w14:textId="77777777"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6E04AA35" w14:textId="77777777"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4402AA3D" w14:textId="77777777"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3549D115" w14:textId="77777777"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6BE6F42F" w14:textId="77777777"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16329BF3" w14:textId="77777777"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2E9569E8" w14:textId="77777777"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350CBEB3" w14:textId="77777777"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44FCB590" w14:textId="77777777"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2DCE3BAA" w14:textId="77777777" w:rsidR="0086098A" w:rsidRDefault="00E34CD1" w:rsidP="005A64D5">
      <w:pPr>
        <w:tabs>
          <w:tab w:val="left" w:pos="9072"/>
        </w:tabs>
        <w:bidi w:val="0"/>
        <w:spacing w:after="0" w:line="240" w:lineRule="auto"/>
        <w:jc w:val="center"/>
        <w:rPr>
          <w:rFonts w:ascii="Arial" w:hAnsi="Arial"/>
          <w:b/>
          <w:bCs/>
        </w:rPr>
      </w:pPr>
      <w:r w:rsidRPr="00876568">
        <w:rPr>
          <w:rFonts w:ascii="Arial" w:hAnsi="Arial"/>
          <w:b/>
          <w:bCs/>
        </w:rPr>
        <w:lastRenderedPageBreak/>
        <w:t>Under-Five Mortality Rate Neonatal Mortality</w:t>
      </w:r>
      <w:r w:rsidR="00CB0348" w:rsidRPr="00876568">
        <w:rPr>
          <w:rFonts w:ascii="Arial" w:hAnsi="Arial"/>
          <w:b/>
          <w:bCs/>
        </w:rPr>
        <w:t>and</w:t>
      </w:r>
      <w:r w:rsidR="00CB0348" w:rsidRPr="00CB0348">
        <w:rPr>
          <w:rFonts w:ascii="Arial" w:hAnsi="Arial"/>
          <w:b/>
          <w:bCs/>
        </w:rPr>
        <w:t xml:space="preserve">Infant </w:t>
      </w:r>
      <w:r w:rsidR="002973D7">
        <w:rPr>
          <w:rFonts w:ascii="Arial" w:hAnsi="Arial"/>
          <w:b/>
          <w:bCs/>
        </w:rPr>
        <w:t>M</w:t>
      </w:r>
      <w:r w:rsidR="00CB0348" w:rsidRPr="00CB0348">
        <w:rPr>
          <w:rFonts w:ascii="Arial" w:hAnsi="Arial"/>
          <w:b/>
          <w:bCs/>
        </w:rPr>
        <w:t>ortality</w:t>
      </w:r>
      <w:r w:rsidRPr="00876568">
        <w:rPr>
          <w:rFonts w:ascii="Arial" w:hAnsi="Arial"/>
          <w:b/>
          <w:bCs/>
        </w:rPr>
        <w:t xml:space="preserve"> Rate, for Selected </w:t>
      </w:r>
    </w:p>
    <w:p w14:paraId="5BD3C73E" w14:textId="77777777" w:rsidR="00E34CD1" w:rsidRDefault="00E34CD1" w:rsidP="0086098A">
      <w:pPr>
        <w:tabs>
          <w:tab w:val="left" w:pos="9072"/>
        </w:tabs>
        <w:bidi w:val="0"/>
        <w:spacing w:after="0" w:line="240" w:lineRule="auto"/>
        <w:jc w:val="center"/>
        <w:rPr>
          <w:rFonts w:ascii="Arial" w:hAnsi="Arial"/>
          <w:b/>
          <w:bCs/>
        </w:rPr>
      </w:pPr>
      <w:r w:rsidRPr="00876568">
        <w:rPr>
          <w:rFonts w:ascii="Arial" w:hAnsi="Arial"/>
          <w:b/>
          <w:bCs/>
        </w:rPr>
        <w:t>Years (Per 1,000 Live Births)</w:t>
      </w:r>
    </w:p>
    <w:p w14:paraId="668F713C" w14:textId="77777777" w:rsidR="00E34CD1" w:rsidRPr="008C2A5A" w:rsidRDefault="00E34CD1" w:rsidP="008C6258">
      <w:pPr>
        <w:tabs>
          <w:tab w:val="left" w:pos="9072"/>
        </w:tabs>
        <w:bidi w:val="0"/>
        <w:spacing w:after="0" w:line="240" w:lineRule="auto"/>
        <w:jc w:val="center"/>
        <w:rPr>
          <w:rFonts w:ascii="Arial" w:hAnsi="Arial"/>
          <w:b/>
          <w:bCs/>
          <w:sz w:val="10"/>
          <w:szCs w:val="10"/>
        </w:rPr>
      </w:pP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6"/>
        <w:gridCol w:w="4806"/>
      </w:tblGrid>
      <w:tr w:rsidR="00E34CD1" w:rsidRPr="000D2E4D" w14:paraId="5E15E57C" w14:textId="77777777" w:rsidTr="00AF0575">
        <w:trPr>
          <w:trHeight w:val="4200"/>
          <w:jc w:val="center"/>
        </w:trPr>
        <w:tc>
          <w:tcPr>
            <w:tcW w:w="4547" w:type="dxa"/>
            <w:shd w:val="clear" w:color="auto" w:fill="auto"/>
          </w:tcPr>
          <w:p w14:paraId="27F7F13A" w14:textId="77777777" w:rsidR="00E34CD1" w:rsidRPr="000D2E4D" w:rsidRDefault="00E34CD1" w:rsidP="008C6258">
            <w:pPr>
              <w:bidi w:val="0"/>
              <w:spacing w:after="0" w:line="240" w:lineRule="auto"/>
              <w:rPr>
                <w:rFonts w:ascii="Times New Roman" w:hAnsi="Times New Roman" w:cs="Times New Roman"/>
                <w:b/>
                <w:bCs/>
                <w:sz w:val="28"/>
                <w:szCs w:val="28"/>
                <w:rtl/>
                <w:lang w:val="it-IT"/>
              </w:rPr>
            </w:pPr>
            <w:r>
              <w:rPr>
                <w:rFonts w:ascii="Times New Roman" w:hAnsi="Times New Roman" w:cs="Times New Roman"/>
                <w:b/>
                <w:bCs/>
                <w:noProof/>
                <w:sz w:val="28"/>
                <w:szCs w:val="28"/>
              </w:rPr>
              <w:drawing>
                <wp:inline distT="0" distB="0" distL="0" distR="0" wp14:anchorId="19BCE0D8" wp14:editId="7E0A6B0C">
                  <wp:extent cx="2719070" cy="2600325"/>
                  <wp:effectExtent l="0" t="0" r="5080" b="0"/>
                  <wp:docPr id="17"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c>
          <w:tcPr>
            <w:tcW w:w="4548" w:type="dxa"/>
            <w:shd w:val="clear" w:color="auto" w:fill="auto"/>
          </w:tcPr>
          <w:p w14:paraId="6DEDFD28" w14:textId="77777777" w:rsidR="00E34CD1" w:rsidRPr="000D2E4D" w:rsidRDefault="00E34CD1" w:rsidP="008C6258">
            <w:pPr>
              <w:bidi w:val="0"/>
              <w:spacing w:after="0" w:line="240" w:lineRule="auto"/>
              <w:rPr>
                <w:rFonts w:ascii="Times New Roman" w:hAnsi="Times New Roman" w:cs="Times New Roman"/>
                <w:b/>
                <w:bCs/>
                <w:sz w:val="28"/>
                <w:szCs w:val="28"/>
                <w:rtl/>
              </w:rPr>
            </w:pPr>
            <w:r>
              <w:rPr>
                <w:rFonts w:ascii="Times New Roman" w:hAnsi="Times New Roman" w:cs="Times New Roman"/>
                <w:b/>
                <w:bCs/>
                <w:noProof/>
                <w:sz w:val="28"/>
                <w:szCs w:val="28"/>
              </w:rPr>
              <w:drawing>
                <wp:inline distT="0" distB="0" distL="0" distR="0" wp14:anchorId="70B9AE7B" wp14:editId="1E67A018">
                  <wp:extent cx="2910205" cy="2600325"/>
                  <wp:effectExtent l="0" t="0" r="4445" b="0"/>
                  <wp:docPr id="18" name="Char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0911ACED" w14:textId="77777777" w:rsidR="00E34CD1" w:rsidRPr="00802088" w:rsidRDefault="00E34CD1" w:rsidP="005A64D5">
      <w:pPr>
        <w:bidi w:val="0"/>
        <w:spacing w:after="0" w:line="240" w:lineRule="auto"/>
        <w:rPr>
          <w:rFonts w:asciiTheme="minorBidi" w:hAnsiTheme="minorBidi" w:cstheme="minorBidi"/>
        </w:rPr>
      </w:pPr>
      <w:r w:rsidRPr="00802088">
        <w:rPr>
          <w:rFonts w:asciiTheme="minorBidi" w:hAnsiTheme="minorBidi" w:cstheme="minorBidi"/>
          <w:b/>
          <w:bCs/>
          <w:sz w:val="18"/>
          <w:szCs w:val="18"/>
        </w:rPr>
        <w:t xml:space="preserve">Source:Palestinian Central Bureau of </w:t>
      </w:r>
      <w:r w:rsidR="005A64D5" w:rsidRPr="00802088">
        <w:rPr>
          <w:rFonts w:asciiTheme="minorBidi" w:hAnsiTheme="minorBidi" w:cstheme="minorBidi"/>
          <w:b/>
          <w:bCs/>
          <w:sz w:val="18"/>
          <w:szCs w:val="18"/>
        </w:rPr>
        <w:t>S</w:t>
      </w:r>
      <w:r w:rsidRPr="00802088">
        <w:rPr>
          <w:rFonts w:asciiTheme="minorBidi" w:hAnsiTheme="minorBidi" w:cstheme="minorBidi"/>
          <w:b/>
          <w:bCs/>
          <w:sz w:val="18"/>
          <w:szCs w:val="18"/>
        </w:rPr>
        <w:t xml:space="preserve">tatistics. </w:t>
      </w:r>
      <w:r w:rsidRPr="00802088">
        <w:rPr>
          <w:rFonts w:asciiTheme="minorBidi" w:hAnsiTheme="minorBidi" w:cstheme="minorBidi"/>
          <w:sz w:val="18"/>
          <w:szCs w:val="18"/>
        </w:rPr>
        <w:t xml:space="preserve">Health Surveys 2000 Database. </w:t>
      </w:r>
      <w:r w:rsidRPr="00802088">
        <w:rPr>
          <w:rFonts w:asciiTheme="minorBidi" w:hAnsiTheme="minorBidi" w:cstheme="minorBidi"/>
          <w:sz w:val="18"/>
        </w:rPr>
        <w:t>Ramallah-Palestine.</w:t>
      </w:r>
    </w:p>
    <w:p w14:paraId="0623C2A3" w14:textId="77777777" w:rsidR="00E34CD1" w:rsidRPr="00802088" w:rsidRDefault="00E34CD1" w:rsidP="005A64D5">
      <w:pPr>
        <w:bidi w:val="0"/>
        <w:spacing w:after="0" w:line="240" w:lineRule="auto"/>
        <w:ind w:left="630"/>
        <w:rPr>
          <w:rFonts w:asciiTheme="minorBidi" w:hAnsiTheme="minorBidi" w:cstheme="minorBidi"/>
        </w:rPr>
      </w:pPr>
      <w:r w:rsidRPr="00802088">
        <w:rPr>
          <w:rFonts w:asciiTheme="minorBidi" w:hAnsiTheme="minorBidi" w:cstheme="minorBidi"/>
          <w:b/>
          <w:bCs/>
          <w:sz w:val="18"/>
          <w:szCs w:val="18"/>
        </w:rPr>
        <w:t xml:space="preserve">Palestinian Central Bureau of </w:t>
      </w:r>
      <w:r w:rsidR="005A64D5" w:rsidRPr="00802088">
        <w:rPr>
          <w:rFonts w:asciiTheme="minorBidi" w:hAnsiTheme="minorBidi" w:cstheme="minorBidi"/>
          <w:b/>
          <w:bCs/>
          <w:sz w:val="18"/>
          <w:szCs w:val="18"/>
        </w:rPr>
        <w:t>S</w:t>
      </w:r>
      <w:r w:rsidRPr="00802088">
        <w:rPr>
          <w:rFonts w:asciiTheme="minorBidi" w:hAnsiTheme="minorBidi" w:cstheme="minorBidi"/>
          <w:b/>
          <w:bCs/>
          <w:sz w:val="18"/>
          <w:szCs w:val="18"/>
        </w:rPr>
        <w:t xml:space="preserve">tatistics. </w:t>
      </w:r>
      <w:r w:rsidRPr="00802088">
        <w:rPr>
          <w:rFonts w:asciiTheme="minorBidi" w:hAnsiTheme="minorBidi" w:cstheme="minorBidi"/>
          <w:sz w:val="18"/>
          <w:szCs w:val="18"/>
        </w:rPr>
        <w:t xml:space="preserve">Demographic Survey 2004 </w:t>
      </w:r>
      <w:r w:rsidR="00CB0348" w:rsidRPr="00802088">
        <w:rPr>
          <w:rFonts w:asciiTheme="minorBidi" w:hAnsiTheme="minorBidi" w:cstheme="minorBidi"/>
          <w:sz w:val="18"/>
          <w:szCs w:val="18"/>
        </w:rPr>
        <w:t>Database.</w:t>
      </w:r>
      <w:r w:rsidR="00CB0348" w:rsidRPr="00802088">
        <w:rPr>
          <w:rFonts w:asciiTheme="minorBidi" w:hAnsiTheme="minorBidi" w:cstheme="minorBidi"/>
          <w:sz w:val="18"/>
        </w:rPr>
        <w:t>Ramallah</w:t>
      </w:r>
      <w:r w:rsidRPr="00802088">
        <w:rPr>
          <w:rFonts w:asciiTheme="minorBidi" w:hAnsiTheme="minorBidi" w:cstheme="minorBidi"/>
          <w:sz w:val="18"/>
        </w:rPr>
        <w:t>-Palestine.</w:t>
      </w:r>
    </w:p>
    <w:p w14:paraId="24EEA615" w14:textId="77777777" w:rsidR="00E34CD1" w:rsidRPr="00802088" w:rsidRDefault="00E34CD1" w:rsidP="008B358C">
      <w:pPr>
        <w:bidi w:val="0"/>
        <w:spacing w:after="0" w:line="240" w:lineRule="auto"/>
        <w:ind w:left="720" w:hanging="90"/>
        <w:rPr>
          <w:rFonts w:asciiTheme="minorBidi" w:hAnsiTheme="minorBidi" w:cstheme="minorBidi"/>
          <w:sz w:val="18"/>
        </w:rPr>
      </w:pPr>
      <w:r w:rsidRPr="00802088">
        <w:rPr>
          <w:rFonts w:asciiTheme="minorBidi" w:hAnsiTheme="minorBidi" w:cstheme="minorBidi"/>
          <w:b/>
          <w:bCs/>
          <w:sz w:val="18"/>
          <w:szCs w:val="18"/>
        </w:rPr>
        <w:t xml:space="preserve">Palestinian Central Bureau of </w:t>
      </w:r>
      <w:r w:rsidR="005A64D5" w:rsidRPr="00802088">
        <w:rPr>
          <w:rFonts w:asciiTheme="minorBidi" w:hAnsiTheme="minorBidi" w:cstheme="minorBidi"/>
          <w:b/>
          <w:bCs/>
          <w:sz w:val="18"/>
          <w:szCs w:val="18"/>
        </w:rPr>
        <w:t>S</w:t>
      </w:r>
      <w:r w:rsidR="00CB0348" w:rsidRPr="00802088">
        <w:rPr>
          <w:rFonts w:asciiTheme="minorBidi" w:hAnsiTheme="minorBidi" w:cstheme="minorBidi"/>
          <w:b/>
          <w:bCs/>
          <w:sz w:val="18"/>
          <w:szCs w:val="18"/>
        </w:rPr>
        <w:t xml:space="preserve">tatistics. </w:t>
      </w:r>
      <w:r w:rsidR="00CB0348" w:rsidRPr="00802088">
        <w:rPr>
          <w:rFonts w:asciiTheme="minorBidi" w:hAnsiTheme="minorBidi" w:cstheme="minorBidi"/>
          <w:sz w:val="18"/>
          <w:szCs w:val="18"/>
        </w:rPr>
        <w:t>Palestinian</w:t>
      </w:r>
      <w:r w:rsidRPr="00802088">
        <w:rPr>
          <w:rFonts w:asciiTheme="minorBidi" w:hAnsiTheme="minorBidi" w:cstheme="minorBidi"/>
          <w:sz w:val="18"/>
          <w:szCs w:val="18"/>
        </w:rPr>
        <w:t xml:space="preserve"> Family Health Survey 2006 Database. </w:t>
      </w:r>
      <w:r w:rsidRPr="00802088">
        <w:rPr>
          <w:rFonts w:asciiTheme="minorBidi" w:hAnsiTheme="minorBidi" w:cstheme="minorBidi"/>
          <w:sz w:val="18"/>
        </w:rPr>
        <w:t>Ramallah-Palestine.</w:t>
      </w:r>
    </w:p>
    <w:p w14:paraId="72663650" w14:textId="77777777" w:rsidR="00E34CD1" w:rsidRPr="00802088" w:rsidRDefault="00E34CD1" w:rsidP="008B358C">
      <w:pPr>
        <w:bidi w:val="0"/>
        <w:spacing w:after="0" w:line="240" w:lineRule="auto"/>
        <w:ind w:left="720" w:hanging="90"/>
        <w:rPr>
          <w:rFonts w:asciiTheme="minorBidi" w:hAnsiTheme="minorBidi" w:cstheme="minorBidi"/>
          <w:sz w:val="18"/>
        </w:rPr>
      </w:pPr>
      <w:r w:rsidRPr="00802088">
        <w:rPr>
          <w:rFonts w:asciiTheme="minorBidi" w:hAnsiTheme="minorBidi" w:cstheme="minorBidi"/>
          <w:b/>
          <w:bCs/>
          <w:sz w:val="18"/>
          <w:szCs w:val="18"/>
        </w:rPr>
        <w:t xml:space="preserve">Palestinian Central Bureau of </w:t>
      </w:r>
      <w:r w:rsidR="005A64D5" w:rsidRPr="00802088">
        <w:rPr>
          <w:rFonts w:asciiTheme="minorBidi" w:hAnsiTheme="minorBidi" w:cstheme="minorBidi"/>
          <w:b/>
          <w:bCs/>
          <w:sz w:val="18"/>
          <w:szCs w:val="18"/>
        </w:rPr>
        <w:t>S</w:t>
      </w:r>
      <w:r w:rsidRPr="00802088">
        <w:rPr>
          <w:rFonts w:asciiTheme="minorBidi" w:hAnsiTheme="minorBidi" w:cstheme="minorBidi"/>
          <w:b/>
          <w:bCs/>
          <w:sz w:val="18"/>
          <w:szCs w:val="18"/>
        </w:rPr>
        <w:t>tatistics</w:t>
      </w:r>
      <w:r w:rsidRPr="00802088">
        <w:rPr>
          <w:rFonts w:asciiTheme="minorBidi" w:hAnsiTheme="minorBidi" w:cstheme="minorBidi"/>
          <w:sz w:val="18"/>
          <w:szCs w:val="18"/>
        </w:rPr>
        <w:t xml:space="preserve">. Palestinian Family Survey 2010 Database. </w:t>
      </w:r>
      <w:r w:rsidRPr="00802088">
        <w:rPr>
          <w:rFonts w:asciiTheme="minorBidi" w:hAnsiTheme="minorBidi" w:cstheme="minorBidi"/>
          <w:sz w:val="18"/>
        </w:rPr>
        <w:t>Ramallah-Palestine.</w:t>
      </w:r>
    </w:p>
    <w:p w14:paraId="563E8E3A" w14:textId="77777777" w:rsidR="00E34CD1" w:rsidRPr="00802088" w:rsidRDefault="00E34CD1" w:rsidP="008B358C">
      <w:pPr>
        <w:bidi w:val="0"/>
        <w:spacing w:after="0" w:line="240" w:lineRule="auto"/>
        <w:ind w:left="720" w:hanging="90"/>
        <w:rPr>
          <w:rFonts w:asciiTheme="minorBidi" w:hAnsiTheme="minorBidi" w:cstheme="minorBidi"/>
          <w:sz w:val="18"/>
        </w:rPr>
      </w:pPr>
      <w:r w:rsidRPr="00802088">
        <w:rPr>
          <w:rFonts w:asciiTheme="minorBidi" w:hAnsiTheme="minorBidi" w:cstheme="minorBidi"/>
          <w:b/>
          <w:bCs/>
          <w:sz w:val="18"/>
          <w:szCs w:val="18"/>
        </w:rPr>
        <w:t xml:space="preserve">Palestinian Central Bureau of </w:t>
      </w:r>
      <w:r w:rsidR="005A64D5" w:rsidRPr="00802088">
        <w:rPr>
          <w:rFonts w:asciiTheme="minorBidi" w:hAnsiTheme="minorBidi" w:cstheme="minorBidi"/>
          <w:b/>
          <w:bCs/>
          <w:sz w:val="18"/>
          <w:szCs w:val="18"/>
        </w:rPr>
        <w:t>S</w:t>
      </w:r>
      <w:r w:rsidRPr="00802088">
        <w:rPr>
          <w:rFonts w:asciiTheme="minorBidi" w:hAnsiTheme="minorBidi" w:cstheme="minorBidi"/>
          <w:b/>
          <w:bCs/>
          <w:sz w:val="18"/>
          <w:szCs w:val="18"/>
        </w:rPr>
        <w:t xml:space="preserve">tatistics.  </w:t>
      </w:r>
      <w:r w:rsidRPr="00802088">
        <w:rPr>
          <w:rFonts w:asciiTheme="minorBidi" w:hAnsiTheme="minorBidi" w:cstheme="minorBidi"/>
          <w:sz w:val="18"/>
          <w:szCs w:val="18"/>
        </w:rPr>
        <w:t>Palestinian Multiple Indicator Cluster Survey 2014 Database</w:t>
      </w:r>
      <w:r w:rsidRPr="00802088">
        <w:rPr>
          <w:rFonts w:asciiTheme="minorBidi" w:hAnsiTheme="minorBidi" w:cstheme="minorBidi"/>
          <w:b/>
          <w:bCs/>
          <w:sz w:val="18"/>
          <w:szCs w:val="18"/>
        </w:rPr>
        <w:t xml:space="preserve">. </w:t>
      </w:r>
      <w:r w:rsidRPr="00802088">
        <w:rPr>
          <w:rFonts w:asciiTheme="minorBidi" w:hAnsiTheme="minorBidi" w:cstheme="minorBidi"/>
          <w:sz w:val="18"/>
        </w:rPr>
        <w:t>Ramallah-Palestine.</w:t>
      </w:r>
    </w:p>
    <w:p w14:paraId="38E327F4" w14:textId="77777777" w:rsidR="00E34CD1" w:rsidRPr="00802088" w:rsidRDefault="00E34CD1" w:rsidP="008B358C">
      <w:pPr>
        <w:bidi w:val="0"/>
        <w:spacing w:after="0" w:line="240" w:lineRule="auto"/>
        <w:ind w:left="720" w:hanging="90"/>
        <w:rPr>
          <w:rFonts w:asciiTheme="minorBidi" w:hAnsiTheme="minorBidi" w:cstheme="minorBidi"/>
        </w:rPr>
      </w:pPr>
      <w:r w:rsidRPr="00802088">
        <w:rPr>
          <w:rFonts w:asciiTheme="minorBidi" w:hAnsiTheme="minorBidi" w:cstheme="minorBidi"/>
          <w:b/>
          <w:bCs/>
          <w:sz w:val="18"/>
          <w:szCs w:val="18"/>
        </w:rPr>
        <w:t>Palestinian Central Bureau of statistics</w:t>
      </w:r>
      <w:r w:rsidRPr="00802088">
        <w:rPr>
          <w:rFonts w:asciiTheme="minorBidi" w:hAnsiTheme="minorBidi" w:cstheme="minorBidi"/>
          <w:sz w:val="18"/>
          <w:szCs w:val="18"/>
        </w:rPr>
        <w:t xml:space="preserve">.  Palestinian Multiple Indicator Cluster Survey 2019 Database. </w:t>
      </w:r>
      <w:r w:rsidRPr="00802088">
        <w:rPr>
          <w:rFonts w:asciiTheme="minorBidi" w:hAnsiTheme="minorBidi" w:cstheme="minorBidi"/>
          <w:sz w:val="18"/>
        </w:rPr>
        <w:t>Ramallah-Palestine.</w:t>
      </w:r>
    </w:p>
    <w:p w14:paraId="7D809028" w14:textId="77777777" w:rsidR="00E34CD1" w:rsidRPr="00BB60DD" w:rsidRDefault="00E34CD1" w:rsidP="008C6258">
      <w:pPr>
        <w:bidi w:val="0"/>
        <w:spacing w:after="0" w:line="240" w:lineRule="auto"/>
        <w:ind w:left="630"/>
        <w:rPr>
          <w:rStyle w:val="Strong"/>
          <w:rFonts w:ascii="Arial" w:hAnsi="Arial"/>
          <w:b w:val="0"/>
          <w:bCs w:val="0"/>
          <w:sz w:val="24"/>
          <w:szCs w:val="24"/>
        </w:rPr>
      </w:pPr>
    </w:p>
    <w:p w14:paraId="48274A8A" w14:textId="77777777" w:rsidR="00E34CD1" w:rsidRPr="00433770" w:rsidRDefault="002973D7" w:rsidP="00CF007C">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At</w:t>
      </w:r>
      <w:r w:rsidR="00E34CD1" w:rsidRPr="00433770">
        <w:rPr>
          <w:rFonts w:ascii="Times New Roman" w:hAnsi="Times New Roman" w:cs="Times New Roman"/>
          <w:sz w:val="24"/>
          <w:szCs w:val="24"/>
        </w:rPr>
        <w:t xml:space="preserve"> the regional level in Palestine, mortality rates varied between Gaza Strip and the West Bank. In 2019, the under-5 and neonatal mortality rates were higher in the West Bank (14.7 and 9.8 per 1</w:t>
      </w:r>
      <w:r w:rsidR="005A64D5">
        <w:rPr>
          <w:rFonts w:ascii="Times New Roman" w:hAnsi="Times New Roman" w:cs="Times New Roman"/>
          <w:sz w:val="24"/>
          <w:szCs w:val="24"/>
        </w:rPr>
        <w:t>,</w:t>
      </w:r>
      <w:r w:rsidR="00E34CD1" w:rsidRPr="00433770">
        <w:rPr>
          <w:rFonts w:ascii="Times New Roman" w:hAnsi="Times New Roman" w:cs="Times New Roman"/>
          <w:sz w:val="24"/>
          <w:szCs w:val="24"/>
        </w:rPr>
        <w:t xml:space="preserve">000 live births) compared to </w:t>
      </w:r>
      <w:r>
        <w:rPr>
          <w:rFonts w:ascii="Times New Roman" w:hAnsi="Times New Roman" w:cs="Times New Roman"/>
          <w:sz w:val="24"/>
          <w:szCs w:val="24"/>
        </w:rPr>
        <w:t xml:space="preserve">the </w:t>
      </w:r>
      <w:r w:rsidR="00E34CD1" w:rsidRPr="00433770">
        <w:rPr>
          <w:rFonts w:ascii="Times New Roman" w:hAnsi="Times New Roman" w:cs="Times New Roman"/>
          <w:sz w:val="24"/>
          <w:szCs w:val="24"/>
        </w:rPr>
        <w:t>Gaza Strip (13.7 and 8.8 per 1</w:t>
      </w:r>
      <w:r w:rsidR="005A64D5">
        <w:rPr>
          <w:rFonts w:ascii="Times New Roman" w:hAnsi="Times New Roman" w:cs="Times New Roman"/>
          <w:sz w:val="24"/>
          <w:szCs w:val="24"/>
        </w:rPr>
        <w:t>,</w:t>
      </w:r>
      <w:r w:rsidR="00E34CD1" w:rsidRPr="00433770">
        <w:rPr>
          <w:rFonts w:ascii="Times New Roman" w:hAnsi="Times New Roman" w:cs="Times New Roman"/>
          <w:sz w:val="24"/>
          <w:szCs w:val="24"/>
        </w:rPr>
        <w:t>000 live births)</w:t>
      </w:r>
      <w:r w:rsidR="00586553">
        <w:rPr>
          <w:rFonts w:ascii="Times New Roman" w:hAnsi="Times New Roman" w:cs="Times New Roman"/>
          <w:sz w:val="24"/>
          <w:szCs w:val="24"/>
        </w:rPr>
        <w:t xml:space="preserve"> in 2019</w:t>
      </w:r>
      <w:r w:rsidR="00E34CD1" w:rsidRPr="00433770">
        <w:rPr>
          <w:rFonts w:ascii="Times New Roman" w:hAnsi="Times New Roman" w:cs="Times New Roman"/>
          <w:sz w:val="24"/>
          <w:szCs w:val="24"/>
        </w:rPr>
        <w:t>.</w:t>
      </w:r>
    </w:p>
    <w:p w14:paraId="26635B4A" w14:textId="77777777" w:rsidR="00E34CD1" w:rsidRPr="002E3E74" w:rsidRDefault="00E34CD1" w:rsidP="008C6258">
      <w:pPr>
        <w:bidi w:val="0"/>
        <w:spacing w:after="0" w:line="240" w:lineRule="auto"/>
        <w:jc w:val="both"/>
        <w:rPr>
          <w:rFonts w:ascii="Times New Roman" w:hAnsi="Times New Roman" w:cs="Times New Roman"/>
          <w:sz w:val="24"/>
          <w:szCs w:val="24"/>
        </w:rPr>
      </w:pPr>
    </w:p>
    <w:p w14:paraId="4CB1E07A" w14:textId="77777777" w:rsidR="00E34CD1" w:rsidRDefault="00E34CD1"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3.3.1 Number of new HIV infections per 1,000 uninfected population </w:t>
      </w:r>
    </w:p>
    <w:p w14:paraId="5EFD83CE"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3EB66DB9" w14:textId="77777777" w:rsidR="00E34CD1" w:rsidRDefault="00E34CD1" w:rsidP="00374C8B">
      <w:pPr>
        <w:autoSpaceDE w:val="0"/>
        <w:autoSpaceDN w:val="0"/>
        <w:bidi w:val="0"/>
        <w:adjustRightInd w:val="0"/>
        <w:spacing w:after="0" w:line="240" w:lineRule="auto"/>
        <w:jc w:val="both"/>
        <w:rPr>
          <w:rFonts w:ascii="Times New Roman" w:hAnsi="Times New Roman" w:cs="Times New Roman"/>
          <w:sz w:val="24"/>
          <w:szCs w:val="24"/>
        </w:rPr>
      </w:pPr>
      <w:r w:rsidRPr="007A44C8">
        <w:rPr>
          <w:rFonts w:ascii="Times New Roman" w:hAnsi="Times New Roman" w:cs="Times New Roman"/>
          <w:sz w:val="24"/>
          <w:szCs w:val="24"/>
        </w:rPr>
        <w:t>The</w:t>
      </w:r>
      <w:r w:rsidR="002973D7">
        <w:rPr>
          <w:rFonts w:ascii="Times New Roman" w:hAnsi="Times New Roman" w:cs="Times New Roman"/>
          <w:sz w:val="24"/>
          <w:szCs w:val="24"/>
        </w:rPr>
        <w:t xml:space="preserve">re were only four new </w:t>
      </w:r>
      <w:r w:rsidRPr="007A44C8">
        <w:rPr>
          <w:rFonts w:ascii="Times New Roman" w:hAnsi="Times New Roman" w:cs="Times New Roman"/>
          <w:sz w:val="24"/>
          <w:szCs w:val="24"/>
        </w:rPr>
        <w:t>HIV infection</w:t>
      </w:r>
      <w:r w:rsidRPr="00374C8B">
        <w:rPr>
          <w:rFonts w:ascii="Times New Roman" w:hAnsi="Times New Roman" w:cs="Times New Roman"/>
          <w:sz w:val="24"/>
          <w:szCs w:val="24"/>
        </w:rPr>
        <w:t xml:space="preserve"> cases in 2</w:t>
      </w:r>
      <w:r w:rsidR="00DD39A8" w:rsidRPr="00374C8B">
        <w:rPr>
          <w:rFonts w:ascii="Times New Roman" w:hAnsi="Times New Roman" w:cs="Times New Roman"/>
          <w:sz w:val="24"/>
          <w:szCs w:val="24"/>
        </w:rPr>
        <w:t>021</w:t>
      </w:r>
      <w:r w:rsidRPr="00374C8B">
        <w:rPr>
          <w:rFonts w:ascii="Times New Roman" w:hAnsi="Times New Roman" w:cs="Times New Roman"/>
          <w:sz w:val="24"/>
          <w:szCs w:val="24"/>
        </w:rPr>
        <w:t>; with a rate of 0.00</w:t>
      </w:r>
      <w:r w:rsidR="004E1465" w:rsidRPr="00374C8B">
        <w:rPr>
          <w:rFonts w:ascii="Times New Roman" w:hAnsi="Times New Roman" w:cs="Times New Roman"/>
          <w:sz w:val="24"/>
          <w:szCs w:val="24"/>
        </w:rPr>
        <w:t>08</w:t>
      </w:r>
      <w:r w:rsidRPr="00374C8B">
        <w:rPr>
          <w:rFonts w:ascii="Times New Roman" w:hAnsi="Times New Roman" w:cs="Times New Roman"/>
          <w:sz w:val="24"/>
          <w:szCs w:val="24"/>
        </w:rPr>
        <w:t xml:space="preserve"> per 1,000</w:t>
      </w:r>
      <w:r w:rsidRPr="007A44C8">
        <w:rPr>
          <w:rFonts w:ascii="Times New Roman" w:hAnsi="Times New Roman" w:cs="Times New Roman"/>
          <w:sz w:val="24"/>
          <w:szCs w:val="24"/>
        </w:rPr>
        <w:t xml:space="preserve"> uninfected population. Palestine is one of the countries</w:t>
      </w:r>
      <w:r w:rsidR="00020043">
        <w:rPr>
          <w:rFonts w:ascii="Times New Roman" w:hAnsi="Times New Roman" w:cs="Times New Roman"/>
          <w:sz w:val="24"/>
          <w:szCs w:val="24"/>
        </w:rPr>
        <w:t xml:space="preserve"> that record</w:t>
      </w:r>
      <w:r w:rsidR="002973D7">
        <w:rPr>
          <w:rFonts w:ascii="Times New Roman" w:hAnsi="Times New Roman" w:cs="Times New Roman"/>
          <w:sz w:val="24"/>
          <w:szCs w:val="24"/>
        </w:rPr>
        <w:t xml:space="preserve">sthe </w:t>
      </w:r>
      <w:r w:rsidR="00020043">
        <w:rPr>
          <w:rFonts w:ascii="Times New Roman" w:hAnsi="Times New Roman" w:cs="Times New Roman"/>
          <w:sz w:val="24"/>
          <w:szCs w:val="24"/>
        </w:rPr>
        <w:t>low</w:t>
      </w:r>
      <w:r w:rsidR="002973D7">
        <w:rPr>
          <w:rFonts w:ascii="Times New Roman" w:hAnsi="Times New Roman" w:cs="Times New Roman"/>
          <w:sz w:val="24"/>
          <w:szCs w:val="24"/>
        </w:rPr>
        <w:t>est</w:t>
      </w:r>
      <w:r w:rsidR="00020043">
        <w:rPr>
          <w:rFonts w:ascii="Times New Roman" w:hAnsi="Times New Roman" w:cs="Times New Roman"/>
          <w:sz w:val="24"/>
          <w:szCs w:val="24"/>
        </w:rPr>
        <w:t xml:space="preserve"> rates of HIV</w:t>
      </w:r>
      <w:r>
        <w:rPr>
          <w:rFonts w:ascii="Times New Roman" w:hAnsi="Times New Roman" w:cs="Times New Roman"/>
          <w:sz w:val="24"/>
          <w:szCs w:val="24"/>
        </w:rPr>
        <w:t>/</w:t>
      </w:r>
      <w:r w:rsidRPr="007A44C8">
        <w:rPr>
          <w:rFonts w:ascii="Times New Roman" w:hAnsi="Times New Roman" w:cs="Times New Roman"/>
          <w:sz w:val="24"/>
          <w:szCs w:val="24"/>
        </w:rPr>
        <w:t xml:space="preserve">AIDS infection, with a cumulative total of </w:t>
      </w:r>
      <w:r>
        <w:rPr>
          <w:rFonts w:ascii="Times New Roman" w:hAnsi="Times New Roman" w:cs="Times New Roman"/>
          <w:sz w:val="24"/>
          <w:szCs w:val="24"/>
        </w:rPr>
        <w:t>115</w:t>
      </w:r>
      <w:r w:rsidRPr="007A44C8">
        <w:rPr>
          <w:rFonts w:ascii="Times New Roman" w:hAnsi="Times New Roman" w:cs="Times New Roman"/>
          <w:sz w:val="24"/>
          <w:szCs w:val="24"/>
        </w:rPr>
        <w:t xml:space="preserve"> recorded cases since 1998, of which </w:t>
      </w:r>
      <w:r>
        <w:rPr>
          <w:rFonts w:ascii="Times New Roman" w:hAnsi="Times New Roman" w:cs="Times New Roman"/>
          <w:sz w:val="24"/>
          <w:szCs w:val="24"/>
        </w:rPr>
        <w:t>90</w:t>
      </w:r>
      <w:r w:rsidRPr="007A44C8">
        <w:rPr>
          <w:rFonts w:ascii="Times New Roman" w:hAnsi="Times New Roman" w:cs="Times New Roman"/>
          <w:sz w:val="24"/>
          <w:szCs w:val="24"/>
        </w:rPr>
        <w:t xml:space="preserve"> are AIDS patients and </w:t>
      </w:r>
      <w:r>
        <w:rPr>
          <w:rFonts w:ascii="Times New Roman" w:hAnsi="Times New Roman" w:cs="Times New Roman"/>
          <w:sz w:val="24"/>
          <w:szCs w:val="24"/>
        </w:rPr>
        <w:t>25</w:t>
      </w:r>
      <w:r w:rsidRPr="007A44C8">
        <w:rPr>
          <w:rFonts w:ascii="Times New Roman" w:hAnsi="Times New Roman" w:cs="Times New Roman"/>
          <w:sz w:val="24"/>
          <w:szCs w:val="24"/>
        </w:rPr>
        <w:t xml:space="preserve"> are HIV-positive</w:t>
      </w:r>
      <w:r w:rsidR="00C945DF">
        <w:rPr>
          <w:rFonts w:ascii="Times New Roman" w:hAnsi="Times New Roman" w:cs="Times New Roman"/>
          <w:sz w:val="24"/>
          <w:szCs w:val="24"/>
        </w:rPr>
        <w:t xml:space="preserve"> patients</w:t>
      </w:r>
      <w:r w:rsidRPr="007A44C8">
        <w:rPr>
          <w:rFonts w:ascii="Times New Roman" w:hAnsi="Times New Roman" w:cs="Times New Roman"/>
          <w:sz w:val="24"/>
          <w:szCs w:val="24"/>
        </w:rPr>
        <w:t>.</w:t>
      </w:r>
    </w:p>
    <w:p w14:paraId="779C1DA8" w14:textId="77777777" w:rsidR="00E34CD1" w:rsidRPr="007A44C8" w:rsidRDefault="00E34CD1" w:rsidP="008C6258">
      <w:pPr>
        <w:autoSpaceDE w:val="0"/>
        <w:autoSpaceDN w:val="0"/>
        <w:bidi w:val="0"/>
        <w:adjustRightInd w:val="0"/>
        <w:spacing w:after="0" w:line="240" w:lineRule="auto"/>
        <w:jc w:val="both"/>
        <w:rPr>
          <w:rFonts w:ascii="Times New Roman" w:hAnsi="Times New Roman" w:cs="Times New Roman"/>
          <w:sz w:val="24"/>
          <w:szCs w:val="24"/>
        </w:rPr>
      </w:pPr>
    </w:p>
    <w:p w14:paraId="3B2AB2DD" w14:textId="77777777" w:rsidR="00055BF1" w:rsidRDefault="00E34CD1" w:rsidP="003D5E45">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3.3.2 Tuberculosis incidence per 100,000 populati</w:t>
      </w:r>
      <w:r w:rsidR="003D5E45">
        <w:rPr>
          <w:rFonts w:ascii="Times New Roman" w:hAnsi="Times New Roman" w:cs="Times New Roman"/>
          <w:b/>
          <w:bCs/>
          <w:i/>
          <w:iCs/>
          <w:sz w:val="24"/>
          <w:szCs w:val="24"/>
        </w:rPr>
        <w:t>on</w:t>
      </w:r>
    </w:p>
    <w:p w14:paraId="701C9370" w14:textId="77777777" w:rsidR="00877949" w:rsidRPr="003D5E45"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35110A6" w14:textId="77777777" w:rsidR="00E34CD1" w:rsidRPr="007A44C8" w:rsidRDefault="00E34CD1" w:rsidP="00374C8B">
      <w:pPr>
        <w:autoSpaceDE w:val="0"/>
        <w:autoSpaceDN w:val="0"/>
        <w:bidi w:val="0"/>
        <w:adjustRightInd w:val="0"/>
        <w:spacing w:after="0" w:line="240" w:lineRule="auto"/>
        <w:jc w:val="both"/>
        <w:rPr>
          <w:rFonts w:ascii="Times New Roman" w:hAnsi="Times New Roman" w:cs="Times New Roman"/>
          <w:sz w:val="24"/>
          <w:szCs w:val="24"/>
        </w:rPr>
      </w:pPr>
      <w:r w:rsidRPr="007A44C8">
        <w:rPr>
          <w:rFonts w:ascii="Times New Roman" w:hAnsi="Times New Roman" w:cs="Times New Roman"/>
          <w:sz w:val="24"/>
          <w:szCs w:val="24"/>
        </w:rPr>
        <w:t xml:space="preserve">In Palestine, </w:t>
      </w:r>
      <w:r w:rsidR="00374C8B" w:rsidRPr="00374C8B">
        <w:rPr>
          <w:rFonts w:ascii="Times New Roman" w:hAnsi="Times New Roman" w:cs="Times New Roman"/>
          <w:sz w:val="24"/>
          <w:szCs w:val="24"/>
        </w:rPr>
        <w:t>25</w:t>
      </w:r>
      <w:r w:rsidRPr="00374C8B">
        <w:rPr>
          <w:rFonts w:ascii="Times New Roman" w:hAnsi="Times New Roman" w:cs="Times New Roman"/>
          <w:sz w:val="24"/>
          <w:szCs w:val="24"/>
        </w:rPr>
        <w:t xml:space="preserve"> tuberculosis </w:t>
      </w:r>
      <w:r w:rsidR="00C945DF">
        <w:rPr>
          <w:rFonts w:ascii="Times New Roman" w:hAnsi="Times New Roman" w:cs="Times New Roman"/>
          <w:sz w:val="24"/>
          <w:szCs w:val="24"/>
        </w:rPr>
        <w:t xml:space="preserve">cases </w:t>
      </w:r>
      <w:r w:rsidRPr="00374C8B">
        <w:rPr>
          <w:rFonts w:ascii="Times New Roman" w:hAnsi="Times New Roman" w:cs="Times New Roman"/>
          <w:sz w:val="24"/>
          <w:szCs w:val="24"/>
        </w:rPr>
        <w:t>were recorded</w:t>
      </w:r>
      <w:r w:rsidR="00CA413E" w:rsidRPr="00374C8B">
        <w:rPr>
          <w:rFonts w:ascii="Times New Roman" w:hAnsi="Times New Roman" w:cs="Times New Roman"/>
          <w:sz w:val="24"/>
          <w:szCs w:val="24"/>
        </w:rPr>
        <w:t xml:space="preserve"> in 202</w:t>
      </w:r>
      <w:r w:rsidR="00DD39A8" w:rsidRPr="00374C8B">
        <w:rPr>
          <w:rFonts w:ascii="Times New Roman" w:hAnsi="Times New Roman" w:cs="Times New Roman"/>
          <w:sz w:val="24"/>
          <w:szCs w:val="24"/>
        </w:rPr>
        <w:t>1</w:t>
      </w:r>
      <w:r w:rsidRPr="00374C8B">
        <w:rPr>
          <w:rFonts w:ascii="Times New Roman" w:hAnsi="Times New Roman" w:cs="Times New Roman"/>
          <w:sz w:val="24"/>
          <w:szCs w:val="24"/>
        </w:rPr>
        <w:t>, with an incidence rate of 0.</w:t>
      </w:r>
      <w:r w:rsidR="00DD39A8" w:rsidRPr="00374C8B">
        <w:rPr>
          <w:rFonts w:ascii="Times New Roman" w:hAnsi="Times New Roman" w:cs="Times New Roman"/>
          <w:sz w:val="24"/>
          <w:szCs w:val="24"/>
        </w:rPr>
        <w:t>50</w:t>
      </w:r>
      <w:r w:rsidRPr="00374C8B">
        <w:rPr>
          <w:rFonts w:ascii="Times New Roman" w:hAnsi="Times New Roman" w:cs="Times New Roman"/>
          <w:sz w:val="24"/>
          <w:szCs w:val="24"/>
        </w:rPr>
        <w:t xml:space="preserve"> per 100,000 population, of which </w:t>
      </w:r>
      <w:r w:rsidR="00C945DF">
        <w:rPr>
          <w:rFonts w:ascii="Times New Roman" w:hAnsi="Times New Roman" w:cs="Times New Roman"/>
          <w:sz w:val="24"/>
          <w:szCs w:val="24"/>
        </w:rPr>
        <w:t xml:space="preserve">three cases </w:t>
      </w:r>
      <w:r w:rsidRPr="00374C8B">
        <w:rPr>
          <w:rFonts w:ascii="Times New Roman" w:hAnsi="Times New Roman" w:cs="Times New Roman"/>
          <w:sz w:val="24"/>
          <w:szCs w:val="24"/>
        </w:rPr>
        <w:t>were in the West Bank, with an incidence rate of 0.</w:t>
      </w:r>
      <w:r w:rsidR="00DD39A8" w:rsidRPr="00374C8B">
        <w:rPr>
          <w:rFonts w:ascii="Times New Roman" w:hAnsi="Times New Roman" w:cs="Times New Roman"/>
          <w:sz w:val="24"/>
          <w:szCs w:val="24"/>
        </w:rPr>
        <w:t>14</w:t>
      </w:r>
      <w:r w:rsidRPr="00374C8B">
        <w:rPr>
          <w:rFonts w:ascii="Times New Roman" w:hAnsi="Times New Roman" w:cs="Times New Roman"/>
          <w:sz w:val="24"/>
          <w:szCs w:val="24"/>
        </w:rPr>
        <w:t xml:space="preserve"> per 100,000 population, and </w:t>
      </w:r>
      <w:r w:rsidR="00374C8B" w:rsidRPr="00374C8B">
        <w:rPr>
          <w:rFonts w:ascii="Times New Roman" w:hAnsi="Times New Roman" w:cs="Times New Roman"/>
          <w:sz w:val="24"/>
          <w:szCs w:val="24"/>
        </w:rPr>
        <w:t>22</w:t>
      </w:r>
      <w:r w:rsidRPr="00374C8B">
        <w:rPr>
          <w:rFonts w:ascii="Times New Roman" w:hAnsi="Times New Roman" w:cs="Times New Roman"/>
          <w:sz w:val="24"/>
          <w:szCs w:val="24"/>
        </w:rPr>
        <w:t xml:space="preserve"> cases in Gaza Strip with an incidence rate of </w:t>
      </w:r>
      <w:r w:rsidR="00DD39A8" w:rsidRPr="00374C8B">
        <w:rPr>
          <w:rFonts w:ascii="Times New Roman" w:hAnsi="Times New Roman" w:cs="Times New Roman"/>
          <w:sz w:val="24"/>
          <w:szCs w:val="24"/>
        </w:rPr>
        <w:t>1.00</w:t>
      </w:r>
      <w:r w:rsidRPr="00374C8B">
        <w:rPr>
          <w:rFonts w:ascii="Times New Roman" w:hAnsi="Times New Roman" w:cs="Times New Roman"/>
          <w:sz w:val="24"/>
          <w:szCs w:val="24"/>
        </w:rPr>
        <w:t xml:space="preserve"> per 100,000</w:t>
      </w:r>
      <w:r w:rsidRPr="007A44C8">
        <w:rPr>
          <w:rFonts w:ascii="Times New Roman" w:hAnsi="Times New Roman" w:cs="Times New Roman"/>
          <w:sz w:val="24"/>
          <w:szCs w:val="24"/>
        </w:rPr>
        <w:t xml:space="preserve"> population. </w:t>
      </w:r>
      <w:r w:rsidR="00C945DF">
        <w:rPr>
          <w:rFonts w:ascii="Times New Roman" w:hAnsi="Times New Roman" w:cs="Times New Roman"/>
          <w:sz w:val="24"/>
          <w:szCs w:val="24"/>
        </w:rPr>
        <w:t>I</w:t>
      </w:r>
      <w:r w:rsidRPr="007A44C8">
        <w:rPr>
          <w:rFonts w:ascii="Times New Roman" w:hAnsi="Times New Roman" w:cs="Times New Roman"/>
          <w:sz w:val="24"/>
          <w:szCs w:val="24"/>
        </w:rPr>
        <w:t xml:space="preserve">n 2015, the number of registered tuberculosis cases </w:t>
      </w:r>
      <w:r w:rsidR="00C945DF">
        <w:rPr>
          <w:rFonts w:ascii="Times New Roman" w:hAnsi="Times New Roman" w:cs="Times New Roman"/>
          <w:sz w:val="24"/>
          <w:szCs w:val="24"/>
        </w:rPr>
        <w:t>reached</w:t>
      </w:r>
      <w:r w:rsidRPr="007A44C8">
        <w:rPr>
          <w:rFonts w:ascii="Times New Roman" w:hAnsi="Times New Roman" w:cs="Times New Roman"/>
          <w:sz w:val="24"/>
          <w:szCs w:val="24"/>
        </w:rPr>
        <w:t xml:space="preserve"> 18, with an incidence rate of 0.61 per 100,000 population. </w:t>
      </w:r>
    </w:p>
    <w:p w14:paraId="27F86595" w14:textId="77777777" w:rsidR="00472C74" w:rsidRDefault="00472C74" w:rsidP="008C6258">
      <w:pPr>
        <w:tabs>
          <w:tab w:val="left" w:pos="9072"/>
        </w:tabs>
        <w:bidi w:val="0"/>
        <w:spacing w:after="0" w:line="240" w:lineRule="auto"/>
        <w:jc w:val="center"/>
        <w:rPr>
          <w:rFonts w:ascii="Arial" w:hAnsi="Arial"/>
          <w:b/>
          <w:bCs/>
        </w:rPr>
      </w:pPr>
    </w:p>
    <w:p w14:paraId="7F5DBE39" w14:textId="77777777" w:rsidR="00AF0C00" w:rsidRDefault="00AF0C00" w:rsidP="008C6258">
      <w:pPr>
        <w:tabs>
          <w:tab w:val="left" w:pos="9072"/>
        </w:tabs>
        <w:bidi w:val="0"/>
        <w:spacing w:after="0" w:line="240" w:lineRule="auto"/>
        <w:jc w:val="center"/>
        <w:rPr>
          <w:rFonts w:ascii="Arial" w:hAnsi="Arial"/>
          <w:b/>
          <w:bCs/>
          <w:rtl/>
        </w:rPr>
      </w:pPr>
    </w:p>
    <w:p w14:paraId="4A577A48" w14:textId="77777777" w:rsidR="00AF0C00" w:rsidRDefault="00AF0C00" w:rsidP="00AF0C00">
      <w:pPr>
        <w:tabs>
          <w:tab w:val="left" w:pos="9072"/>
        </w:tabs>
        <w:bidi w:val="0"/>
        <w:spacing w:after="0" w:line="240" w:lineRule="auto"/>
        <w:jc w:val="center"/>
        <w:rPr>
          <w:rFonts w:ascii="Arial" w:hAnsi="Arial"/>
          <w:b/>
          <w:bCs/>
        </w:rPr>
      </w:pPr>
    </w:p>
    <w:p w14:paraId="18FAF373" w14:textId="77777777" w:rsidR="00C844AF" w:rsidRDefault="00C844AF" w:rsidP="00C844AF">
      <w:pPr>
        <w:tabs>
          <w:tab w:val="left" w:pos="9072"/>
        </w:tabs>
        <w:bidi w:val="0"/>
        <w:spacing w:after="0" w:line="240" w:lineRule="auto"/>
        <w:jc w:val="center"/>
        <w:rPr>
          <w:rFonts w:ascii="Arial" w:hAnsi="Arial"/>
          <w:b/>
          <w:bCs/>
          <w:rtl/>
        </w:rPr>
      </w:pPr>
    </w:p>
    <w:p w14:paraId="6E5A4DB4" w14:textId="77777777" w:rsidR="00AF0C00" w:rsidRDefault="00AF0C00" w:rsidP="00AF0C00">
      <w:pPr>
        <w:tabs>
          <w:tab w:val="left" w:pos="9072"/>
        </w:tabs>
        <w:bidi w:val="0"/>
        <w:spacing w:after="0" w:line="240" w:lineRule="auto"/>
        <w:jc w:val="center"/>
        <w:rPr>
          <w:rFonts w:ascii="Arial" w:hAnsi="Arial"/>
          <w:b/>
          <w:bCs/>
          <w:rtl/>
        </w:rPr>
      </w:pPr>
    </w:p>
    <w:p w14:paraId="1963E4CF" w14:textId="77777777" w:rsidR="00AF0C00" w:rsidRDefault="00AF0C00" w:rsidP="00AF0C00">
      <w:pPr>
        <w:tabs>
          <w:tab w:val="left" w:pos="9072"/>
        </w:tabs>
        <w:bidi w:val="0"/>
        <w:spacing w:after="0" w:line="240" w:lineRule="auto"/>
        <w:jc w:val="center"/>
        <w:rPr>
          <w:rFonts w:ascii="Arial" w:hAnsi="Arial"/>
          <w:b/>
          <w:bCs/>
          <w:rtl/>
        </w:rPr>
      </w:pPr>
    </w:p>
    <w:p w14:paraId="284D9AC3" w14:textId="77777777" w:rsidR="00AF0C00" w:rsidRDefault="00AF0C00" w:rsidP="00AF0C00">
      <w:pPr>
        <w:tabs>
          <w:tab w:val="left" w:pos="9072"/>
        </w:tabs>
        <w:bidi w:val="0"/>
        <w:spacing w:after="0" w:line="240" w:lineRule="auto"/>
        <w:jc w:val="center"/>
        <w:rPr>
          <w:rFonts w:ascii="Arial" w:hAnsi="Arial"/>
          <w:b/>
          <w:bCs/>
        </w:rPr>
      </w:pPr>
    </w:p>
    <w:p w14:paraId="44370235" w14:textId="77777777" w:rsidR="00E34CD1" w:rsidRDefault="00E34CD1" w:rsidP="00AF0C00">
      <w:pPr>
        <w:tabs>
          <w:tab w:val="left" w:pos="9072"/>
        </w:tabs>
        <w:bidi w:val="0"/>
        <w:spacing w:after="0" w:line="240" w:lineRule="auto"/>
        <w:jc w:val="center"/>
        <w:rPr>
          <w:rFonts w:ascii="Arial" w:hAnsi="Arial"/>
          <w:b/>
          <w:bCs/>
        </w:rPr>
      </w:pPr>
      <w:r w:rsidRPr="009F5BAB">
        <w:rPr>
          <w:rFonts w:ascii="Arial" w:hAnsi="Arial"/>
          <w:b/>
          <w:bCs/>
        </w:rPr>
        <w:lastRenderedPageBreak/>
        <w:t>Tuberculosis Incidences,2015-</w:t>
      </w:r>
      <w:r>
        <w:rPr>
          <w:rFonts w:ascii="Arial" w:hAnsi="Arial"/>
          <w:b/>
          <w:bCs/>
        </w:rPr>
        <w:t>2018</w:t>
      </w:r>
      <w:r w:rsidR="00C005B3">
        <w:rPr>
          <w:rFonts w:ascii="Arial" w:hAnsi="Arial"/>
          <w:b/>
          <w:bCs/>
        </w:rPr>
        <w:t>, 2020</w:t>
      </w:r>
      <w:r w:rsidR="004E1465">
        <w:rPr>
          <w:rFonts w:ascii="Arial" w:hAnsi="Arial"/>
          <w:b/>
          <w:bCs/>
        </w:rPr>
        <w:t>-2021</w:t>
      </w:r>
      <w:r w:rsidRPr="009F5BAB">
        <w:rPr>
          <w:rFonts w:ascii="Arial" w:hAnsi="Arial"/>
          <w:b/>
          <w:bCs/>
        </w:rPr>
        <w:t xml:space="preserve"> (Per 100,000 Population)</w:t>
      </w:r>
    </w:p>
    <w:p w14:paraId="0D5C7D27" w14:textId="77777777" w:rsidR="00E34CD1" w:rsidRPr="005F6E6C" w:rsidRDefault="00E34CD1" w:rsidP="008C6258">
      <w:pPr>
        <w:tabs>
          <w:tab w:val="left" w:pos="9072"/>
        </w:tabs>
        <w:bidi w:val="0"/>
        <w:spacing w:after="0" w:line="240" w:lineRule="auto"/>
        <w:jc w:val="center"/>
        <w:rPr>
          <w:rFonts w:ascii="Arial" w:hAnsi="Arial"/>
          <w:b/>
          <w:bCs/>
          <w:sz w:val="10"/>
          <w:szCs w:val="10"/>
        </w:rPr>
      </w:pPr>
    </w:p>
    <w:tbl>
      <w:tblPr>
        <w:tblW w:w="9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9"/>
      </w:tblGrid>
      <w:tr w:rsidR="00E34CD1" w:rsidRPr="000D2E4D" w14:paraId="3D7BEC4F" w14:textId="77777777" w:rsidTr="00506BC0">
        <w:trPr>
          <w:trHeight w:val="4049"/>
        </w:trPr>
        <w:tc>
          <w:tcPr>
            <w:tcW w:w="9119" w:type="dxa"/>
            <w:shd w:val="clear" w:color="auto" w:fill="auto"/>
          </w:tcPr>
          <w:p w14:paraId="303A091A" w14:textId="77777777" w:rsidR="00E34CD1" w:rsidRPr="000D2E4D" w:rsidRDefault="00E34CD1" w:rsidP="008C6258">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0"/>
                <w:szCs w:val="20"/>
              </w:rPr>
              <w:drawing>
                <wp:inline distT="0" distB="0" distL="0" distR="0" wp14:anchorId="0875727E" wp14:editId="1CB600FA">
                  <wp:extent cx="5457825" cy="2438400"/>
                  <wp:effectExtent l="0" t="0" r="0" b="0"/>
                  <wp:docPr id="19"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14:paraId="56255F93" w14:textId="77777777" w:rsidR="00E34CD1" w:rsidRPr="009E6444" w:rsidRDefault="00C005B3" w:rsidP="008C6258">
      <w:pPr>
        <w:bidi w:val="0"/>
        <w:spacing w:after="0" w:line="240" w:lineRule="auto"/>
        <w:rPr>
          <w:rFonts w:ascii="Arial" w:hAnsi="Arial"/>
          <w:sz w:val="18"/>
          <w:szCs w:val="18"/>
        </w:rPr>
      </w:pPr>
      <w:r w:rsidRPr="009E6444">
        <w:rPr>
          <w:rFonts w:ascii="Arial" w:hAnsi="Arial"/>
          <w:b/>
          <w:bCs/>
          <w:sz w:val="18"/>
          <w:szCs w:val="18"/>
        </w:rPr>
        <w:t>Source: Ministry</w:t>
      </w:r>
      <w:r w:rsidR="00E34CD1" w:rsidRPr="009E6444">
        <w:rPr>
          <w:rFonts w:ascii="Arial" w:hAnsi="Arial"/>
          <w:b/>
          <w:bCs/>
          <w:sz w:val="18"/>
          <w:szCs w:val="18"/>
        </w:rPr>
        <w:t xml:space="preserve"> of </w:t>
      </w:r>
      <w:r w:rsidRPr="009E6444">
        <w:rPr>
          <w:rFonts w:ascii="Arial" w:hAnsi="Arial"/>
          <w:b/>
          <w:bCs/>
          <w:sz w:val="18"/>
          <w:szCs w:val="18"/>
        </w:rPr>
        <w:t>Health</w:t>
      </w:r>
      <w:r w:rsidRPr="009E6444">
        <w:rPr>
          <w:rFonts w:ascii="Arial" w:hAnsi="Arial"/>
          <w:sz w:val="18"/>
          <w:szCs w:val="18"/>
        </w:rPr>
        <w:t>. Annual</w:t>
      </w:r>
      <w:r w:rsidR="00E34CD1" w:rsidRPr="009E6444">
        <w:rPr>
          <w:rFonts w:ascii="Arial" w:hAnsi="Arial"/>
          <w:sz w:val="18"/>
          <w:szCs w:val="18"/>
        </w:rPr>
        <w:t xml:space="preserve"> reports 2015-2018</w:t>
      </w:r>
      <w:r w:rsidR="00E34CD1">
        <w:rPr>
          <w:rFonts w:ascii="Arial" w:hAnsi="Arial"/>
          <w:sz w:val="18"/>
          <w:szCs w:val="18"/>
        </w:rPr>
        <w:t>, 2020</w:t>
      </w:r>
      <w:r w:rsidR="004E1465">
        <w:rPr>
          <w:rFonts w:ascii="Arial" w:hAnsi="Arial"/>
          <w:sz w:val="18"/>
          <w:szCs w:val="18"/>
        </w:rPr>
        <w:t>-2021</w:t>
      </w:r>
      <w:r w:rsidR="00E34CD1" w:rsidRPr="009E6444">
        <w:rPr>
          <w:rFonts w:ascii="Arial" w:hAnsi="Arial"/>
          <w:sz w:val="18"/>
          <w:szCs w:val="18"/>
        </w:rPr>
        <w:t>. Ramallah – Palestine.</w:t>
      </w:r>
    </w:p>
    <w:p w14:paraId="72D0722D" w14:textId="77777777" w:rsidR="003D5E45" w:rsidRPr="00E665C5" w:rsidRDefault="003D5E45" w:rsidP="00E665C5">
      <w:pPr>
        <w:autoSpaceDE w:val="0"/>
        <w:autoSpaceDN w:val="0"/>
        <w:bidi w:val="0"/>
        <w:adjustRightInd w:val="0"/>
        <w:spacing w:after="0" w:line="240" w:lineRule="auto"/>
        <w:jc w:val="both"/>
        <w:rPr>
          <w:rFonts w:ascii="Times New Roman" w:hAnsi="Times New Roman"/>
          <w:sz w:val="18"/>
        </w:rPr>
      </w:pPr>
    </w:p>
    <w:p w14:paraId="41B91824" w14:textId="77777777" w:rsidR="003D5E45" w:rsidRDefault="003D5E45" w:rsidP="00E665C5">
      <w:pPr>
        <w:autoSpaceDE w:val="0"/>
        <w:autoSpaceDN w:val="0"/>
        <w:bidi w:val="0"/>
        <w:adjustRightInd w:val="0"/>
        <w:spacing w:after="0" w:line="240" w:lineRule="auto"/>
        <w:jc w:val="both"/>
        <w:rPr>
          <w:rFonts w:ascii="Times New Roman" w:hAnsi="Times New Roman" w:cs="Times New Roman"/>
          <w:sz w:val="18"/>
          <w:szCs w:val="18"/>
        </w:rPr>
      </w:pPr>
    </w:p>
    <w:p w14:paraId="74DFF737" w14:textId="77777777" w:rsidR="00055BF1" w:rsidRDefault="00E34CD1" w:rsidP="003D5E45">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3.3.3 Malaria</w:t>
      </w:r>
      <w:r w:rsidR="003D5E45">
        <w:rPr>
          <w:rFonts w:ascii="Times New Roman" w:hAnsi="Times New Roman" w:cs="Times New Roman"/>
          <w:b/>
          <w:bCs/>
          <w:i/>
          <w:iCs/>
          <w:sz w:val="24"/>
          <w:szCs w:val="24"/>
        </w:rPr>
        <w:t xml:space="preserve"> incidence per 1,000 population</w:t>
      </w:r>
    </w:p>
    <w:p w14:paraId="4F1BE686" w14:textId="77777777" w:rsidR="00877949" w:rsidRPr="003D5E45"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7C679218" w14:textId="77777777" w:rsidR="00E34CD1" w:rsidRDefault="00E34CD1" w:rsidP="00055BF1">
      <w:pPr>
        <w:autoSpaceDE w:val="0"/>
        <w:autoSpaceDN w:val="0"/>
        <w:bidi w:val="0"/>
        <w:adjustRightInd w:val="0"/>
        <w:spacing w:after="0" w:line="240" w:lineRule="auto"/>
        <w:jc w:val="both"/>
        <w:rPr>
          <w:rFonts w:ascii="Times New Roman" w:hAnsi="Times New Roman" w:cs="Times New Roman"/>
          <w:sz w:val="24"/>
          <w:szCs w:val="24"/>
        </w:rPr>
      </w:pPr>
      <w:r w:rsidRPr="00A44E81">
        <w:rPr>
          <w:rFonts w:ascii="Times New Roman" w:hAnsi="Times New Roman" w:cs="Times New Roman"/>
          <w:sz w:val="24"/>
          <w:szCs w:val="24"/>
        </w:rPr>
        <w:t xml:space="preserve">In the last few years, malaria incidence rate dropped from 0.0004 per 1,000 of </w:t>
      </w:r>
      <w:r w:rsidR="00C945DF">
        <w:rPr>
          <w:rFonts w:ascii="Times New Roman" w:hAnsi="Times New Roman" w:cs="Times New Roman"/>
          <w:sz w:val="24"/>
          <w:szCs w:val="24"/>
        </w:rPr>
        <w:t xml:space="preserve">the </w:t>
      </w:r>
      <w:r w:rsidRPr="00A44E81">
        <w:rPr>
          <w:rFonts w:ascii="Times New Roman" w:hAnsi="Times New Roman" w:cs="Times New Roman"/>
          <w:sz w:val="24"/>
          <w:szCs w:val="24"/>
        </w:rPr>
        <w:t xml:space="preserve">population in 2015, to 0.0002 per 1,000 population in 2017.Whereas, according to data </w:t>
      </w:r>
      <w:r w:rsidR="00C945DF">
        <w:rPr>
          <w:rFonts w:ascii="Times New Roman" w:hAnsi="Times New Roman" w:cs="Times New Roman"/>
          <w:sz w:val="24"/>
          <w:szCs w:val="24"/>
        </w:rPr>
        <w:t>from</w:t>
      </w:r>
      <w:r w:rsidRPr="00A44E81">
        <w:rPr>
          <w:rFonts w:ascii="Times New Roman" w:hAnsi="Times New Roman" w:cs="Times New Roman"/>
          <w:sz w:val="24"/>
          <w:szCs w:val="24"/>
        </w:rPr>
        <w:t xml:space="preserve"> the </w:t>
      </w:r>
      <w:r w:rsidR="00C945DF">
        <w:rPr>
          <w:rFonts w:ascii="Times New Roman" w:hAnsi="Times New Roman" w:cs="Times New Roman"/>
          <w:sz w:val="24"/>
          <w:szCs w:val="24"/>
        </w:rPr>
        <w:t>M</w:t>
      </w:r>
      <w:r w:rsidRPr="00A44E81">
        <w:rPr>
          <w:rFonts w:ascii="Times New Roman" w:hAnsi="Times New Roman" w:cs="Times New Roman"/>
          <w:sz w:val="24"/>
          <w:szCs w:val="24"/>
        </w:rPr>
        <w:t xml:space="preserve">inistry of </w:t>
      </w:r>
      <w:r w:rsidR="00C945DF">
        <w:rPr>
          <w:rFonts w:ascii="Times New Roman" w:hAnsi="Times New Roman" w:cs="Times New Roman"/>
          <w:sz w:val="24"/>
          <w:szCs w:val="24"/>
        </w:rPr>
        <w:t>H</w:t>
      </w:r>
      <w:r w:rsidRPr="00A44E81">
        <w:rPr>
          <w:rFonts w:ascii="Times New Roman" w:hAnsi="Times New Roman" w:cs="Times New Roman"/>
          <w:sz w:val="24"/>
          <w:szCs w:val="24"/>
        </w:rPr>
        <w:t xml:space="preserve">ealth, there were no malaria cases in </w:t>
      </w:r>
      <w:r>
        <w:rPr>
          <w:rFonts w:ascii="Times New Roman" w:hAnsi="Times New Roman" w:cs="Times New Roman"/>
          <w:sz w:val="24"/>
          <w:szCs w:val="24"/>
        </w:rPr>
        <w:t>20</w:t>
      </w:r>
      <w:r w:rsidR="004E1465">
        <w:rPr>
          <w:rFonts w:ascii="Times New Roman" w:hAnsi="Times New Roman" w:cs="Times New Roman"/>
          <w:sz w:val="24"/>
          <w:szCs w:val="24"/>
        </w:rPr>
        <w:t>21</w:t>
      </w:r>
      <w:r w:rsidRPr="00A44E81">
        <w:rPr>
          <w:rFonts w:ascii="Times New Roman" w:hAnsi="Times New Roman" w:cs="Times New Roman"/>
          <w:sz w:val="24"/>
          <w:szCs w:val="24"/>
        </w:rPr>
        <w:t>.</w:t>
      </w:r>
    </w:p>
    <w:p w14:paraId="2C5CA6BE" w14:textId="77777777" w:rsidR="00E34CD1" w:rsidRPr="00F772FD" w:rsidRDefault="00E34CD1" w:rsidP="008C6258">
      <w:pPr>
        <w:bidi w:val="0"/>
        <w:spacing w:after="0" w:line="240" w:lineRule="auto"/>
        <w:rPr>
          <w:rFonts w:ascii="Times New Roman" w:hAnsi="Times New Roman" w:cs="Times New Roman"/>
          <w:sz w:val="24"/>
          <w:szCs w:val="24"/>
        </w:rPr>
      </w:pPr>
    </w:p>
    <w:p w14:paraId="7975A2F5" w14:textId="77777777" w:rsidR="00E34CD1" w:rsidRDefault="00E34CD1" w:rsidP="00E665C5">
      <w:pPr>
        <w:tabs>
          <w:tab w:val="left" w:pos="9072"/>
        </w:tabs>
        <w:bidi w:val="0"/>
        <w:spacing w:after="0" w:line="240" w:lineRule="auto"/>
        <w:jc w:val="center"/>
        <w:rPr>
          <w:rFonts w:ascii="Arial" w:hAnsi="Arial"/>
          <w:b/>
          <w:bCs/>
        </w:rPr>
      </w:pPr>
      <w:r w:rsidRPr="009F5BAB">
        <w:rPr>
          <w:rFonts w:ascii="Arial" w:hAnsi="Arial"/>
          <w:b/>
          <w:bCs/>
        </w:rPr>
        <w:t>Malaria Incidence,2015-</w:t>
      </w:r>
      <w:r>
        <w:rPr>
          <w:rFonts w:ascii="Arial" w:hAnsi="Arial"/>
          <w:b/>
          <w:bCs/>
        </w:rPr>
        <w:t>202</w:t>
      </w:r>
      <w:r w:rsidR="00E665C5">
        <w:rPr>
          <w:rFonts w:ascii="Arial" w:hAnsi="Arial"/>
          <w:b/>
          <w:bCs/>
        </w:rPr>
        <w:t>1</w:t>
      </w:r>
      <w:r w:rsidRPr="009F5BAB">
        <w:rPr>
          <w:rFonts w:ascii="Arial" w:hAnsi="Arial"/>
          <w:b/>
          <w:bCs/>
        </w:rPr>
        <w:t>(Per 1,000 Population)</w:t>
      </w:r>
    </w:p>
    <w:p w14:paraId="30F98C56" w14:textId="77777777" w:rsidR="00E34CD1" w:rsidRPr="005F6E6C" w:rsidRDefault="00E34CD1" w:rsidP="008C6258">
      <w:pPr>
        <w:tabs>
          <w:tab w:val="left" w:pos="9072"/>
        </w:tabs>
        <w:bidi w:val="0"/>
        <w:spacing w:after="0" w:line="240" w:lineRule="auto"/>
        <w:jc w:val="center"/>
        <w:rPr>
          <w:rFonts w:ascii="Arial" w:hAnsi="Arial"/>
          <w:b/>
          <w:bCs/>
          <w:sz w:val="10"/>
          <w:szCs w:val="10"/>
        </w:rPr>
      </w:pP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49"/>
      </w:tblGrid>
      <w:tr w:rsidR="00E34CD1" w:rsidRPr="000D2E4D" w14:paraId="69AB8D55" w14:textId="77777777" w:rsidTr="00506BC0">
        <w:trPr>
          <w:trHeight w:val="3584"/>
        </w:trPr>
        <w:tc>
          <w:tcPr>
            <w:tcW w:w="9149" w:type="dxa"/>
            <w:shd w:val="clear" w:color="auto" w:fill="auto"/>
          </w:tcPr>
          <w:p w14:paraId="7089987B" w14:textId="77777777" w:rsidR="00E34CD1" w:rsidRPr="000D2E4D" w:rsidRDefault="00E34CD1" w:rsidP="00E665C5">
            <w:pPr>
              <w:tabs>
                <w:tab w:val="left" w:pos="9072"/>
              </w:tabs>
              <w:bidi w:val="0"/>
              <w:spacing w:after="0" w:line="240" w:lineRule="auto"/>
              <w:rPr>
                <w:rFonts w:ascii="Arial" w:hAnsi="Arial"/>
                <w:b/>
                <w:bCs/>
                <w:lang w:val="it-IT"/>
              </w:rPr>
            </w:pPr>
            <w:r>
              <w:rPr>
                <w:rFonts w:ascii="Times New Roman" w:hAnsi="Times New Roman" w:cs="Times New Roman"/>
                <w:b/>
                <w:bCs/>
                <w:noProof/>
                <w:sz w:val="24"/>
                <w:szCs w:val="24"/>
              </w:rPr>
              <w:drawing>
                <wp:inline distT="0" distB="0" distL="0" distR="0" wp14:anchorId="0D5028F3" wp14:editId="573FB99C">
                  <wp:extent cx="5514975" cy="2207895"/>
                  <wp:effectExtent l="0" t="0" r="0" b="1905"/>
                  <wp:docPr id="2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7559F062" w14:textId="77777777" w:rsidR="00E34CD1" w:rsidRPr="009F5BAB" w:rsidRDefault="00C005B3" w:rsidP="00E665C5">
      <w:pPr>
        <w:bidi w:val="0"/>
        <w:spacing w:after="0" w:line="240" w:lineRule="auto"/>
        <w:rPr>
          <w:rFonts w:ascii="Arial" w:hAnsi="Arial"/>
          <w:sz w:val="18"/>
          <w:szCs w:val="18"/>
        </w:rPr>
      </w:pPr>
      <w:r w:rsidRPr="009F5BAB">
        <w:rPr>
          <w:rFonts w:ascii="Arial" w:hAnsi="Arial"/>
          <w:b/>
          <w:bCs/>
          <w:sz w:val="18"/>
          <w:szCs w:val="18"/>
        </w:rPr>
        <w:t>Source: Ministry</w:t>
      </w:r>
      <w:r w:rsidR="00E34CD1" w:rsidRPr="009F5BAB">
        <w:rPr>
          <w:rFonts w:ascii="Arial" w:hAnsi="Arial"/>
          <w:b/>
          <w:bCs/>
          <w:sz w:val="18"/>
          <w:szCs w:val="18"/>
        </w:rPr>
        <w:t xml:space="preserve"> of </w:t>
      </w:r>
      <w:r w:rsidRPr="009F5BAB">
        <w:rPr>
          <w:rFonts w:ascii="Arial" w:hAnsi="Arial"/>
          <w:b/>
          <w:bCs/>
          <w:sz w:val="18"/>
          <w:szCs w:val="18"/>
        </w:rPr>
        <w:t>Health</w:t>
      </w:r>
      <w:r w:rsidRPr="009F5BAB">
        <w:rPr>
          <w:rFonts w:ascii="Arial" w:hAnsi="Arial"/>
          <w:sz w:val="18"/>
          <w:szCs w:val="18"/>
        </w:rPr>
        <w:t>. Annual</w:t>
      </w:r>
      <w:r w:rsidR="00E34CD1" w:rsidRPr="009F5BAB">
        <w:rPr>
          <w:rFonts w:ascii="Arial" w:hAnsi="Arial"/>
          <w:sz w:val="18"/>
          <w:szCs w:val="18"/>
        </w:rPr>
        <w:t xml:space="preserve"> reports 2015-</w:t>
      </w:r>
      <w:r w:rsidR="00E34CD1">
        <w:rPr>
          <w:rFonts w:ascii="Arial" w:hAnsi="Arial"/>
          <w:sz w:val="18"/>
          <w:szCs w:val="18"/>
        </w:rPr>
        <w:t>202</w:t>
      </w:r>
      <w:r w:rsidR="00E665C5">
        <w:rPr>
          <w:rFonts w:ascii="Arial" w:hAnsi="Arial"/>
          <w:sz w:val="18"/>
          <w:szCs w:val="18"/>
        </w:rPr>
        <w:t>1</w:t>
      </w:r>
      <w:r w:rsidR="00E34CD1" w:rsidRPr="009F5BAB">
        <w:rPr>
          <w:rFonts w:ascii="Arial" w:hAnsi="Arial"/>
          <w:sz w:val="18"/>
          <w:szCs w:val="18"/>
        </w:rPr>
        <w:t>. Ramallah – Palestine.</w:t>
      </w:r>
    </w:p>
    <w:p w14:paraId="1667DF22" w14:textId="77777777" w:rsidR="00055BF1" w:rsidRDefault="00055BF1" w:rsidP="00055BF1">
      <w:pPr>
        <w:autoSpaceDE w:val="0"/>
        <w:autoSpaceDN w:val="0"/>
        <w:bidi w:val="0"/>
        <w:adjustRightInd w:val="0"/>
        <w:spacing w:after="0" w:line="240" w:lineRule="auto"/>
        <w:jc w:val="both"/>
        <w:rPr>
          <w:rFonts w:ascii="Times New Roman" w:hAnsi="Times New Roman" w:cs="Times New Roman"/>
          <w:b/>
          <w:bCs/>
          <w:i/>
          <w:iCs/>
          <w:sz w:val="24"/>
          <w:szCs w:val="24"/>
        </w:rPr>
      </w:pPr>
    </w:p>
    <w:p w14:paraId="29E7D4D3" w14:textId="77777777" w:rsidR="00E34CD1" w:rsidRDefault="00E34CD1" w:rsidP="00055BF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3.3.4Hepatitis B incidence per 100,000 population</w:t>
      </w:r>
    </w:p>
    <w:p w14:paraId="3DDC6258"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4AB58C94" w14:textId="77777777" w:rsidR="00E34CD1" w:rsidRDefault="00E34CD1" w:rsidP="00055BF1">
      <w:pPr>
        <w:autoSpaceDE w:val="0"/>
        <w:autoSpaceDN w:val="0"/>
        <w:bidi w:val="0"/>
        <w:adjustRightInd w:val="0"/>
        <w:spacing w:after="0" w:line="240" w:lineRule="auto"/>
        <w:jc w:val="both"/>
        <w:rPr>
          <w:rFonts w:ascii="Times New Roman" w:hAnsi="Times New Roman" w:cs="Times New Roman"/>
          <w:sz w:val="24"/>
          <w:szCs w:val="24"/>
        </w:rPr>
      </w:pPr>
      <w:r w:rsidRPr="00745A73">
        <w:rPr>
          <w:rFonts w:ascii="Times New Roman" w:hAnsi="Times New Roman" w:cs="Times New Roman"/>
          <w:sz w:val="24"/>
          <w:szCs w:val="24"/>
        </w:rPr>
        <w:t xml:space="preserve">The incidence of </w:t>
      </w:r>
      <w:r w:rsidR="00794CA0">
        <w:rPr>
          <w:rFonts w:ascii="Times New Roman" w:hAnsi="Times New Roman" w:cs="Times New Roman"/>
          <w:sz w:val="24"/>
          <w:szCs w:val="24"/>
        </w:rPr>
        <w:t>H</w:t>
      </w:r>
      <w:r w:rsidRPr="00745A73">
        <w:rPr>
          <w:rFonts w:ascii="Times New Roman" w:hAnsi="Times New Roman" w:cs="Times New Roman"/>
          <w:sz w:val="24"/>
          <w:szCs w:val="24"/>
        </w:rPr>
        <w:t xml:space="preserve">epatitis B in Palestine is one of the lowest in the world, </w:t>
      </w:r>
      <w:r w:rsidR="00C945DF">
        <w:rPr>
          <w:rFonts w:ascii="Times New Roman" w:hAnsi="Times New Roman" w:cs="Times New Roman"/>
          <w:sz w:val="24"/>
          <w:szCs w:val="24"/>
        </w:rPr>
        <w:t>with</w:t>
      </w:r>
      <w:r w:rsidRPr="00745A73">
        <w:rPr>
          <w:rFonts w:ascii="Times New Roman" w:hAnsi="Times New Roman" w:cs="Times New Roman"/>
          <w:sz w:val="24"/>
          <w:szCs w:val="24"/>
        </w:rPr>
        <w:t xml:space="preserve"> the incidence of new cases decreas</w:t>
      </w:r>
      <w:r w:rsidR="00C945DF">
        <w:rPr>
          <w:rFonts w:ascii="Times New Roman" w:hAnsi="Times New Roman" w:cs="Times New Roman"/>
          <w:sz w:val="24"/>
          <w:szCs w:val="24"/>
        </w:rPr>
        <w:t>ing</w:t>
      </w:r>
      <w:r w:rsidRPr="00745A73">
        <w:rPr>
          <w:rFonts w:ascii="Times New Roman" w:hAnsi="Times New Roman" w:cs="Times New Roman"/>
          <w:sz w:val="24"/>
          <w:szCs w:val="24"/>
        </w:rPr>
        <w:t xml:space="preserve"> in recent years.</w:t>
      </w:r>
    </w:p>
    <w:p w14:paraId="31DEF5F7" w14:textId="77777777" w:rsidR="009A7D13" w:rsidRPr="00745A73" w:rsidRDefault="009A7D13" w:rsidP="009A7D13">
      <w:pPr>
        <w:autoSpaceDE w:val="0"/>
        <w:autoSpaceDN w:val="0"/>
        <w:bidi w:val="0"/>
        <w:adjustRightInd w:val="0"/>
        <w:spacing w:after="0" w:line="240" w:lineRule="auto"/>
        <w:jc w:val="both"/>
        <w:rPr>
          <w:rFonts w:ascii="Times New Roman" w:hAnsi="Times New Roman" w:cs="Times New Roman"/>
          <w:sz w:val="24"/>
          <w:szCs w:val="24"/>
        </w:rPr>
      </w:pPr>
    </w:p>
    <w:p w14:paraId="518EC34B" w14:textId="77777777" w:rsidR="00C945DF" w:rsidRPr="00E6392C" w:rsidRDefault="00E34CD1" w:rsidP="006D0C5D">
      <w:pPr>
        <w:autoSpaceDE w:val="0"/>
        <w:autoSpaceDN w:val="0"/>
        <w:bidi w:val="0"/>
        <w:adjustRightInd w:val="0"/>
        <w:spacing w:after="0" w:line="240" w:lineRule="auto"/>
        <w:jc w:val="both"/>
        <w:rPr>
          <w:rFonts w:ascii="Times New Roman" w:hAnsi="Times New Roman" w:cs="Times New Roman"/>
          <w:sz w:val="24"/>
          <w:szCs w:val="24"/>
          <w:rtl/>
        </w:rPr>
      </w:pPr>
      <w:r w:rsidRPr="00745A73">
        <w:rPr>
          <w:rFonts w:ascii="Times New Roman" w:hAnsi="Times New Roman" w:cs="Times New Roman"/>
          <w:sz w:val="24"/>
          <w:szCs w:val="24"/>
        </w:rPr>
        <w:t xml:space="preserve">In </w:t>
      </w:r>
      <w:r>
        <w:rPr>
          <w:rFonts w:ascii="Times New Roman" w:hAnsi="Times New Roman" w:cs="Times New Roman"/>
          <w:sz w:val="24"/>
          <w:szCs w:val="24"/>
        </w:rPr>
        <w:t>20</w:t>
      </w:r>
      <w:r w:rsidR="00BF11D2">
        <w:rPr>
          <w:rFonts w:ascii="Times New Roman" w:hAnsi="Times New Roman" w:cs="Times New Roman" w:hint="cs"/>
          <w:sz w:val="24"/>
          <w:szCs w:val="24"/>
          <w:rtl/>
        </w:rPr>
        <w:t>21</w:t>
      </w:r>
      <w:r w:rsidRPr="00745A73">
        <w:rPr>
          <w:rFonts w:ascii="Times New Roman" w:hAnsi="Times New Roman" w:cs="Times New Roman"/>
          <w:sz w:val="24"/>
          <w:szCs w:val="24"/>
        </w:rPr>
        <w:t xml:space="preserve">, </w:t>
      </w:r>
      <w:r w:rsidR="003D5E45" w:rsidRPr="00550315">
        <w:rPr>
          <w:rFonts w:ascii="Times New Roman" w:hAnsi="Times New Roman" w:cs="Times New Roman"/>
          <w:sz w:val="24"/>
          <w:szCs w:val="24"/>
        </w:rPr>
        <w:t>13</w:t>
      </w:r>
      <w:r w:rsidR="00C945DF">
        <w:rPr>
          <w:rFonts w:ascii="Times New Roman" w:hAnsi="Times New Roman" w:cs="Times New Roman"/>
          <w:sz w:val="24"/>
          <w:szCs w:val="24"/>
        </w:rPr>
        <w:t>H</w:t>
      </w:r>
      <w:r w:rsidRPr="00550315">
        <w:rPr>
          <w:rFonts w:ascii="Times New Roman" w:hAnsi="Times New Roman" w:cs="Times New Roman"/>
          <w:sz w:val="24"/>
          <w:szCs w:val="24"/>
        </w:rPr>
        <w:t xml:space="preserve">epatitis B </w:t>
      </w:r>
      <w:r w:rsidR="00794CA0">
        <w:rPr>
          <w:rFonts w:ascii="Times New Roman" w:hAnsi="Times New Roman" w:cs="Times New Roman"/>
          <w:sz w:val="24"/>
          <w:szCs w:val="24"/>
        </w:rPr>
        <w:t xml:space="preserve">cases </w:t>
      </w:r>
      <w:r w:rsidRPr="00550315">
        <w:rPr>
          <w:rFonts w:ascii="Times New Roman" w:hAnsi="Times New Roman" w:cs="Times New Roman"/>
          <w:sz w:val="24"/>
          <w:szCs w:val="24"/>
        </w:rPr>
        <w:t>were recorded, with an incidence rate of 0.</w:t>
      </w:r>
      <w:r w:rsidR="00BF11D2" w:rsidRPr="00550315">
        <w:rPr>
          <w:rFonts w:ascii="Times New Roman" w:hAnsi="Times New Roman" w:cs="Times New Roman"/>
          <w:sz w:val="24"/>
          <w:szCs w:val="24"/>
        </w:rPr>
        <w:t>26</w:t>
      </w:r>
      <w:r w:rsidRPr="00550315">
        <w:rPr>
          <w:rFonts w:ascii="Times New Roman" w:hAnsi="Times New Roman" w:cs="Times New Roman"/>
          <w:sz w:val="24"/>
          <w:szCs w:val="24"/>
        </w:rPr>
        <w:t xml:space="preserve"> per 100,000 population, of which </w:t>
      </w:r>
      <w:r w:rsidR="003D5E45" w:rsidRPr="00550315">
        <w:rPr>
          <w:rFonts w:ascii="Times New Roman" w:hAnsi="Times New Roman" w:cs="Times New Roman"/>
          <w:sz w:val="24"/>
          <w:szCs w:val="24"/>
        </w:rPr>
        <w:t>13</w:t>
      </w:r>
      <w:r w:rsidR="00C945DF">
        <w:rPr>
          <w:rFonts w:ascii="Times New Roman" w:hAnsi="Times New Roman" w:cs="Times New Roman"/>
          <w:sz w:val="24"/>
          <w:szCs w:val="24"/>
        </w:rPr>
        <w:t xml:space="preserve">cases </w:t>
      </w:r>
      <w:r w:rsidRPr="00550315">
        <w:rPr>
          <w:rFonts w:ascii="Times New Roman" w:hAnsi="Times New Roman" w:cs="Times New Roman"/>
          <w:sz w:val="24"/>
          <w:szCs w:val="24"/>
        </w:rPr>
        <w:t>were in the West Bank, with an incidence rate of0.</w:t>
      </w:r>
      <w:r w:rsidR="00BF11D2" w:rsidRPr="00550315">
        <w:rPr>
          <w:rFonts w:ascii="Times New Roman" w:hAnsi="Times New Roman" w:cs="Times New Roman"/>
          <w:sz w:val="24"/>
          <w:szCs w:val="24"/>
        </w:rPr>
        <w:t>46</w:t>
      </w:r>
      <w:r w:rsidRPr="00550315">
        <w:rPr>
          <w:rFonts w:ascii="Times New Roman" w:hAnsi="Times New Roman" w:cs="Times New Roman"/>
          <w:sz w:val="24"/>
          <w:szCs w:val="24"/>
        </w:rPr>
        <w:t xml:space="preserve"> per 100,000 population</w:t>
      </w:r>
      <w:r w:rsidR="00C945DF">
        <w:rPr>
          <w:rFonts w:ascii="Times New Roman" w:hAnsi="Times New Roman" w:cs="Times New Roman"/>
          <w:sz w:val="24"/>
          <w:szCs w:val="24"/>
        </w:rPr>
        <w:t>. N</w:t>
      </w:r>
      <w:r w:rsidR="003D5E45" w:rsidRPr="00550315">
        <w:rPr>
          <w:rFonts w:ascii="Times New Roman" w:hAnsi="Times New Roman" w:cs="Times New Roman"/>
          <w:sz w:val="24"/>
          <w:szCs w:val="24"/>
        </w:rPr>
        <w:t>o</w:t>
      </w:r>
      <w:r w:rsidRPr="00550315">
        <w:rPr>
          <w:rFonts w:ascii="Times New Roman" w:hAnsi="Times New Roman" w:cs="Times New Roman"/>
          <w:sz w:val="24"/>
          <w:szCs w:val="24"/>
        </w:rPr>
        <w:t xml:space="preserve"> cases </w:t>
      </w:r>
      <w:r w:rsidR="00C945DF">
        <w:rPr>
          <w:rFonts w:ascii="Times New Roman" w:hAnsi="Times New Roman" w:cs="Times New Roman"/>
          <w:sz w:val="24"/>
          <w:szCs w:val="24"/>
        </w:rPr>
        <w:t>were recorded</w:t>
      </w:r>
      <w:r w:rsidRPr="00550315">
        <w:rPr>
          <w:rFonts w:ascii="Times New Roman" w:hAnsi="Times New Roman" w:cs="Times New Roman"/>
          <w:sz w:val="24"/>
          <w:szCs w:val="24"/>
        </w:rPr>
        <w:t xml:space="preserve">in </w:t>
      </w:r>
      <w:r w:rsidR="00C945DF">
        <w:rPr>
          <w:rFonts w:ascii="Times New Roman" w:hAnsi="Times New Roman" w:cs="Times New Roman"/>
          <w:sz w:val="24"/>
          <w:szCs w:val="24"/>
        </w:rPr>
        <w:t xml:space="preserve">the </w:t>
      </w:r>
      <w:r w:rsidRPr="00550315">
        <w:rPr>
          <w:rFonts w:ascii="Times New Roman" w:hAnsi="Times New Roman" w:cs="Times New Roman"/>
          <w:sz w:val="24"/>
          <w:szCs w:val="24"/>
        </w:rPr>
        <w:t>Gaza Strip, with an incidence rate of 0.</w:t>
      </w:r>
      <w:r w:rsidR="00BF11D2" w:rsidRPr="00550315">
        <w:rPr>
          <w:rFonts w:ascii="Times New Roman" w:hAnsi="Times New Roman" w:cs="Times New Roman"/>
          <w:sz w:val="24"/>
          <w:szCs w:val="24"/>
        </w:rPr>
        <w:t>00</w:t>
      </w:r>
      <w:r w:rsidRPr="00550315">
        <w:rPr>
          <w:rFonts w:ascii="Times New Roman" w:hAnsi="Times New Roman" w:cs="Times New Roman"/>
          <w:sz w:val="24"/>
          <w:szCs w:val="24"/>
        </w:rPr>
        <w:t xml:space="preserve"> per 100,000 population. The number of </w:t>
      </w:r>
      <w:r w:rsidR="00C945DF">
        <w:rPr>
          <w:rFonts w:ascii="Times New Roman" w:hAnsi="Times New Roman" w:cs="Times New Roman"/>
          <w:sz w:val="24"/>
          <w:szCs w:val="24"/>
        </w:rPr>
        <w:t xml:space="preserve">reported </w:t>
      </w:r>
      <w:r w:rsidRPr="00550315">
        <w:rPr>
          <w:rFonts w:ascii="Times New Roman" w:hAnsi="Times New Roman" w:cs="Times New Roman"/>
          <w:sz w:val="24"/>
          <w:szCs w:val="24"/>
        </w:rPr>
        <w:t xml:space="preserve">carriers </w:t>
      </w:r>
      <w:r w:rsidR="00C945DF">
        <w:rPr>
          <w:rFonts w:ascii="Times New Roman" w:hAnsi="Times New Roman" w:cs="Times New Roman"/>
          <w:sz w:val="24"/>
          <w:szCs w:val="24"/>
        </w:rPr>
        <w:t>of the</w:t>
      </w:r>
      <w:r w:rsidRPr="00550315">
        <w:rPr>
          <w:rFonts w:ascii="Times New Roman" w:hAnsi="Times New Roman" w:cs="Times New Roman"/>
          <w:sz w:val="24"/>
          <w:szCs w:val="24"/>
        </w:rPr>
        <w:t xml:space="preserve"> Hepatitis B virus in Palestine reached </w:t>
      </w:r>
      <w:r w:rsidR="003D5E45" w:rsidRPr="00550315">
        <w:rPr>
          <w:rFonts w:ascii="Times New Roman" w:hAnsi="Times New Roman" w:cs="Times New Roman"/>
          <w:sz w:val="24"/>
          <w:szCs w:val="24"/>
        </w:rPr>
        <w:t>284</w:t>
      </w:r>
      <w:r w:rsidRPr="00550315">
        <w:rPr>
          <w:rFonts w:ascii="Times New Roman" w:hAnsi="Times New Roman" w:cs="Times New Roman"/>
          <w:sz w:val="24"/>
          <w:szCs w:val="24"/>
        </w:rPr>
        <w:t xml:space="preserve"> cases with an incidence rate of </w:t>
      </w:r>
      <w:r w:rsidR="003D5E45" w:rsidRPr="00550315">
        <w:rPr>
          <w:rFonts w:ascii="Times New Roman" w:hAnsi="Times New Roman" w:cs="Times New Roman"/>
          <w:sz w:val="24"/>
          <w:szCs w:val="24"/>
        </w:rPr>
        <w:t>5.8</w:t>
      </w:r>
      <w:r w:rsidRPr="00550315">
        <w:rPr>
          <w:rFonts w:ascii="Times New Roman" w:hAnsi="Times New Roman" w:cs="Times New Roman"/>
          <w:sz w:val="24"/>
          <w:szCs w:val="24"/>
        </w:rPr>
        <w:t xml:space="preserve"> per 100,000 population.</w:t>
      </w:r>
    </w:p>
    <w:p w14:paraId="6CE707C8" w14:textId="77777777" w:rsidR="004970D6" w:rsidRDefault="00E34CD1" w:rsidP="00BF11D2">
      <w:pPr>
        <w:tabs>
          <w:tab w:val="left" w:pos="9072"/>
        </w:tabs>
        <w:bidi w:val="0"/>
        <w:spacing w:after="0" w:line="240" w:lineRule="auto"/>
        <w:jc w:val="center"/>
        <w:rPr>
          <w:rFonts w:ascii="Arial" w:hAnsi="Arial"/>
          <w:b/>
          <w:bCs/>
        </w:rPr>
      </w:pPr>
      <w:r w:rsidRPr="009F5BAB">
        <w:rPr>
          <w:rFonts w:ascii="Arial" w:hAnsi="Arial"/>
          <w:b/>
          <w:bCs/>
        </w:rPr>
        <w:lastRenderedPageBreak/>
        <w:t>Hepatitis B Incidence,2015-</w:t>
      </w:r>
      <w:r>
        <w:rPr>
          <w:rFonts w:ascii="Arial" w:hAnsi="Arial"/>
          <w:b/>
          <w:bCs/>
        </w:rPr>
        <w:t>202</w:t>
      </w:r>
      <w:r w:rsidR="00BF11D2">
        <w:rPr>
          <w:rFonts w:ascii="Arial" w:hAnsi="Arial"/>
          <w:b/>
          <w:bCs/>
        </w:rPr>
        <w:t>1</w:t>
      </w:r>
      <w:r w:rsidRPr="009F5BAB">
        <w:rPr>
          <w:rFonts w:ascii="Arial" w:hAnsi="Arial"/>
          <w:b/>
          <w:bCs/>
        </w:rPr>
        <w:t xml:space="preserve"> (Per 100,000 Population)</w:t>
      </w:r>
    </w:p>
    <w:p w14:paraId="7622874D" w14:textId="77777777" w:rsidR="00472C74" w:rsidRPr="002C4285" w:rsidRDefault="00472C74" w:rsidP="008C6258">
      <w:pPr>
        <w:tabs>
          <w:tab w:val="left" w:pos="9072"/>
        </w:tabs>
        <w:bidi w:val="0"/>
        <w:spacing w:after="0" w:line="240" w:lineRule="auto"/>
        <w:rPr>
          <w:rFonts w:ascii="Arial" w:hAnsi="Arial"/>
          <w:b/>
          <w:bCs/>
          <w:sz w:val="10"/>
          <w:szCs w:val="10"/>
        </w:rPr>
      </w:pP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49"/>
      </w:tblGrid>
      <w:tr w:rsidR="00E34CD1" w:rsidRPr="000D2E4D" w14:paraId="10156787" w14:textId="77777777" w:rsidTr="00506BC0">
        <w:trPr>
          <w:trHeight w:val="3644"/>
        </w:trPr>
        <w:tc>
          <w:tcPr>
            <w:tcW w:w="9149" w:type="dxa"/>
            <w:shd w:val="clear" w:color="auto" w:fill="auto"/>
          </w:tcPr>
          <w:p w14:paraId="25AD9AB9" w14:textId="77777777" w:rsidR="00E34CD1" w:rsidRPr="000D2E4D" w:rsidRDefault="00E34CD1" w:rsidP="008C6258">
            <w:pPr>
              <w:tabs>
                <w:tab w:val="left" w:pos="9072"/>
              </w:tabs>
              <w:bidi w:val="0"/>
              <w:spacing w:after="0" w:line="240" w:lineRule="auto"/>
              <w:jc w:val="center"/>
              <w:rPr>
                <w:rFonts w:ascii="Arial" w:hAnsi="Arial"/>
                <w:b/>
                <w:bCs/>
                <w:lang w:val="it-IT"/>
              </w:rPr>
            </w:pPr>
            <w:r>
              <w:rPr>
                <w:b/>
                <w:bCs/>
                <w:noProof/>
              </w:rPr>
              <w:drawing>
                <wp:inline distT="0" distB="0" distL="0" distR="0" wp14:anchorId="42C06C84" wp14:editId="6B0FCB6F">
                  <wp:extent cx="5524500" cy="2171700"/>
                  <wp:effectExtent l="0" t="0" r="0" b="0"/>
                  <wp:docPr id="21" name="Char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203161FD" w14:textId="77777777" w:rsidR="00E34CD1" w:rsidRPr="00802088" w:rsidRDefault="00055858" w:rsidP="00BF11D2">
      <w:pPr>
        <w:bidi w:val="0"/>
        <w:spacing w:after="0" w:line="240" w:lineRule="auto"/>
        <w:rPr>
          <w:rFonts w:asciiTheme="minorBidi" w:hAnsiTheme="minorBidi" w:cstheme="minorBidi"/>
          <w:sz w:val="18"/>
          <w:szCs w:val="18"/>
        </w:rPr>
      </w:pPr>
      <w:r w:rsidRPr="00802088">
        <w:rPr>
          <w:rFonts w:asciiTheme="minorBidi" w:hAnsiTheme="minorBidi" w:cstheme="minorBidi"/>
          <w:b/>
          <w:bCs/>
          <w:sz w:val="18"/>
          <w:szCs w:val="18"/>
        </w:rPr>
        <w:t>Source: Ministry</w:t>
      </w:r>
      <w:r w:rsidR="00E34CD1" w:rsidRPr="00802088">
        <w:rPr>
          <w:rFonts w:asciiTheme="minorBidi" w:hAnsiTheme="minorBidi" w:cstheme="minorBidi"/>
          <w:b/>
          <w:bCs/>
          <w:sz w:val="18"/>
          <w:szCs w:val="18"/>
        </w:rPr>
        <w:t xml:space="preserve"> of </w:t>
      </w:r>
      <w:r w:rsidRPr="00802088">
        <w:rPr>
          <w:rFonts w:asciiTheme="minorBidi" w:hAnsiTheme="minorBidi" w:cstheme="minorBidi"/>
          <w:b/>
          <w:bCs/>
          <w:sz w:val="18"/>
          <w:szCs w:val="18"/>
        </w:rPr>
        <w:t>Health</w:t>
      </w:r>
      <w:r w:rsidRPr="00802088">
        <w:rPr>
          <w:rFonts w:asciiTheme="minorBidi" w:hAnsiTheme="minorBidi" w:cstheme="minorBidi"/>
          <w:sz w:val="18"/>
          <w:szCs w:val="18"/>
        </w:rPr>
        <w:t>. Annual</w:t>
      </w:r>
      <w:r w:rsidR="00E34CD1" w:rsidRPr="00802088">
        <w:rPr>
          <w:rFonts w:asciiTheme="minorBidi" w:hAnsiTheme="minorBidi" w:cstheme="minorBidi"/>
          <w:sz w:val="18"/>
          <w:szCs w:val="18"/>
        </w:rPr>
        <w:t xml:space="preserve"> reports 2015-202</w:t>
      </w:r>
      <w:r w:rsidR="00BF11D2" w:rsidRPr="00802088">
        <w:rPr>
          <w:rFonts w:asciiTheme="minorBidi" w:hAnsiTheme="minorBidi" w:cstheme="minorBidi"/>
          <w:sz w:val="18"/>
          <w:szCs w:val="18"/>
        </w:rPr>
        <w:t>1</w:t>
      </w:r>
      <w:r w:rsidR="00E34CD1" w:rsidRPr="00802088">
        <w:rPr>
          <w:rFonts w:asciiTheme="minorBidi" w:hAnsiTheme="minorBidi" w:cstheme="minorBidi"/>
          <w:sz w:val="18"/>
          <w:szCs w:val="18"/>
        </w:rPr>
        <w:t>. Ramallah – Palestine.</w:t>
      </w:r>
    </w:p>
    <w:p w14:paraId="2188E660" w14:textId="77777777" w:rsidR="00550315" w:rsidRDefault="00550315"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1BFAC4F2" w14:textId="77777777" w:rsidR="00E34CD1" w:rsidRDefault="00E34CD1" w:rsidP="00550315">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3.4.1 Mortality rate attributed to cardiovascular disease, cancer, diabetes or chronic respiratory disease</w:t>
      </w:r>
      <w:r w:rsidR="00055BF1">
        <w:rPr>
          <w:rFonts w:ascii="Times New Roman" w:hAnsi="Times New Roman" w:cs="Times New Roman"/>
          <w:b/>
          <w:bCs/>
          <w:i/>
          <w:iCs/>
          <w:sz w:val="24"/>
          <w:szCs w:val="24"/>
        </w:rPr>
        <w:t xml:space="preserve">, </w:t>
      </w:r>
      <w:r w:rsidR="00055BF1" w:rsidRPr="00055BF1">
        <w:rPr>
          <w:rFonts w:ascii="Times New Roman" w:hAnsi="Times New Roman" w:cs="Times New Roman"/>
          <w:b/>
          <w:bCs/>
          <w:i/>
          <w:iCs/>
          <w:sz w:val="24"/>
          <w:szCs w:val="24"/>
        </w:rPr>
        <w:t xml:space="preserve">and </w:t>
      </w:r>
      <w:r w:rsidR="002F5DAD">
        <w:rPr>
          <w:rFonts w:ascii="Times New Roman" w:hAnsi="Times New Roman" w:cs="Times New Roman"/>
          <w:b/>
          <w:bCs/>
          <w:i/>
          <w:iCs/>
          <w:sz w:val="24"/>
          <w:szCs w:val="24"/>
        </w:rPr>
        <w:t>n</w:t>
      </w:r>
      <w:r w:rsidR="00055BF1" w:rsidRPr="00055BF1">
        <w:rPr>
          <w:rFonts w:ascii="Times New Roman" w:hAnsi="Times New Roman" w:cs="Times New Roman"/>
          <w:b/>
          <w:bCs/>
          <w:i/>
          <w:iCs/>
          <w:sz w:val="24"/>
          <w:szCs w:val="24"/>
        </w:rPr>
        <w:t>umber of deaths attributed to non-communicable diseases</w:t>
      </w:r>
    </w:p>
    <w:p w14:paraId="7E624A1B"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BC1F7FB" w14:textId="77777777" w:rsidR="00E34CD1" w:rsidRDefault="00E34CD1" w:rsidP="00055BF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Non- communicable diseases are the greatest public health concern worldwide, contribute to a large burden of disease in the developed world and are increasing rapidly in prevalence partic</w:t>
      </w:r>
      <w:r>
        <w:rPr>
          <w:rFonts w:ascii="Times New Roman" w:hAnsi="Times New Roman" w:cs="Times New Roman"/>
          <w:sz w:val="24"/>
          <w:szCs w:val="24"/>
        </w:rPr>
        <w:t>ularly in developing countries</w:t>
      </w:r>
      <w:r w:rsidRPr="00C22521">
        <w:rPr>
          <w:rFonts w:ascii="Times New Roman" w:hAnsi="Times New Roman" w:cs="Times New Roman"/>
          <w:sz w:val="24"/>
          <w:szCs w:val="24"/>
        </w:rPr>
        <w:t>.</w:t>
      </w:r>
    </w:p>
    <w:p w14:paraId="7B53098F" w14:textId="77777777" w:rsidR="009A7D13" w:rsidRPr="00C22521" w:rsidRDefault="009A7D13" w:rsidP="009A7D13">
      <w:pPr>
        <w:autoSpaceDE w:val="0"/>
        <w:autoSpaceDN w:val="0"/>
        <w:bidi w:val="0"/>
        <w:adjustRightInd w:val="0"/>
        <w:spacing w:after="0" w:line="240" w:lineRule="auto"/>
        <w:jc w:val="both"/>
        <w:rPr>
          <w:rFonts w:ascii="Times New Roman" w:hAnsi="Times New Roman" w:cs="Times New Roman"/>
          <w:sz w:val="24"/>
          <w:szCs w:val="24"/>
        </w:rPr>
      </w:pPr>
    </w:p>
    <w:p w14:paraId="3BA2A7B0" w14:textId="77777777" w:rsidR="00055BF1" w:rsidRPr="003A32B8" w:rsidRDefault="00E34CD1" w:rsidP="003A32B8">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 xml:space="preserve">In Palestine, the probability of dying from any of the four main non-communicable diseases – cardiovascular diseases, cancers, chronic respiratory diseases and diabetes </w:t>
      </w:r>
      <w:r w:rsidR="002F5DAD">
        <w:rPr>
          <w:rFonts w:ascii="Times New Roman" w:hAnsi="Times New Roman" w:cs="Times New Roman"/>
          <w:sz w:val="24"/>
          <w:szCs w:val="24"/>
        </w:rPr>
        <w:t>reached</w:t>
      </w:r>
      <w:r w:rsidR="001A3F73">
        <w:rPr>
          <w:rFonts w:ascii="Times New Roman" w:hAnsi="Times New Roman" w:cs="Times New Roman"/>
          <w:sz w:val="24"/>
          <w:szCs w:val="24"/>
        </w:rPr>
        <w:t>19.6</w:t>
      </w:r>
      <w:r w:rsidRPr="00745A73">
        <w:rPr>
          <w:rFonts w:ascii="Times New Roman" w:hAnsi="Times New Roman" w:cs="Times New Roman"/>
          <w:sz w:val="24"/>
          <w:szCs w:val="24"/>
        </w:rPr>
        <w:t xml:space="preserve"> per 10,000 population</w:t>
      </w:r>
      <w:r w:rsidRPr="00C22521">
        <w:rPr>
          <w:rFonts w:ascii="Times New Roman" w:hAnsi="Times New Roman" w:cs="Times New Roman"/>
          <w:sz w:val="24"/>
          <w:szCs w:val="24"/>
        </w:rPr>
        <w:t xml:space="preserve"> in </w:t>
      </w:r>
      <w:r w:rsidR="00055858">
        <w:rPr>
          <w:rFonts w:ascii="Times New Roman" w:hAnsi="Times New Roman" w:cs="Times New Roman"/>
          <w:sz w:val="24"/>
          <w:szCs w:val="24"/>
        </w:rPr>
        <w:t>201</w:t>
      </w:r>
      <w:r w:rsidR="001A3F73">
        <w:rPr>
          <w:rFonts w:ascii="Times New Roman" w:hAnsi="Times New Roman" w:cs="Times New Roman"/>
          <w:sz w:val="24"/>
          <w:szCs w:val="24"/>
        </w:rPr>
        <w:t>9</w:t>
      </w:r>
      <w:r w:rsidR="00055858">
        <w:rPr>
          <w:rFonts w:ascii="Times New Roman" w:hAnsi="Times New Roman" w:cs="Times New Roman"/>
          <w:sz w:val="24"/>
          <w:szCs w:val="24"/>
        </w:rPr>
        <w:t>.</w:t>
      </w:r>
    </w:p>
    <w:p w14:paraId="6A07E4C6" w14:textId="77777777" w:rsidR="00E34CD1" w:rsidRPr="007E5FE2" w:rsidRDefault="00E34CD1" w:rsidP="00055BF1">
      <w:pPr>
        <w:tabs>
          <w:tab w:val="left" w:pos="1524"/>
        </w:tabs>
        <w:bidi w:val="0"/>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b/>
      </w:r>
    </w:p>
    <w:p w14:paraId="4BE077F7" w14:textId="77777777" w:rsidR="00E34CD1" w:rsidRDefault="00E34CD1" w:rsidP="001A3F73">
      <w:pPr>
        <w:tabs>
          <w:tab w:val="left" w:pos="9072"/>
        </w:tabs>
        <w:bidi w:val="0"/>
        <w:spacing w:after="0" w:line="240" w:lineRule="auto"/>
        <w:jc w:val="center"/>
        <w:rPr>
          <w:rFonts w:ascii="Arial" w:hAnsi="Arial"/>
          <w:b/>
          <w:bCs/>
        </w:rPr>
      </w:pPr>
      <w:r w:rsidRPr="009F5BAB">
        <w:rPr>
          <w:rFonts w:ascii="Arial" w:hAnsi="Arial"/>
          <w:b/>
          <w:bCs/>
        </w:rPr>
        <w:t>Mortality Rate Attributed to Cardiovascular Disease, Cancer, Diabetes or Chronic Respiratory Disease</w:t>
      </w:r>
      <w:r w:rsidRPr="00D33A9F">
        <w:rPr>
          <w:rFonts w:ascii="Arial" w:hAnsi="Arial"/>
          <w:b/>
          <w:bCs/>
        </w:rPr>
        <w:t>, 2015-201</w:t>
      </w:r>
      <w:r w:rsidR="001A3F73" w:rsidRPr="00D33A9F">
        <w:rPr>
          <w:rFonts w:ascii="Arial" w:hAnsi="Arial"/>
          <w:b/>
          <w:bCs/>
        </w:rPr>
        <w:t>9</w:t>
      </w:r>
      <w:r w:rsidRPr="00D33A9F">
        <w:rPr>
          <w:rFonts w:ascii="Arial" w:hAnsi="Arial"/>
          <w:b/>
          <w:bCs/>
        </w:rPr>
        <w:t xml:space="preserve"> (</w:t>
      </w:r>
      <w:r w:rsidRPr="009F5BAB">
        <w:rPr>
          <w:rFonts w:ascii="Arial" w:hAnsi="Arial"/>
          <w:b/>
          <w:bCs/>
        </w:rPr>
        <w:t>Per 10,000 Population)</w:t>
      </w:r>
    </w:p>
    <w:p w14:paraId="7D67181E" w14:textId="77777777" w:rsidR="00E34CD1" w:rsidRPr="002C4285" w:rsidRDefault="00E34CD1" w:rsidP="008C6258">
      <w:pPr>
        <w:tabs>
          <w:tab w:val="left" w:pos="9072"/>
        </w:tabs>
        <w:bidi w:val="0"/>
        <w:spacing w:after="0" w:line="240" w:lineRule="auto"/>
        <w:jc w:val="center"/>
        <w:rPr>
          <w:rFonts w:ascii="Arial" w:hAnsi="Arial"/>
          <w:b/>
          <w:bCs/>
          <w:sz w:val="10"/>
          <w:szCs w:val="10"/>
        </w:rPr>
      </w:pP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3"/>
      </w:tblGrid>
      <w:tr w:rsidR="00E34CD1" w:rsidRPr="000D2E4D" w14:paraId="0232262B" w14:textId="77777777" w:rsidTr="00506BC0">
        <w:trPr>
          <w:trHeight w:val="3869"/>
        </w:trPr>
        <w:tc>
          <w:tcPr>
            <w:tcW w:w="9133" w:type="dxa"/>
            <w:shd w:val="clear" w:color="auto" w:fill="auto"/>
          </w:tcPr>
          <w:p w14:paraId="77152B7C" w14:textId="77777777" w:rsidR="00E34CD1" w:rsidRPr="000D2E4D" w:rsidRDefault="00E34CD1" w:rsidP="008C6258">
            <w:pPr>
              <w:tabs>
                <w:tab w:val="left" w:pos="9072"/>
              </w:tabs>
              <w:bidi w:val="0"/>
              <w:spacing w:after="0" w:line="240" w:lineRule="auto"/>
              <w:jc w:val="center"/>
              <w:rPr>
                <w:rFonts w:ascii="Arial" w:hAnsi="Arial"/>
                <w:b/>
                <w:bCs/>
                <w:lang w:val="it-IT"/>
              </w:rPr>
            </w:pPr>
            <w:r>
              <w:rPr>
                <w:rFonts w:ascii="Times New Roman" w:hAnsi="Times New Roman" w:cs="Times New Roman"/>
                <w:noProof/>
                <w:color w:val="4A4A4A"/>
                <w:sz w:val="24"/>
                <w:szCs w:val="24"/>
              </w:rPr>
              <w:drawing>
                <wp:inline distT="0" distB="0" distL="0" distR="0" wp14:anchorId="57FC461A" wp14:editId="041A3921">
                  <wp:extent cx="5381625" cy="2314575"/>
                  <wp:effectExtent l="0" t="0" r="0" b="0"/>
                  <wp:docPr id="2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58EEE54F" w14:textId="77777777" w:rsidR="00E34CD1" w:rsidRPr="00F2570A" w:rsidRDefault="00055858" w:rsidP="001A3F73">
      <w:pPr>
        <w:bidi w:val="0"/>
        <w:spacing w:after="0" w:line="240" w:lineRule="auto"/>
        <w:rPr>
          <w:rFonts w:ascii="Arial" w:hAnsi="Arial"/>
          <w:sz w:val="18"/>
          <w:szCs w:val="18"/>
        </w:rPr>
      </w:pPr>
      <w:r w:rsidRPr="00CD1CE8">
        <w:rPr>
          <w:rFonts w:ascii="Arial" w:hAnsi="Arial"/>
          <w:b/>
          <w:bCs/>
          <w:sz w:val="18"/>
          <w:szCs w:val="18"/>
        </w:rPr>
        <w:t>Source: Ministry</w:t>
      </w:r>
      <w:r w:rsidR="00E34CD1" w:rsidRPr="00CD1CE8">
        <w:rPr>
          <w:rFonts w:ascii="Arial" w:hAnsi="Arial"/>
          <w:b/>
          <w:bCs/>
          <w:sz w:val="18"/>
          <w:szCs w:val="18"/>
        </w:rPr>
        <w:t xml:space="preserve"> of </w:t>
      </w:r>
      <w:r w:rsidRPr="00CD1CE8">
        <w:rPr>
          <w:rFonts w:ascii="Arial" w:hAnsi="Arial"/>
          <w:b/>
          <w:bCs/>
          <w:sz w:val="18"/>
          <w:szCs w:val="18"/>
        </w:rPr>
        <w:t>Health</w:t>
      </w:r>
      <w:r w:rsidRPr="00CD1CE8">
        <w:rPr>
          <w:rFonts w:ascii="Arial" w:hAnsi="Arial"/>
          <w:sz w:val="18"/>
          <w:szCs w:val="18"/>
        </w:rPr>
        <w:t>. Annual</w:t>
      </w:r>
      <w:r w:rsidR="00E34CD1" w:rsidRPr="00CD1CE8">
        <w:rPr>
          <w:rFonts w:ascii="Arial" w:hAnsi="Arial"/>
          <w:sz w:val="18"/>
          <w:szCs w:val="18"/>
        </w:rPr>
        <w:t xml:space="preserve"> reports 2015-201</w:t>
      </w:r>
      <w:r w:rsidR="001A3F73">
        <w:rPr>
          <w:rFonts w:ascii="Arial" w:hAnsi="Arial"/>
          <w:sz w:val="18"/>
          <w:szCs w:val="18"/>
        </w:rPr>
        <w:t>9</w:t>
      </w:r>
      <w:r w:rsidR="00E34CD1" w:rsidRPr="00CD1CE8">
        <w:rPr>
          <w:rFonts w:ascii="Arial" w:hAnsi="Arial"/>
          <w:sz w:val="18"/>
          <w:szCs w:val="18"/>
        </w:rPr>
        <w:t>. Ramallah – Palestine.</w:t>
      </w:r>
    </w:p>
    <w:p w14:paraId="5FDFEF8D" w14:textId="77777777" w:rsidR="00E34CD1" w:rsidRDefault="00E34CD1" w:rsidP="008C6258">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2CF5DBA0" w14:textId="77777777" w:rsidR="0086098A" w:rsidRDefault="0086098A" w:rsidP="008C6258">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6EF75613" w14:textId="77777777" w:rsidR="006D0C5D" w:rsidRDefault="006D0C5D" w:rsidP="006D0C5D">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21AE05A6" w14:textId="77777777" w:rsidR="006D0C5D" w:rsidRDefault="006D0C5D" w:rsidP="006D0C5D">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2C1B76C4" w14:textId="77777777" w:rsidR="006D0C5D" w:rsidRDefault="006D0C5D" w:rsidP="006D0C5D">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34A7FF4A" w14:textId="77777777" w:rsidR="00550315" w:rsidRDefault="00550315" w:rsidP="00550315">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2BF99BAA" w14:textId="77777777" w:rsidR="00E34CD1" w:rsidRDefault="00E34CD1" w:rsidP="00550315">
      <w:pPr>
        <w:autoSpaceDE w:val="0"/>
        <w:autoSpaceDN w:val="0"/>
        <w:bidi w:val="0"/>
        <w:adjustRightInd w:val="0"/>
        <w:spacing w:after="0" w:line="240" w:lineRule="auto"/>
        <w:jc w:val="both"/>
        <w:rPr>
          <w:rFonts w:ascii="Times New Roman" w:hAnsi="Times New Roman" w:cs="Times New Roman"/>
          <w:b/>
          <w:bCs/>
          <w:i/>
          <w:iCs/>
          <w:color w:val="000000"/>
          <w:sz w:val="24"/>
          <w:szCs w:val="24"/>
        </w:rPr>
      </w:pPr>
      <w:r w:rsidRPr="000D2E4D">
        <w:rPr>
          <w:rFonts w:ascii="Times New Roman" w:hAnsi="Times New Roman" w:cs="Times New Roman"/>
          <w:b/>
          <w:bCs/>
          <w:i/>
          <w:iCs/>
          <w:color w:val="000000"/>
          <w:sz w:val="24"/>
          <w:szCs w:val="24"/>
        </w:rPr>
        <w:lastRenderedPageBreak/>
        <w:t xml:space="preserve">Indicator </w:t>
      </w:r>
      <w:r w:rsidR="00055858">
        <w:rPr>
          <w:rFonts w:ascii="Times New Roman" w:hAnsi="Times New Roman" w:cs="Times New Roman"/>
          <w:b/>
          <w:bCs/>
          <w:i/>
          <w:iCs/>
          <w:color w:val="000000"/>
          <w:sz w:val="24"/>
          <w:szCs w:val="24"/>
        </w:rPr>
        <w:t>3.4.2</w:t>
      </w:r>
      <w:r w:rsidRPr="000D2E4D">
        <w:rPr>
          <w:rFonts w:ascii="Times New Roman" w:hAnsi="Times New Roman" w:cs="Times New Roman"/>
          <w:b/>
          <w:bCs/>
          <w:i/>
          <w:iCs/>
          <w:color w:val="000000"/>
          <w:sz w:val="24"/>
          <w:szCs w:val="24"/>
        </w:rPr>
        <w:t xml:space="preserve"> Suicide mortality rate</w:t>
      </w:r>
    </w:p>
    <w:p w14:paraId="21D5A42C" w14:textId="77777777" w:rsidR="00877949" w:rsidRDefault="00877949" w:rsidP="00877949">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1C07F68A" w14:textId="77777777" w:rsidR="00E34CD1" w:rsidRDefault="00E34CD1" w:rsidP="008C6258">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The </w:t>
      </w:r>
      <w:r w:rsidR="004B4C21">
        <w:rPr>
          <w:rFonts w:ascii="Times New Roman" w:hAnsi="Times New Roman" w:cs="Times New Roman"/>
          <w:color w:val="000000"/>
          <w:sz w:val="24"/>
          <w:szCs w:val="24"/>
        </w:rPr>
        <w:t>s</w:t>
      </w:r>
      <w:r w:rsidR="004B4C21" w:rsidRPr="000D2E4D">
        <w:rPr>
          <w:rFonts w:ascii="Times New Roman" w:hAnsi="Times New Roman" w:cs="Times New Roman"/>
          <w:color w:val="000000"/>
          <w:sz w:val="24"/>
          <w:szCs w:val="24"/>
        </w:rPr>
        <w:t xml:space="preserve">uicide </w:t>
      </w:r>
      <w:r w:rsidRPr="000D2E4D">
        <w:rPr>
          <w:rFonts w:ascii="Times New Roman" w:hAnsi="Times New Roman" w:cs="Times New Roman"/>
          <w:color w:val="000000"/>
          <w:sz w:val="24"/>
          <w:szCs w:val="24"/>
        </w:rPr>
        <w:t xml:space="preserve">mortality rates in Palestine are significantly low </w:t>
      </w:r>
      <w:r w:rsidR="002F5DAD">
        <w:rPr>
          <w:rFonts w:ascii="Times New Roman" w:hAnsi="Times New Roman" w:cs="Times New Roman"/>
          <w:color w:val="000000"/>
          <w:sz w:val="24"/>
          <w:szCs w:val="24"/>
        </w:rPr>
        <w:t>reaching</w:t>
      </w:r>
      <w:r w:rsidRPr="000D2E4D">
        <w:rPr>
          <w:rFonts w:ascii="Times New Roman" w:hAnsi="Times New Roman" w:cs="Times New Roman"/>
          <w:color w:val="000000"/>
          <w:sz w:val="24"/>
          <w:szCs w:val="24"/>
        </w:rPr>
        <w:t xml:space="preserve"> less than one person per 100,000 of the population in </w:t>
      </w:r>
      <w:r w:rsidR="00DA4CD1">
        <w:rPr>
          <w:rFonts w:ascii="Times New Roman" w:hAnsi="Times New Roman" w:cs="Times New Roman"/>
          <w:color w:val="000000"/>
          <w:sz w:val="24"/>
          <w:szCs w:val="24"/>
        </w:rPr>
        <w:t>2021</w:t>
      </w:r>
      <w:r w:rsidR="00DA4CD1" w:rsidRPr="000D2E4D">
        <w:rPr>
          <w:rFonts w:ascii="Times New Roman" w:hAnsi="Times New Roman" w:cs="Times New Roman"/>
          <w:color w:val="000000"/>
          <w:sz w:val="24"/>
          <w:szCs w:val="24"/>
        </w:rPr>
        <w:t>;</w:t>
      </w:r>
      <w:r w:rsidR="002F5DAD">
        <w:rPr>
          <w:rFonts w:ascii="Times New Roman" w:hAnsi="Times New Roman" w:cs="Times New Roman"/>
          <w:color w:val="000000"/>
          <w:sz w:val="24"/>
          <w:szCs w:val="24"/>
        </w:rPr>
        <w:t>this rate remained</w:t>
      </w:r>
      <w:r w:rsidRPr="000D2E4D">
        <w:rPr>
          <w:rFonts w:ascii="Times New Roman" w:hAnsi="Times New Roman" w:cs="Times New Roman"/>
          <w:color w:val="000000"/>
          <w:sz w:val="24"/>
          <w:szCs w:val="24"/>
        </w:rPr>
        <w:t xml:space="preserve"> relatively constant for several years.</w:t>
      </w:r>
    </w:p>
    <w:p w14:paraId="7889DBB4" w14:textId="77777777" w:rsidR="00E34CD1" w:rsidRDefault="00E34CD1" w:rsidP="008C6258">
      <w:pPr>
        <w:tabs>
          <w:tab w:val="left" w:pos="9072"/>
        </w:tabs>
        <w:bidi w:val="0"/>
        <w:spacing w:after="0" w:line="240" w:lineRule="auto"/>
        <w:rPr>
          <w:rFonts w:ascii="Times New Roman" w:hAnsi="Times New Roman" w:cs="Times New Roman"/>
          <w:b/>
          <w:bCs/>
          <w:color w:val="000000"/>
          <w:sz w:val="24"/>
          <w:szCs w:val="24"/>
          <w:rtl/>
        </w:rPr>
      </w:pPr>
    </w:p>
    <w:p w14:paraId="5BBE84D8" w14:textId="77777777" w:rsidR="00E34CD1" w:rsidRDefault="00E34CD1" w:rsidP="00BE6EAE">
      <w:pPr>
        <w:tabs>
          <w:tab w:val="left" w:pos="9072"/>
        </w:tabs>
        <w:bidi w:val="0"/>
        <w:spacing w:after="0" w:line="240" w:lineRule="auto"/>
        <w:jc w:val="center"/>
        <w:rPr>
          <w:rFonts w:ascii="Arial" w:hAnsi="Arial"/>
          <w:b/>
          <w:bCs/>
          <w:color w:val="000000"/>
        </w:rPr>
      </w:pPr>
      <w:r w:rsidRPr="000D2E4D">
        <w:rPr>
          <w:rFonts w:ascii="Arial" w:hAnsi="Arial"/>
          <w:b/>
          <w:bCs/>
          <w:color w:val="000000"/>
        </w:rPr>
        <w:t xml:space="preserve">Suicide </w:t>
      </w:r>
      <w:r w:rsidR="002F5DAD">
        <w:rPr>
          <w:rFonts w:ascii="Arial" w:hAnsi="Arial"/>
          <w:b/>
          <w:bCs/>
          <w:color w:val="000000"/>
        </w:rPr>
        <w:t>M</w:t>
      </w:r>
      <w:r w:rsidRPr="000D2E4D">
        <w:rPr>
          <w:rFonts w:ascii="Arial" w:hAnsi="Arial"/>
          <w:b/>
          <w:bCs/>
          <w:color w:val="000000"/>
        </w:rPr>
        <w:t xml:space="preserve">ortality </w:t>
      </w:r>
      <w:r w:rsidR="002F5DAD">
        <w:rPr>
          <w:rFonts w:ascii="Arial" w:hAnsi="Arial"/>
          <w:b/>
          <w:bCs/>
          <w:color w:val="000000"/>
        </w:rPr>
        <w:t>R</w:t>
      </w:r>
      <w:r w:rsidRPr="000D2E4D">
        <w:rPr>
          <w:rFonts w:ascii="Arial" w:hAnsi="Arial"/>
          <w:b/>
          <w:bCs/>
          <w:color w:val="000000"/>
        </w:rPr>
        <w:t xml:space="preserve">ate, </w:t>
      </w:r>
      <w:r w:rsidR="00BE6EAE">
        <w:rPr>
          <w:rFonts w:ascii="Arial" w:hAnsi="Arial"/>
          <w:b/>
          <w:bCs/>
          <w:color w:val="000000"/>
        </w:rPr>
        <w:t>2015</w:t>
      </w:r>
      <w:r w:rsidRPr="000D2E4D">
        <w:rPr>
          <w:rFonts w:ascii="Arial" w:hAnsi="Arial"/>
          <w:b/>
          <w:bCs/>
          <w:color w:val="000000"/>
        </w:rPr>
        <w:t>-</w:t>
      </w:r>
      <w:r>
        <w:rPr>
          <w:rFonts w:ascii="Arial" w:hAnsi="Arial"/>
          <w:b/>
          <w:bCs/>
          <w:color w:val="000000"/>
        </w:rPr>
        <w:t>202</w:t>
      </w:r>
      <w:r w:rsidR="00B33140">
        <w:rPr>
          <w:rFonts w:ascii="Arial" w:hAnsi="Arial"/>
          <w:b/>
          <w:bCs/>
          <w:color w:val="000000"/>
        </w:rPr>
        <w:t>1</w:t>
      </w:r>
      <w:r w:rsidRPr="000D2E4D">
        <w:rPr>
          <w:rFonts w:ascii="Arial" w:hAnsi="Arial"/>
          <w:b/>
          <w:bCs/>
          <w:color w:val="000000"/>
        </w:rPr>
        <w:t xml:space="preserve"> (Per 100,000 Population)</w:t>
      </w:r>
    </w:p>
    <w:p w14:paraId="36FB476F" w14:textId="77777777" w:rsidR="00E34CD1" w:rsidRPr="00342F88" w:rsidRDefault="00E34CD1" w:rsidP="008C6258">
      <w:pPr>
        <w:tabs>
          <w:tab w:val="left" w:pos="9072"/>
        </w:tabs>
        <w:bidi w:val="0"/>
        <w:spacing w:after="0" w:line="240" w:lineRule="auto"/>
        <w:rPr>
          <w:rFonts w:ascii="Arial" w:hAnsi="Arial"/>
          <w:b/>
          <w:bCs/>
          <w:color w:val="000000"/>
          <w:sz w:val="10"/>
          <w:szCs w:val="10"/>
          <w:rtl/>
        </w:rPr>
      </w:pPr>
    </w:p>
    <w:tbl>
      <w:tblPr>
        <w:bidiVisual/>
        <w:tblW w:w="9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3"/>
      </w:tblGrid>
      <w:tr w:rsidR="00E34CD1" w:rsidRPr="000D2E4D" w14:paraId="7A436651" w14:textId="77777777" w:rsidTr="00E6392C">
        <w:trPr>
          <w:trHeight w:val="3340"/>
        </w:trPr>
        <w:tc>
          <w:tcPr>
            <w:tcW w:w="9373" w:type="dxa"/>
            <w:shd w:val="clear" w:color="auto" w:fill="auto"/>
          </w:tcPr>
          <w:p w14:paraId="60F0358E" w14:textId="77777777" w:rsidR="00E34CD1" w:rsidRPr="000D2E4D" w:rsidRDefault="00E34CD1" w:rsidP="00055BF1">
            <w:pPr>
              <w:spacing w:after="0" w:line="240" w:lineRule="auto"/>
              <w:jc w:val="center"/>
              <w:rPr>
                <w:rFonts w:ascii="Simplified Arabic" w:eastAsia="Calibri" w:hAnsi="Simplified Arabic" w:cs="Simplified Arabic"/>
                <w:b/>
                <w:bCs/>
                <w:i/>
                <w:iCs/>
                <w:color w:val="000000"/>
                <w:sz w:val="24"/>
                <w:szCs w:val="24"/>
                <w:lang w:bidi="ar-JO"/>
              </w:rPr>
            </w:pPr>
            <w:r>
              <w:rPr>
                <w:rFonts w:ascii="Simplified Arabic" w:eastAsia="Calibri" w:hAnsi="Simplified Arabic" w:cs="Simplified Arabic"/>
                <w:b/>
                <w:bCs/>
                <w:i/>
                <w:iCs/>
                <w:noProof/>
                <w:color w:val="000000"/>
                <w:sz w:val="24"/>
                <w:szCs w:val="24"/>
              </w:rPr>
              <w:drawing>
                <wp:inline distT="0" distB="0" distL="0" distR="0" wp14:anchorId="7D0E46C1" wp14:editId="27BD5AEB">
                  <wp:extent cx="5486400" cy="2000250"/>
                  <wp:effectExtent l="0" t="0" r="0" b="0"/>
                  <wp:docPr id="70" name="Chart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06B93A8C" w14:textId="77777777" w:rsidR="00E34CD1" w:rsidRDefault="00E34CD1" w:rsidP="007F568E">
      <w:pPr>
        <w:bidi w:val="0"/>
        <w:spacing w:after="0" w:line="240" w:lineRule="auto"/>
        <w:jc w:val="both"/>
        <w:rPr>
          <w:rFonts w:ascii="Arial" w:hAnsi="Arial"/>
          <w:color w:val="000000"/>
          <w:sz w:val="18"/>
          <w:szCs w:val="18"/>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 xml:space="preserve">Security and </w:t>
      </w:r>
      <w:r w:rsidR="002F5DAD">
        <w:rPr>
          <w:rFonts w:ascii="Arial" w:hAnsi="Arial"/>
          <w:color w:val="000000"/>
          <w:sz w:val="18"/>
          <w:szCs w:val="18"/>
        </w:rPr>
        <w:t>J</w:t>
      </w:r>
      <w:r w:rsidRPr="000D2E4D">
        <w:rPr>
          <w:rFonts w:ascii="Arial" w:hAnsi="Arial"/>
          <w:color w:val="000000"/>
          <w:sz w:val="18"/>
          <w:szCs w:val="18"/>
        </w:rPr>
        <w:t xml:space="preserve">ustice </w:t>
      </w:r>
      <w:r w:rsidR="00AC2E62" w:rsidRPr="000D2E4D">
        <w:rPr>
          <w:rFonts w:ascii="Arial" w:hAnsi="Arial"/>
          <w:color w:val="000000"/>
          <w:sz w:val="18"/>
          <w:szCs w:val="18"/>
        </w:rPr>
        <w:t>Statistics Database</w:t>
      </w:r>
      <w:r w:rsidRPr="000D2E4D">
        <w:rPr>
          <w:rFonts w:ascii="Arial" w:hAnsi="Arial"/>
          <w:color w:val="000000"/>
          <w:sz w:val="18"/>
          <w:szCs w:val="18"/>
        </w:rPr>
        <w:t xml:space="preserve">, </w:t>
      </w:r>
      <w:r w:rsidR="00BE6EAE">
        <w:rPr>
          <w:rFonts w:ascii="Arial" w:hAnsi="Arial"/>
          <w:color w:val="000000"/>
          <w:sz w:val="18"/>
          <w:szCs w:val="18"/>
        </w:rPr>
        <w:t>2015</w:t>
      </w:r>
      <w:r w:rsidRPr="000D2E4D">
        <w:rPr>
          <w:rFonts w:ascii="Arial" w:hAnsi="Arial"/>
          <w:color w:val="000000"/>
          <w:sz w:val="18"/>
          <w:szCs w:val="18"/>
        </w:rPr>
        <w:t>-</w:t>
      </w:r>
      <w:r>
        <w:rPr>
          <w:rFonts w:ascii="Arial" w:hAnsi="Arial"/>
          <w:color w:val="000000"/>
          <w:sz w:val="18"/>
          <w:szCs w:val="18"/>
        </w:rPr>
        <w:t>202</w:t>
      </w:r>
      <w:r w:rsidR="00B33140">
        <w:rPr>
          <w:rFonts w:ascii="Arial" w:hAnsi="Arial"/>
          <w:color w:val="000000"/>
          <w:sz w:val="18"/>
          <w:szCs w:val="18"/>
        </w:rPr>
        <w:t>1</w:t>
      </w:r>
      <w:r w:rsidRPr="000D2E4D">
        <w:rPr>
          <w:rFonts w:ascii="Arial" w:hAnsi="Arial"/>
          <w:color w:val="000000"/>
          <w:sz w:val="18"/>
          <w:szCs w:val="18"/>
        </w:rPr>
        <w:t>.  Ramallah - Palestine</w:t>
      </w:r>
      <w:r w:rsidRPr="000D2E4D">
        <w:rPr>
          <w:rFonts w:ascii="Arial" w:hAnsi="Arial"/>
          <w:color w:val="000000"/>
          <w:sz w:val="18"/>
          <w:szCs w:val="18"/>
          <w:rtl/>
        </w:rPr>
        <w:t>.</w:t>
      </w:r>
    </w:p>
    <w:p w14:paraId="0B07CFEC" w14:textId="77777777" w:rsidR="00E34CD1" w:rsidRPr="00264E77" w:rsidRDefault="00E34CD1" w:rsidP="008C6258">
      <w:pPr>
        <w:bidi w:val="0"/>
        <w:spacing w:after="0" w:line="240" w:lineRule="auto"/>
        <w:jc w:val="both"/>
        <w:rPr>
          <w:rStyle w:val="Bodytext8pt"/>
          <w:rFonts w:ascii="Arial" w:eastAsia="Times New Roman" w:hAnsi="Arial" w:cs="Arial"/>
          <w:b w:val="0"/>
          <w:bCs w:val="0"/>
          <w:spacing w:val="0"/>
          <w:sz w:val="18"/>
          <w:szCs w:val="18"/>
          <w:shd w:val="clear" w:color="auto" w:fill="auto"/>
          <w:lang w:val="en-US"/>
        </w:rPr>
      </w:pPr>
      <w:r w:rsidRPr="000D2E4D">
        <w:rPr>
          <w:rFonts w:ascii="Arial" w:hAnsi="Arial"/>
          <w:b/>
          <w:bCs/>
          <w:color w:val="000000"/>
          <w:sz w:val="18"/>
          <w:szCs w:val="18"/>
        </w:rPr>
        <w:t>Note</w:t>
      </w:r>
      <w:r w:rsidRPr="000D2E4D">
        <w:rPr>
          <w:rFonts w:ascii="Arial" w:hAnsi="Arial"/>
          <w:color w:val="000000"/>
          <w:sz w:val="18"/>
          <w:szCs w:val="18"/>
        </w:rPr>
        <w:t>: Data excluded th</w:t>
      </w:r>
      <w:r w:rsidR="002F5DAD">
        <w:rPr>
          <w:rFonts w:ascii="Arial" w:hAnsi="Arial"/>
          <w:color w:val="000000"/>
          <w:sz w:val="18"/>
          <w:szCs w:val="18"/>
        </w:rPr>
        <w:t>e</w:t>
      </w:r>
      <w:r w:rsidRPr="000D2E4D">
        <w:rPr>
          <w:rFonts w:ascii="Arial" w:hAnsi="Arial"/>
          <w:color w:val="000000"/>
          <w:sz w:val="18"/>
          <w:szCs w:val="18"/>
        </w:rPr>
        <w:t xml:space="preserve"> parts of Jerusalem annexed by </w:t>
      </w:r>
      <w:r w:rsidR="002F5DAD">
        <w:rPr>
          <w:rFonts w:ascii="Arial" w:hAnsi="Arial"/>
          <w:color w:val="000000"/>
          <w:sz w:val="18"/>
          <w:szCs w:val="18"/>
        </w:rPr>
        <w:t xml:space="preserve">the </w:t>
      </w:r>
      <w:r w:rsidRPr="000D2E4D">
        <w:rPr>
          <w:rFonts w:ascii="Arial" w:hAnsi="Arial"/>
          <w:color w:val="000000"/>
          <w:sz w:val="18"/>
          <w:szCs w:val="18"/>
        </w:rPr>
        <w:t>Israeli Occupation in 1967.</w:t>
      </w:r>
    </w:p>
    <w:p w14:paraId="45C05A04" w14:textId="77777777" w:rsidR="00F36517" w:rsidRDefault="00F36517" w:rsidP="00F36517">
      <w:pPr>
        <w:autoSpaceDE w:val="0"/>
        <w:autoSpaceDN w:val="0"/>
        <w:bidi w:val="0"/>
        <w:adjustRightInd w:val="0"/>
        <w:spacing w:after="0" w:line="240" w:lineRule="auto"/>
        <w:jc w:val="both"/>
        <w:rPr>
          <w:rFonts w:ascii="Times New Roman" w:hAnsi="Times New Roman" w:cs="Times New Roman"/>
          <w:b/>
          <w:bCs/>
          <w:color w:val="000000"/>
          <w:sz w:val="24"/>
          <w:szCs w:val="24"/>
        </w:rPr>
      </w:pPr>
    </w:p>
    <w:p w14:paraId="7F4A17A7" w14:textId="77777777" w:rsidR="00055BF1" w:rsidRDefault="00E34CD1" w:rsidP="00F36517">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3.6.1</w:t>
      </w:r>
      <w:r w:rsidR="00550315">
        <w:rPr>
          <w:rFonts w:ascii="Times New Roman" w:hAnsi="Times New Roman" w:cs="Times New Roman"/>
          <w:b/>
          <w:bCs/>
          <w:i/>
          <w:iCs/>
          <w:sz w:val="24"/>
          <w:szCs w:val="24"/>
        </w:rPr>
        <w:t>D</w:t>
      </w:r>
      <w:r w:rsidRPr="00C22521">
        <w:rPr>
          <w:rFonts w:ascii="Times New Roman" w:hAnsi="Times New Roman" w:cs="Times New Roman"/>
          <w:b/>
          <w:bCs/>
          <w:i/>
          <w:iCs/>
          <w:sz w:val="24"/>
          <w:szCs w:val="24"/>
        </w:rPr>
        <w:t>eath</w:t>
      </w:r>
      <w:r w:rsidR="002F5DAD">
        <w:rPr>
          <w:rFonts w:ascii="Times New Roman" w:hAnsi="Times New Roman" w:cs="Times New Roman"/>
          <w:b/>
          <w:bCs/>
          <w:i/>
          <w:iCs/>
          <w:sz w:val="24"/>
          <w:szCs w:val="24"/>
        </w:rPr>
        <w:t>r</w:t>
      </w:r>
      <w:r w:rsidR="00550315">
        <w:rPr>
          <w:rFonts w:ascii="Times New Roman" w:hAnsi="Times New Roman" w:cs="Times New Roman"/>
          <w:b/>
          <w:bCs/>
          <w:i/>
          <w:iCs/>
          <w:sz w:val="24"/>
          <w:szCs w:val="24"/>
        </w:rPr>
        <w:t>ate</w:t>
      </w:r>
      <w:r w:rsidRPr="00C22521">
        <w:rPr>
          <w:rFonts w:ascii="Times New Roman" w:hAnsi="Times New Roman" w:cs="Times New Roman"/>
          <w:b/>
          <w:bCs/>
          <w:i/>
          <w:iCs/>
          <w:sz w:val="24"/>
          <w:szCs w:val="24"/>
        </w:rPr>
        <w:t xml:space="preserve"> due to road traffic fatal injuries </w:t>
      </w:r>
    </w:p>
    <w:p w14:paraId="587A5774" w14:textId="77777777" w:rsidR="00877949" w:rsidRDefault="00877949" w:rsidP="00877949">
      <w:pPr>
        <w:autoSpaceDE w:val="0"/>
        <w:autoSpaceDN w:val="0"/>
        <w:bidi w:val="0"/>
        <w:adjustRightInd w:val="0"/>
        <w:spacing w:after="0" w:line="240" w:lineRule="auto"/>
        <w:jc w:val="both"/>
        <w:rPr>
          <w:rFonts w:ascii="Times New Roman" w:hAnsi="Times New Roman" w:cs="Times New Roman"/>
          <w:sz w:val="24"/>
          <w:szCs w:val="24"/>
        </w:rPr>
      </w:pPr>
    </w:p>
    <w:p w14:paraId="6879EBA8" w14:textId="77777777" w:rsidR="00E34CD1" w:rsidRDefault="00E34CD1" w:rsidP="00CF007C">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w:t>
      </w:r>
      <w:r w:rsidRPr="00C22521">
        <w:rPr>
          <w:rFonts w:ascii="Times New Roman" w:hAnsi="Times New Roman" w:cs="Times New Roman"/>
          <w:sz w:val="24"/>
          <w:szCs w:val="24"/>
        </w:rPr>
        <w:t xml:space="preserve">eath rates due to road accidents in Palestine increased from 3.8 per 100,000 </w:t>
      </w:r>
      <w:r w:rsidR="00794CA0">
        <w:rPr>
          <w:rFonts w:ascii="Times New Roman" w:hAnsi="Times New Roman" w:cs="Times New Roman"/>
          <w:sz w:val="24"/>
          <w:szCs w:val="24"/>
        </w:rPr>
        <w:t xml:space="preserve">persons of the </w:t>
      </w:r>
      <w:r w:rsidRPr="00C22521">
        <w:rPr>
          <w:rFonts w:ascii="Times New Roman" w:hAnsi="Times New Roman" w:cs="Times New Roman"/>
          <w:sz w:val="24"/>
          <w:szCs w:val="24"/>
        </w:rPr>
        <w:t>population in 2015 to 4.4 in 2017</w:t>
      </w:r>
      <w:r w:rsidR="004B4C21">
        <w:rPr>
          <w:rFonts w:ascii="Times New Roman" w:hAnsi="Times New Roman" w:cs="Times New Roman"/>
          <w:sz w:val="24"/>
          <w:szCs w:val="24"/>
        </w:rPr>
        <w:t>.</w:t>
      </w:r>
      <w:r>
        <w:rPr>
          <w:rFonts w:ascii="Times New Roman" w:hAnsi="Times New Roman" w:cs="Times New Roman"/>
          <w:sz w:val="24"/>
          <w:szCs w:val="24"/>
        </w:rPr>
        <w:t xml:space="preserve"> T</w:t>
      </w:r>
      <w:r w:rsidRPr="003D3658">
        <w:rPr>
          <w:rFonts w:ascii="Times New Roman" w:hAnsi="Times New Roman" w:cs="Times New Roman"/>
          <w:sz w:val="24"/>
          <w:szCs w:val="24"/>
        </w:rPr>
        <w:t>he percentage returned to decline in 2020 according to  Ministry of Health</w:t>
      </w:r>
      <w:r w:rsidR="002F5DAD">
        <w:rPr>
          <w:rFonts w:ascii="Times New Roman" w:hAnsi="Times New Roman" w:cs="Times New Roman"/>
          <w:sz w:val="24"/>
          <w:szCs w:val="24"/>
        </w:rPr>
        <w:t xml:space="preserve"> data</w:t>
      </w:r>
      <w:r w:rsidRPr="003D3658">
        <w:rPr>
          <w:rFonts w:ascii="Times New Roman" w:hAnsi="Times New Roman" w:cs="Times New Roman"/>
          <w:sz w:val="24"/>
          <w:szCs w:val="24"/>
        </w:rPr>
        <w:t xml:space="preserve">, where 143 deaths due to road accidents were recorded, a rate of 2.8 per 100,000 </w:t>
      </w:r>
      <w:r w:rsidR="00794CA0">
        <w:rPr>
          <w:rFonts w:ascii="Times New Roman" w:hAnsi="Times New Roman" w:cs="Times New Roman"/>
          <w:sz w:val="24"/>
          <w:szCs w:val="24"/>
        </w:rPr>
        <w:t xml:space="preserve">persons of </w:t>
      </w:r>
      <w:r w:rsidRPr="003D3658">
        <w:rPr>
          <w:rFonts w:ascii="Times New Roman" w:hAnsi="Times New Roman" w:cs="Times New Roman"/>
          <w:sz w:val="24"/>
          <w:szCs w:val="24"/>
        </w:rPr>
        <w:t xml:space="preserve">population. The death rate due to road accidents varied between the West Bank and Gaza Strip, reaching 3.3 per 100,000 population in the West Bank compared to 2.0 in </w:t>
      </w:r>
      <w:r w:rsidR="002F5DAD">
        <w:rPr>
          <w:rFonts w:ascii="Times New Roman" w:hAnsi="Times New Roman" w:cs="Times New Roman"/>
          <w:sz w:val="24"/>
          <w:szCs w:val="24"/>
        </w:rPr>
        <w:t xml:space="preserve">the </w:t>
      </w:r>
      <w:r w:rsidRPr="003D3658">
        <w:rPr>
          <w:rFonts w:ascii="Times New Roman" w:hAnsi="Times New Roman" w:cs="Times New Roman"/>
          <w:sz w:val="24"/>
          <w:szCs w:val="24"/>
        </w:rPr>
        <w:t xml:space="preserve">Gaza Strip </w:t>
      </w:r>
      <w:r w:rsidR="002F5DAD">
        <w:rPr>
          <w:rFonts w:ascii="Times New Roman" w:hAnsi="Times New Roman" w:cs="Times New Roman"/>
          <w:sz w:val="24"/>
          <w:szCs w:val="24"/>
        </w:rPr>
        <w:t>for</w:t>
      </w:r>
      <w:r w:rsidRPr="003D3658">
        <w:rPr>
          <w:rFonts w:ascii="Times New Roman" w:hAnsi="Times New Roman" w:cs="Times New Roman"/>
          <w:sz w:val="24"/>
          <w:szCs w:val="24"/>
        </w:rPr>
        <w:t xml:space="preserve"> 2020.</w:t>
      </w:r>
    </w:p>
    <w:p w14:paraId="2852892A" w14:textId="77777777" w:rsidR="00E34CD1" w:rsidRPr="00681394" w:rsidRDefault="00E34CD1" w:rsidP="008C6258">
      <w:pPr>
        <w:autoSpaceDE w:val="0"/>
        <w:autoSpaceDN w:val="0"/>
        <w:bidi w:val="0"/>
        <w:adjustRightInd w:val="0"/>
        <w:spacing w:after="0" w:line="240" w:lineRule="auto"/>
        <w:jc w:val="both"/>
        <w:rPr>
          <w:rFonts w:ascii="Times New Roman" w:hAnsi="Times New Roman" w:cs="Times New Roman"/>
          <w:sz w:val="24"/>
          <w:szCs w:val="24"/>
        </w:rPr>
      </w:pPr>
    </w:p>
    <w:p w14:paraId="0164D0C6" w14:textId="77777777" w:rsidR="00E34CD1" w:rsidRDefault="00E34CD1" w:rsidP="008C6258">
      <w:pPr>
        <w:tabs>
          <w:tab w:val="left" w:pos="9072"/>
        </w:tabs>
        <w:bidi w:val="0"/>
        <w:spacing w:after="0" w:line="240" w:lineRule="auto"/>
        <w:jc w:val="center"/>
        <w:rPr>
          <w:rFonts w:ascii="Arial" w:hAnsi="Arial"/>
          <w:b/>
          <w:bCs/>
        </w:rPr>
      </w:pPr>
      <w:r w:rsidRPr="009F5BAB">
        <w:rPr>
          <w:rFonts w:ascii="Arial" w:hAnsi="Arial"/>
          <w:b/>
          <w:bCs/>
        </w:rPr>
        <w:t>Death Rates Due to Road Traffic Injuries, 2015-</w:t>
      </w:r>
      <w:r>
        <w:rPr>
          <w:rFonts w:ascii="Arial" w:hAnsi="Arial"/>
          <w:b/>
          <w:bCs/>
        </w:rPr>
        <w:t>2020</w:t>
      </w:r>
      <w:r w:rsidRPr="009F5BAB">
        <w:rPr>
          <w:rFonts w:ascii="Arial" w:hAnsi="Arial"/>
          <w:b/>
          <w:bCs/>
        </w:rPr>
        <w:t xml:space="preserve"> (Per 100,000 Population)</w:t>
      </w:r>
    </w:p>
    <w:p w14:paraId="13A9FE78" w14:textId="77777777" w:rsidR="00E34CD1" w:rsidRPr="00E01091" w:rsidRDefault="00E34CD1" w:rsidP="008C6258">
      <w:pPr>
        <w:tabs>
          <w:tab w:val="left" w:pos="9072"/>
        </w:tabs>
        <w:bidi w:val="0"/>
        <w:spacing w:after="0" w:line="240" w:lineRule="auto"/>
        <w:jc w:val="center"/>
        <w:rPr>
          <w:rFonts w:ascii="Arial" w:hAnsi="Arial"/>
          <w:b/>
          <w:bCs/>
          <w:sz w:val="10"/>
          <w:szCs w:val="10"/>
        </w:rPr>
      </w:pPr>
    </w:p>
    <w:tbl>
      <w:tblPr>
        <w:tblW w:w="90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E34CD1" w:rsidRPr="000D2E4D" w14:paraId="77E27D0D" w14:textId="77777777" w:rsidTr="00506BC0">
        <w:trPr>
          <w:trHeight w:val="3344"/>
        </w:trPr>
        <w:tc>
          <w:tcPr>
            <w:tcW w:w="9089" w:type="dxa"/>
            <w:shd w:val="clear" w:color="auto" w:fill="auto"/>
          </w:tcPr>
          <w:p w14:paraId="7B940075" w14:textId="77777777" w:rsidR="00E34CD1" w:rsidRPr="000D2E4D" w:rsidRDefault="00E34CD1" w:rsidP="008C6258">
            <w:pPr>
              <w:tabs>
                <w:tab w:val="left" w:pos="9072"/>
              </w:tabs>
              <w:bidi w:val="0"/>
              <w:spacing w:after="0" w:line="240" w:lineRule="auto"/>
              <w:jc w:val="center"/>
              <w:rPr>
                <w:rFonts w:ascii="Arial" w:hAnsi="Arial"/>
                <w:b/>
                <w:bCs/>
                <w:lang w:val="it-IT"/>
              </w:rPr>
            </w:pPr>
            <w:r>
              <w:rPr>
                <w:rFonts w:ascii="Times New Roman" w:hAnsi="Times New Roman" w:cs="Times New Roman"/>
                <w:noProof/>
                <w:color w:val="4A4A4A"/>
                <w:sz w:val="24"/>
                <w:szCs w:val="24"/>
              </w:rPr>
              <w:drawing>
                <wp:inline distT="0" distB="0" distL="0" distR="0" wp14:anchorId="2655A624" wp14:editId="3ED37278">
                  <wp:extent cx="5486400" cy="1914525"/>
                  <wp:effectExtent l="0" t="0" r="0" b="0"/>
                  <wp:docPr id="75"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46E45D93" w14:textId="77777777" w:rsidR="00E34CD1" w:rsidRPr="00922F28" w:rsidRDefault="00C501A3" w:rsidP="008C6258">
      <w:pPr>
        <w:bidi w:val="0"/>
        <w:spacing w:after="0" w:line="240" w:lineRule="auto"/>
        <w:rPr>
          <w:rFonts w:ascii="Arial" w:hAnsi="Arial"/>
          <w:sz w:val="18"/>
          <w:szCs w:val="18"/>
        </w:rPr>
      </w:pPr>
      <w:r w:rsidRPr="00922F28">
        <w:rPr>
          <w:rFonts w:ascii="Arial" w:hAnsi="Arial"/>
          <w:b/>
          <w:bCs/>
          <w:sz w:val="18"/>
          <w:szCs w:val="18"/>
        </w:rPr>
        <w:t>Source: Ministry</w:t>
      </w:r>
      <w:r w:rsidR="00E34CD1" w:rsidRPr="00922F28">
        <w:rPr>
          <w:rFonts w:ascii="Arial" w:hAnsi="Arial"/>
          <w:b/>
          <w:bCs/>
          <w:sz w:val="18"/>
          <w:szCs w:val="18"/>
        </w:rPr>
        <w:t xml:space="preserve"> of </w:t>
      </w:r>
      <w:r w:rsidRPr="00922F28">
        <w:rPr>
          <w:rFonts w:ascii="Arial" w:hAnsi="Arial"/>
          <w:b/>
          <w:bCs/>
          <w:sz w:val="18"/>
          <w:szCs w:val="18"/>
        </w:rPr>
        <w:t>Health</w:t>
      </w:r>
      <w:r w:rsidRPr="00922F28">
        <w:rPr>
          <w:rFonts w:ascii="Arial" w:hAnsi="Arial"/>
          <w:sz w:val="18"/>
          <w:szCs w:val="18"/>
        </w:rPr>
        <w:t>. Annual</w:t>
      </w:r>
      <w:r w:rsidR="002F5DAD">
        <w:rPr>
          <w:rFonts w:ascii="Arial" w:hAnsi="Arial"/>
          <w:sz w:val="18"/>
          <w:szCs w:val="18"/>
        </w:rPr>
        <w:t>R</w:t>
      </w:r>
      <w:r w:rsidR="00E34CD1" w:rsidRPr="00922F28">
        <w:rPr>
          <w:rFonts w:ascii="Arial" w:hAnsi="Arial"/>
          <w:sz w:val="18"/>
          <w:szCs w:val="18"/>
        </w:rPr>
        <w:t>eports 2015-</w:t>
      </w:r>
      <w:r w:rsidR="00E34CD1">
        <w:rPr>
          <w:rFonts w:ascii="Arial" w:hAnsi="Arial"/>
          <w:sz w:val="18"/>
          <w:szCs w:val="18"/>
        </w:rPr>
        <w:t>2020</w:t>
      </w:r>
      <w:r w:rsidR="00E34CD1" w:rsidRPr="00922F28">
        <w:rPr>
          <w:rFonts w:ascii="Arial" w:hAnsi="Arial"/>
          <w:sz w:val="18"/>
          <w:szCs w:val="18"/>
        </w:rPr>
        <w:t>. Ramallah – Palestine.</w:t>
      </w:r>
    </w:p>
    <w:p w14:paraId="41E6A200" w14:textId="77777777" w:rsidR="00F36517" w:rsidRPr="003A32B8" w:rsidRDefault="00F36517" w:rsidP="00F36517">
      <w:pPr>
        <w:autoSpaceDE w:val="0"/>
        <w:autoSpaceDN w:val="0"/>
        <w:bidi w:val="0"/>
        <w:adjustRightInd w:val="0"/>
        <w:spacing w:after="0" w:line="240" w:lineRule="auto"/>
        <w:jc w:val="both"/>
        <w:rPr>
          <w:rFonts w:ascii="Times New Roman" w:hAnsi="Times New Roman" w:cs="Times New Roman"/>
          <w:b/>
          <w:bCs/>
          <w:sz w:val="18"/>
          <w:szCs w:val="18"/>
        </w:rPr>
      </w:pPr>
    </w:p>
    <w:p w14:paraId="47E1AC6C" w14:textId="77777777" w:rsidR="00F36517" w:rsidRDefault="00E34CD1" w:rsidP="00F36517">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3.7.2Adolescent birth rate 15-19 years) per 1,000 women in that age group</w:t>
      </w:r>
    </w:p>
    <w:p w14:paraId="37A07D95" w14:textId="77777777" w:rsidR="00877949" w:rsidRPr="003A32B8" w:rsidRDefault="00877949" w:rsidP="00877949">
      <w:pPr>
        <w:autoSpaceDE w:val="0"/>
        <w:autoSpaceDN w:val="0"/>
        <w:bidi w:val="0"/>
        <w:adjustRightInd w:val="0"/>
        <w:spacing w:after="0" w:line="240" w:lineRule="auto"/>
        <w:jc w:val="both"/>
        <w:rPr>
          <w:b/>
          <w:i/>
          <w:sz w:val="16"/>
          <w:szCs w:val="16"/>
        </w:rPr>
      </w:pPr>
    </w:p>
    <w:p w14:paraId="22FE8882" w14:textId="77777777" w:rsidR="00E34CD1" w:rsidRDefault="00E34CD1" w:rsidP="00553EBD">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The adolescent birth rate (</w:t>
      </w:r>
      <w:r>
        <w:rPr>
          <w:rFonts w:ascii="Times New Roman" w:hAnsi="Times New Roman" w:cs="Times New Roman"/>
          <w:sz w:val="24"/>
          <w:szCs w:val="24"/>
        </w:rPr>
        <w:t>a</w:t>
      </w:r>
      <w:r w:rsidRPr="00C22521">
        <w:rPr>
          <w:rFonts w:ascii="Times New Roman" w:hAnsi="Times New Roman" w:cs="Times New Roman"/>
          <w:sz w:val="24"/>
          <w:szCs w:val="24"/>
        </w:rPr>
        <w:t xml:space="preserve">ge-specific fertility rate </w:t>
      </w:r>
      <w:r w:rsidR="00794CA0">
        <w:rPr>
          <w:rFonts w:ascii="Times New Roman" w:hAnsi="Times New Roman" w:cs="Times New Roman"/>
          <w:sz w:val="24"/>
          <w:szCs w:val="24"/>
        </w:rPr>
        <w:t>to</w:t>
      </w:r>
      <w:r w:rsidRPr="00C22521">
        <w:rPr>
          <w:rFonts w:ascii="Times New Roman" w:hAnsi="Times New Roman" w:cs="Times New Roman"/>
          <w:sz w:val="24"/>
          <w:szCs w:val="24"/>
        </w:rPr>
        <w:t xml:space="preserve"> women ages 15-19) in Palestine </w:t>
      </w:r>
      <w:r w:rsidR="002F5DAD">
        <w:rPr>
          <w:rFonts w:ascii="Times New Roman" w:hAnsi="Times New Roman" w:cs="Times New Roman"/>
          <w:sz w:val="24"/>
          <w:szCs w:val="24"/>
        </w:rPr>
        <w:t>reached</w:t>
      </w:r>
      <w:r w:rsidR="00553EBD">
        <w:rPr>
          <w:rFonts w:ascii="Times New Roman" w:hAnsi="Times New Roman" w:cs="Times New Roman"/>
          <w:sz w:val="24"/>
          <w:szCs w:val="24"/>
        </w:rPr>
        <w:t>42.8</w:t>
      </w:r>
      <w:r w:rsidRPr="00C22521">
        <w:rPr>
          <w:rFonts w:ascii="Times New Roman" w:hAnsi="Times New Roman" w:cs="Times New Roman"/>
          <w:sz w:val="24"/>
          <w:szCs w:val="24"/>
        </w:rPr>
        <w:t xml:space="preserve"> in </w:t>
      </w:r>
      <w:r>
        <w:rPr>
          <w:rFonts w:ascii="Times New Roman" w:hAnsi="Times New Roman" w:cs="Times New Roman"/>
          <w:sz w:val="24"/>
          <w:szCs w:val="24"/>
        </w:rPr>
        <w:t>2019</w:t>
      </w:r>
      <w:r w:rsidRPr="00C22521">
        <w:rPr>
          <w:rFonts w:ascii="Times New Roman" w:hAnsi="Times New Roman" w:cs="Times New Roman"/>
          <w:sz w:val="24"/>
          <w:szCs w:val="24"/>
        </w:rPr>
        <w:t xml:space="preserve">. Data </w:t>
      </w:r>
      <w:r w:rsidR="002F5DAD">
        <w:rPr>
          <w:rFonts w:ascii="Times New Roman" w:hAnsi="Times New Roman" w:cs="Times New Roman"/>
          <w:sz w:val="24"/>
          <w:szCs w:val="24"/>
        </w:rPr>
        <w:t>shows</w:t>
      </w:r>
      <w:r w:rsidRPr="00C22521">
        <w:rPr>
          <w:rFonts w:ascii="Times New Roman" w:hAnsi="Times New Roman" w:cs="Times New Roman"/>
          <w:sz w:val="24"/>
          <w:szCs w:val="24"/>
        </w:rPr>
        <w:t xml:space="preserve"> that </w:t>
      </w:r>
      <w:r w:rsidR="002F5DAD">
        <w:rPr>
          <w:rFonts w:ascii="Times New Roman" w:hAnsi="Times New Roman" w:cs="Times New Roman"/>
          <w:sz w:val="24"/>
          <w:szCs w:val="24"/>
        </w:rPr>
        <w:t xml:space="preserve">the </w:t>
      </w:r>
      <w:r w:rsidRPr="00C22521">
        <w:rPr>
          <w:rFonts w:ascii="Times New Roman" w:hAnsi="Times New Roman" w:cs="Times New Roman"/>
          <w:sz w:val="24"/>
          <w:szCs w:val="24"/>
        </w:rPr>
        <w:t>adolescent birth rate differ</w:t>
      </w:r>
      <w:r w:rsidR="002F5DAD">
        <w:rPr>
          <w:rFonts w:ascii="Times New Roman" w:hAnsi="Times New Roman" w:cs="Times New Roman"/>
          <w:sz w:val="24"/>
          <w:szCs w:val="24"/>
        </w:rPr>
        <w:t>s</w:t>
      </w:r>
      <w:r w:rsidRPr="00C22521">
        <w:rPr>
          <w:rFonts w:ascii="Times New Roman" w:hAnsi="Times New Roman" w:cs="Times New Roman"/>
          <w:sz w:val="24"/>
          <w:szCs w:val="24"/>
        </w:rPr>
        <w:t xml:space="preserve"> according to regions </w:t>
      </w:r>
      <w:r w:rsidRPr="00C22521">
        <w:rPr>
          <w:rFonts w:ascii="Times New Roman" w:hAnsi="Times New Roman" w:cs="Times New Roman"/>
          <w:sz w:val="24"/>
          <w:szCs w:val="24"/>
        </w:rPr>
        <w:lastRenderedPageBreak/>
        <w:t xml:space="preserve">where it </w:t>
      </w:r>
      <w:r w:rsidR="002F5DAD">
        <w:rPr>
          <w:rFonts w:ascii="Times New Roman" w:hAnsi="Times New Roman" w:cs="Times New Roman"/>
          <w:sz w:val="24"/>
          <w:szCs w:val="24"/>
        </w:rPr>
        <w:t>reached</w:t>
      </w:r>
      <w:r>
        <w:rPr>
          <w:rFonts w:ascii="Times New Roman" w:hAnsi="Times New Roman" w:cs="Times New Roman"/>
          <w:sz w:val="24"/>
          <w:szCs w:val="24"/>
        </w:rPr>
        <w:t>39</w:t>
      </w:r>
      <w:r w:rsidRPr="00C22521">
        <w:rPr>
          <w:rFonts w:ascii="Times New Roman" w:hAnsi="Times New Roman" w:cs="Times New Roman"/>
          <w:sz w:val="24"/>
          <w:szCs w:val="24"/>
        </w:rPr>
        <w:t xml:space="preserve"> births per 1</w:t>
      </w:r>
      <w:r w:rsidR="00553EBD">
        <w:rPr>
          <w:rFonts w:ascii="Times New Roman" w:hAnsi="Times New Roman" w:cs="Times New Roman"/>
          <w:sz w:val="24"/>
          <w:szCs w:val="24"/>
        </w:rPr>
        <w:t>,</w:t>
      </w:r>
      <w:r w:rsidRPr="00C22521">
        <w:rPr>
          <w:rFonts w:ascii="Times New Roman" w:hAnsi="Times New Roman" w:cs="Times New Roman"/>
          <w:sz w:val="24"/>
          <w:szCs w:val="24"/>
        </w:rPr>
        <w:t xml:space="preserve">000 women (15-19 years) in the West Bank compared to </w:t>
      </w:r>
      <w:r>
        <w:rPr>
          <w:rFonts w:ascii="Times New Roman" w:hAnsi="Times New Roman" w:cs="Times New Roman"/>
          <w:sz w:val="24"/>
          <w:szCs w:val="24"/>
        </w:rPr>
        <w:t>48</w:t>
      </w:r>
      <w:r w:rsidRPr="00C22521">
        <w:rPr>
          <w:rFonts w:ascii="Times New Roman" w:hAnsi="Times New Roman" w:cs="Times New Roman"/>
          <w:sz w:val="24"/>
          <w:szCs w:val="24"/>
        </w:rPr>
        <w:t xml:space="preserve"> births per 1</w:t>
      </w:r>
      <w:r w:rsidR="00553EBD">
        <w:rPr>
          <w:rFonts w:ascii="Times New Roman" w:hAnsi="Times New Roman" w:cs="Times New Roman"/>
          <w:sz w:val="24"/>
          <w:szCs w:val="24"/>
        </w:rPr>
        <w:t>,</w:t>
      </w:r>
      <w:r w:rsidRPr="00C22521">
        <w:rPr>
          <w:rFonts w:ascii="Times New Roman" w:hAnsi="Times New Roman" w:cs="Times New Roman"/>
          <w:sz w:val="24"/>
          <w:szCs w:val="24"/>
        </w:rPr>
        <w:t xml:space="preserve">000 women in the same age group in </w:t>
      </w:r>
      <w:r w:rsidR="002F5DAD">
        <w:rPr>
          <w:rFonts w:ascii="Times New Roman" w:hAnsi="Times New Roman" w:cs="Times New Roman"/>
          <w:sz w:val="24"/>
          <w:szCs w:val="24"/>
        </w:rPr>
        <w:t xml:space="preserve">the </w:t>
      </w:r>
      <w:r w:rsidRPr="00C22521">
        <w:rPr>
          <w:rFonts w:ascii="Times New Roman" w:hAnsi="Times New Roman" w:cs="Times New Roman"/>
          <w:sz w:val="24"/>
          <w:szCs w:val="24"/>
        </w:rPr>
        <w:t>Gaza Strip.</w:t>
      </w:r>
    </w:p>
    <w:p w14:paraId="19C7B2BA" w14:textId="77777777" w:rsidR="00E34CD1" w:rsidRPr="00E6392C" w:rsidRDefault="00E34CD1" w:rsidP="008C6258">
      <w:pPr>
        <w:autoSpaceDE w:val="0"/>
        <w:autoSpaceDN w:val="0"/>
        <w:bidi w:val="0"/>
        <w:adjustRightInd w:val="0"/>
        <w:spacing w:after="0" w:line="240" w:lineRule="auto"/>
        <w:jc w:val="both"/>
        <w:rPr>
          <w:rFonts w:ascii="Times New Roman" w:hAnsi="Times New Roman"/>
          <w:sz w:val="24"/>
        </w:rPr>
      </w:pPr>
    </w:p>
    <w:p w14:paraId="1D2058B2" w14:textId="77777777" w:rsidR="00E34CD1" w:rsidRPr="0059164D" w:rsidRDefault="00E34CD1" w:rsidP="006B5657">
      <w:pPr>
        <w:bidi w:val="0"/>
        <w:spacing w:after="0" w:line="240" w:lineRule="auto"/>
        <w:jc w:val="center"/>
        <w:rPr>
          <w:rFonts w:ascii="Arial" w:hAnsi="Arial"/>
          <w:b/>
          <w:bCs/>
        </w:rPr>
      </w:pPr>
      <w:r w:rsidRPr="001A5F28">
        <w:rPr>
          <w:rFonts w:ascii="Arial" w:hAnsi="Arial"/>
          <w:b/>
          <w:bCs/>
        </w:rPr>
        <w:t>Adolescent Birth Rates (Aged 15-19 Years) in that Age Group for Year</w:t>
      </w:r>
      <w:r w:rsidR="006B5657">
        <w:rPr>
          <w:rFonts w:ascii="Arial" w:hAnsi="Arial"/>
          <w:b/>
          <w:bCs/>
        </w:rPr>
        <w:t xml:space="preserve"> 2019</w:t>
      </w:r>
      <w:r w:rsidRPr="001A5F28">
        <w:rPr>
          <w:rFonts w:ascii="Arial" w:hAnsi="Arial"/>
          <w:b/>
          <w:bCs/>
        </w:rPr>
        <w:t xml:space="preserve"> (Per 1,000 Women)</w:t>
      </w:r>
    </w:p>
    <w:tbl>
      <w:tblPr>
        <w:tblW w:w="90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7"/>
      </w:tblGrid>
      <w:tr w:rsidR="00E34CD1" w:rsidRPr="000D2E4D" w14:paraId="3CA8F8F3" w14:textId="77777777" w:rsidTr="00E6392C">
        <w:trPr>
          <w:trHeight w:val="3631"/>
        </w:trPr>
        <w:tc>
          <w:tcPr>
            <w:tcW w:w="9037" w:type="dxa"/>
            <w:shd w:val="clear" w:color="auto" w:fill="auto"/>
          </w:tcPr>
          <w:p w14:paraId="7CF7774E" w14:textId="77777777" w:rsidR="00E34CD1" w:rsidRPr="000D2E4D" w:rsidRDefault="00E34CD1" w:rsidP="008C6258">
            <w:pPr>
              <w:tabs>
                <w:tab w:val="left" w:pos="3480"/>
              </w:tabs>
              <w:bidi w:val="0"/>
              <w:spacing w:after="0" w:line="240" w:lineRule="auto"/>
              <w:jc w:val="center"/>
              <w:rPr>
                <w:rFonts w:ascii="Times New Roman" w:hAnsi="Times New Roman" w:cs="Times New Roman"/>
                <w:sz w:val="24"/>
                <w:szCs w:val="24"/>
                <w:lang w:val="it-IT"/>
              </w:rPr>
            </w:pPr>
            <w:r>
              <w:rPr>
                <w:noProof/>
              </w:rPr>
              <w:drawing>
                <wp:inline distT="0" distB="0" distL="0" distR="0" wp14:anchorId="50DB32B2" wp14:editId="0434ACFC">
                  <wp:extent cx="5422265" cy="2286000"/>
                  <wp:effectExtent l="0" t="0" r="6985" b="0"/>
                  <wp:docPr id="76"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396367CE" w14:textId="77777777" w:rsidR="00E34CD1" w:rsidRPr="007C2D25" w:rsidRDefault="00E34CD1" w:rsidP="008B358C">
      <w:pPr>
        <w:bidi w:val="0"/>
        <w:spacing w:after="0" w:line="240" w:lineRule="auto"/>
        <w:ind w:left="720" w:hanging="720"/>
        <w:rPr>
          <w:rFonts w:ascii="Arial" w:hAnsi="Arial"/>
          <w:sz w:val="18"/>
          <w:szCs w:val="18"/>
        </w:rPr>
      </w:pPr>
      <w:r w:rsidRPr="007C2D25">
        <w:rPr>
          <w:rFonts w:ascii="Arial" w:hAnsi="Arial"/>
          <w:b/>
          <w:bCs/>
          <w:sz w:val="18"/>
          <w:szCs w:val="18"/>
        </w:rPr>
        <w:t xml:space="preserve">Source:Palestinian Central Bureau of </w:t>
      </w:r>
      <w:r w:rsidR="00AC2E62" w:rsidRPr="007C2D25">
        <w:rPr>
          <w:rFonts w:ascii="Arial" w:hAnsi="Arial"/>
          <w:b/>
          <w:bCs/>
          <w:sz w:val="18"/>
          <w:szCs w:val="18"/>
        </w:rPr>
        <w:t>statistics</w:t>
      </w:r>
      <w:r w:rsidR="00AC2E62" w:rsidRPr="007C2D25">
        <w:rPr>
          <w:rFonts w:ascii="Arial" w:hAnsi="Arial"/>
          <w:sz w:val="18"/>
          <w:szCs w:val="18"/>
        </w:rPr>
        <w:t>.</w:t>
      </w:r>
      <w:r w:rsidR="00AC2E62" w:rsidRPr="00E40C05">
        <w:rPr>
          <w:rFonts w:ascii="Arial" w:hAnsi="Arial"/>
          <w:sz w:val="18"/>
          <w:szCs w:val="18"/>
        </w:rPr>
        <w:t xml:space="preserve"> Multiple</w:t>
      </w:r>
      <w:r w:rsidR="00E40C05" w:rsidRPr="00E40C05">
        <w:rPr>
          <w:rFonts w:ascii="Arial" w:hAnsi="Arial"/>
          <w:sz w:val="18"/>
          <w:szCs w:val="18"/>
        </w:rPr>
        <w:t xml:space="preserve"> Indicator Cluster Survey </w:t>
      </w:r>
      <w:r w:rsidR="007F568E" w:rsidRPr="00E40C05">
        <w:rPr>
          <w:rFonts w:ascii="Arial" w:hAnsi="Arial"/>
          <w:sz w:val="18"/>
          <w:szCs w:val="18"/>
        </w:rPr>
        <w:t>Database</w:t>
      </w:r>
      <w:r w:rsidR="007F568E">
        <w:rPr>
          <w:rFonts w:ascii="Arial" w:hAnsi="Arial"/>
          <w:sz w:val="18"/>
          <w:szCs w:val="18"/>
        </w:rPr>
        <w:t>,</w:t>
      </w:r>
      <w:r w:rsidR="00E40C05" w:rsidRPr="00E40C05">
        <w:rPr>
          <w:rFonts w:ascii="Arial" w:hAnsi="Arial"/>
          <w:sz w:val="18"/>
          <w:szCs w:val="18"/>
        </w:rPr>
        <w:t>2019-2020</w:t>
      </w:r>
      <w:r w:rsidRPr="007C2D25">
        <w:rPr>
          <w:rFonts w:ascii="Arial" w:hAnsi="Arial"/>
          <w:sz w:val="18"/>
          <w:szCs w:val="18"/>
        </w:rPr>
        <w:t xml:space="preserve">. </w:t>
      </w:r>
      <w:r w:rsidR="000E7EC4" w:rsidRPr="00922F28">
        <w:rPr>
          <w:rFonts w:ascii="Arial" w:hAnsi="Arial"/>
          <w:sz w:val="18"/>
          <w:szCs w:val="18"/>
        </w:rPr>
        <w:t>Ramallah – Palestine.</w:t>
      </w:r>
    </w:p>
    <w:p w14:paraId="35922865" w14:textId="77777777" w:rsidR="00E34CD1" w:rsidRPr="00C22521" w:rsidRDefault="00E34CD1" w:rsidP="008C6258">
      <w:pPr>
        <w:autoSpaceDE w:val="0"/>
        <w:autoSpaceDN w:val="0"/>
        <w:bidi w:val="0"/>
        <w:adjustRightInd w:val="0"/>
        <w:spacing w:after="0" w:line="240" w:lineRule="auto"/>
        <w:jc w:val="both"/>
        <w:rPr>
          <w:i/>
          <w:iCs/>
          <w:sz w:val="24"/>
          <w:szCs w:val="24"/>
          <w:rtl/>
        </w:rPr>
      </w:pPr>
    </w:p>
    <w:p w14:paraId="43248D5F" w14:textId="77777777" w:rsidR="003D1191" w:rsidRDefault="003D1191" w:rsidP="00E40C05">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Indicator 3.8.1</w:t>
      </w:r>
      <w:r w:rsidRPr="003D1191">
        <w:rPr>
          <w:rFonts w:ascii="Times New Roman" w:hAnsi="Times New Roman" w:cs="Times New Roman"/>
          <w:b/>
          <w:bCs/>
          <w:i/>
          <w:iCs/>
          <w:sz w:val="24"/>
          <w:szCs w:val="24"/>
        </w:rPr>
        <w:t xml:space="preserve">Universal </w:t>
      </w:r>
      <w:r w:rsidR="00E40C05">
        <w:rPr>
          <w:rFonts w:ascii="Times New Roman" w:hAnsi="Times New Roman" w:cs="Times New Roman"/>
          <w:b/>
          <w:bCs/>
          <w:i/>
          <w:iCs/>
          <w:sz w:val="24"/>
          <w:szCs w:val="24"/>
        </w:rPr>
        <w:t>H</w:t>
      </w:r>
      <w:r w:rsidRPr="003D1191">
        <w:rPr>
          <w:rFonts w:ascii="Times New Roman" w:hAnsi="Times New Roman" w:cs="Times New Roman"/>
          <w:b/>
          <w:bCs/>
          <w:i/>
          <w:iCs/>
          <w:sz w:val="24"/>
          <w:szCs w:val="24"/>
        </w:rPr>
        <w:t xml:space="preserve">ealth </w:t>
      </w:r>
      <w:r w:rsidR="00E40C05">
        <w:rPr>
          <w:rFonts w:ascii="Times New Roman" w:hAnsi="Times New Roman" w:cs="Times New Roman"/>
          <w:b/>
          <w:bCs/>
          <w:i/>
          <w:iCs/>
          <w:sz w:val="24"/>
          <w:szCs w:val="24"/>
        </w:rPr>
        <w:t>C</w:t>
      </w:r>
      <w:r w:rsidRPr="003D1191">
        <w:rPr>
          <w:rFonts w:ascii="Times New Roman" w:hAnsi="Times New Roman" w:cs="Times New Roman"/>
          <w:b/>
          <w:bCs/>
          <w:i/>
          <w:iCs/>
          <w:sz w:val="24"/>
          <w:szCs w:val="24"/>
        </w:rPr>
        <w:t>overage (UHC) service coverage index</w:t>
      </w:r>
    </w:p>
    <w:p w14:paraId="6C5057D1" w14:textId="77777777" w:rsidR="0087794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6145D2C0" w14:textId="77777777" w:rsidR="00E05F40" w:rsidRPr="00E05F40" w:rsidRDefault="00E05F40" w:rsidP="00E05F40">
      <w:pPr>
        <w:autoSpaceDE w:val="0"/>
        <w:autoSpaceDN w:val="0"/>
        <w:bidi w:val="0"/>
        <w:adjustRightInd w:val="0"/>
        <w:spacing w:after="0" w:line="240" w:lineRule="auto"/>
        <w:jc w:val="both"/>
        <w:rPr>
          <w:rFonts w:asciiTheme="majorBidi" w:hAnsiTheme="majorBidi" w:cstheme="majorBidi"/>
          <w:sz w:val="24"/>
          <w:szCs w:val="24"/>
        </w:rPr>
      </w:pPr>
      <w:r w:rsidRPr="00E05F40">
        <w:rPr>
          <w:rFonts w:asciiTheme="majorBidi" w:hAnsiTheme="majorBidi" w:cstheme="majorBidi"/>
          <w:sz w:val="24"/>
          <w:szCs w:val="24"/>
        </w:rPr>
        <w:t xml:space="preserve">The </w:t>
      </w:r>
      <w:r w:rsidRPr="000B7CBF">
        <w:rPr>
          <w:rFonts w:asciiTheme="majorBidi" w:hAnsiTheme="majorBidi" w:cstheme="majorBidi"/>
          <w:sz w:val="24"/>
          <w:szCs w:val="24"/>
        </w:rPr>
        <w:t xml:space="preserve">Universal health </w:t>
      </w:r>
      <w:r w:rsidR="00AC2E62" w:rsidRPr="000B7CBF">
        <w:rPr>
          <w:rFonts w:asciiTheme="majorBidi" w:hAnsiTheme="majorBidi" w:cstheme="majorBidi"/>
          <w:sz w:val="24"/>
          <w:szCs w:val="24"/>
        </w:rPr>
        <w:t>coverage service</w:t>
      </w:r>
      <w:r w:rsidRPr="000B7CBF">
        <w:rPr>
          <w:rFonts w:asciiTheme="majorBidi" w:hAnsiTheme="majorBidi" w:cstheme="majorBidi"/>
          <w:sz w:val="24"/>
          <w:szCs w:val="24"/>
        </w:rPr>
        <w:t xml:space="preserve"> coverage index</w:t>
      </w:r>
      <w:r w:rsidRPr="00E05F40">
        <w:rPr>
          <w:rFonts w:asciiTheme="majorBidi" w:hAnsiTheme="majorBidi" w:cstheme="majorBidi"/>
          <w:sz w:val="24"/>
          <w:szCs w:val="24"/>
        </w:rPr>
        <w:t xml:space="preserve"> in 2017 </w:t>
      </w:r>
      <w:r w:rsidR="002F5DAD">
        <w:rPr>
          <w:rFonts w:asciiTheme="majorBidi" w:hAnsiTheme="majorBidi" w:cstheme="majorBidi"/>
          <w:sz w:val="24"/>
          <w:szCs w:val="24"/>
        </w:rPr>
        <w:t>reached</w:t>
      </w:r>
      <w:r w:rsidRPr="00E05F40">
        <w:rPr>
          <w:rFonts w:asciiTheme="majorBidi" w:hAnsiTheme="majorBidi" w:cstheme="majorBidi"/>
          <w:sz w:val="24"/>
          <w:szCs w:val="24"/>
        </w:rPr>
        <w:t xml:space="preserve"> 69, while its value for 2019 decreased to 65.</w:t>
      </w:r>
    </w:p>
    <w:p w14:paraId="4EB30A42" w14:textId="77777777" w:rsidR="003D1191" w:rsidRDefault="003D1191" w:rsidP="003D1191">
      <w:pPr>
        <w:autoSpaceDE w:val="0"/>
        <w:autoSpaceDN w:val="0"/>
        <w:bidi w:val="0"/>
        <w:adjustRightInd w:val="0"/>
        <w:spacing w:after="0" w:line="240" w:lineRule="auto"/>
        <w:jc w:val="both"/>
        <w:rPr>
          <w:rFonts w:ascii="Times New Roman" w:hAnsi="Times New Roman" w:cs="Times New Roman"/>
          <w:b/>
          <w:bCs/>
          <w:i/>
          <w:iCs/>
          <w:sz w:val="24"/>
          <w:szCs w:val="24"/>
        </w:rPr>
      </w:pPr>
    </w:p>
    <w:p w14:paraId="459D5F24" w14:textId="77777777" w:rsidR="004A60FC" w:rsidRPr="00165A9F" w:rsidRDefault="001A3F73" w:rsidP="00E40C05">
      <w:pPr>
        <w:autoSpaceDE w:val="0"/>
        <w:autoSpaceDN w:val="0"/>
        <w:bidi w:val="0"/>
        <w:adjustRightInd w:val="0"/>
        <w:spacing w:after="0" w:line="240" w:lineRule="auto"/>
        <w:jc w:val="center"/>
        <w:rPr>
          <w:rFonts w:asciiTheme="minorBidi" w:hAnsiTheme="minorBidi" w:cstheme="minorBidi"/>
          <w:b/>
          <w:bCs/>
          <w:i/>
          <w:iCs/>
        </w:rPr>
      </w:pPr>
      <w:r w:rsidRPr="00165A9F">
        <w:rPr>
          <w:rFonts w:asciiTheme="minorBidi" w:hAnsiTheme="minorBidi" w:cstheme="minorBidi"/>
          <w:b/>
          <w:bCs/>
          <w:i/>
          <w:iCs/>
        </w:rPr>
        <w:t xml:space="preserve">Universal </w:t>
      </w:r>
      <w:r w:rsidR="00E40C05">
        <w:rPr>
          <w:rFonts w:asciiTheme="minorBidi" w:hAnsiTheme="minorBidi" w:cstheme="minorBidi"/>
          <w:b/>
          <w:bCs/>
          <w:i/>
          <w:iCs/>
        </w:rPr>
        <w:t>H</w:t>
      </w:r>
      <w:r w:rsidRPr="00165A9F">
        <w:rPr>
          <w:rFonts w:asciiTheme="minorBidi" w:hAnsiTheme="minorBidi" w:cstheme="minorBidi"/>
          <w:b/>
          <w:bCs/>
          <w:i/>
          <w:iCs/>
        </w:rPr>
        <w:t xml:space="preserve">ealth </w:t>
      </w:r>
      <w:r w:rsidR="00E40C05">
        <w:rPr>
          <w:rFonts w:asciiTheme="minorBidi" w:hAnsiTheme="minorBidi" w:cstheme="minorBidi"/>
          <w:b/>
          <w:bCs/>
          <w:i/>
          <w:iCs/>
        </w:rPr>
        <w:t>C</w:t>
      </w:r>
      <w:r w:rsidRPr="00165A9F">
        <w:rPr>
          <w:rFonts w:asciiTheme="minorBidi" w:hAnsiTheme="minorBidi" w:cstheme="minorBidi"/>
          <w:b/>
          <w:bCs/>
          <w:i/>
          <w:iCs/>
        </w:rPr>
        <w:t xml:space="preserve">overage (UHC) </w:t>
      </w:r>
      <w:r w:rsidR="00E40C05">
        <w:rPr>
          <w:rFonts w:asciiTheme="minorBidi" w:hAnsiTheme="minorBidi" w:cstheme="minorBidi"/>
          <w:b/>
          <w:bCs/>
          <w:i/>
          <w:iCs/>
        </w:rPr>
        <w:t>S</w:t>
      </w:r>
      <w:r w:rsidRPr="00165A9F">
        <w:rPr>
          <w:rFonts w:asciiTheme="minorBidi" w:hAnsiTheme="minorBidi" w:cstheme="minorBidi"/>
          <w:b/>
          <w:bCs/>
          <w:i/>
          <w:iCs/>
        </w:rPr>
        <w:t xml:space="preserve">ervice </w:t>
      </w:r>
      <w:r w:rsidR="00E40C05">
        <w:rPr>
          <w:rFonts w:asciiTheme="minorBidi" w:hAnsiTheme="minorBidi" w:cstheme="minorBidi"/>
          <w:b/>
          <w:bCs/>
          <w:i/>
          <w:iCs/>
        </w:rPr>
        <w:t>C</w:t>
      </w:r>
      <w:r w:rsidRPr="00165A9F">
        <w:rPr>
          <w:rFonts w:asciiTheme="minorBidi" w:hAnsiTheme="minorBidi" w:cstheme="minorBidi"/>
          <w:b/>
          <w:bCs/>
          <w:i/>
          <w:iCs/>
        </w:rPr>
        <w:t xml:space="preserve">overage </w:t>
      </w:r>
      <w:r w:rsidR="00E40C05">
        <w:rPr>
          <w:rFonts w:asciiTheme="minorBidi" w:hAnsiTheme="minorBidi" w:cstheme="minorBidi"/>
          <w:b/>
          <w:bCs/>
          <w:i/>
          <w:iCs/>
        </w:rPr>
        <w:t>I</w:t>
      </w:r>
      <w:r w:rsidRPr="00165A9F">
        <w:rPr>
          <w:rFonts w:asciiTheme="minorBidi" w:hAnsiTheme="minorBidi" w:cstheme="minorBidi"/>
          <w:b/>
          <w:bCs/>
          <w:i/>
          <w:iCs/>
        </w:rPr>
        <w:t>ndex</w:t>
      </w:r>
      <w:r w:rsidR="00165A9F" w:rsidRPr="00165A9F">
        <w:rPr>
          <w:rFonts w:asciiTheme="minorBidi" w:hAnsiTheme="minorBidi" w:cstheme="minorBidi"/>
          <w:b/>
          <w:bCs/>
          <w:i/>
          <w:iCs/>
        </w:rPr>
        <w:t xml:space="preserve"> for </w:t>
      </w:r>
      <w:r w:rsidR="00E40C05">
        <w:rPr>
          <w:rFonts w:asciiTheme="minorBidi" w:hAnsiTheme="minorBidi" w:cstheme="minorBidi"/>
          <w:b/>
          <w:bCs/>
          <w:i/>
          <w:iCs/>
        </w:rPr>
        <w:t>S</w:t>
      </w:r>
      <w:r w:rsidR="00165A9F" w:rsidRPr="00165A9F">
        <w:rPr>
          <w:rFonts w:asciiTheme="minorBidi" w:hAnsiTheme="minorBidi" w:cstheme="minorBidi"/>
          <w:b/>
          <w:bCs/>
          <w:i/>
          <w:iCs/>
        </w:rPr>
        <w:t xml:space="preserve">elected </w:t>
      </w:r>
      <w:r w:rsidR="00E40C05">
        <w:rPr>
          <w:rFonts w:asciiTheme="minorBidi" w:hAnsiTheme="minorBidi" w:cstheme="minorBidi"/>
          <w:b/>
          <w:bCs/>
          <w:i/>
          <w:iCs/>
        </w:rPr>
        <w:t>Y</w:t>
      </w:r>
      <w:r w:rsidR="00165A9F" w:rsidRPr="00165A9F">
        <w:rPr>
          <w:rFonts w:asciiTheme="minorBidi" w:hAnsiTheme="minorBidi" w:cstheme="minorBidi"/>
          <w:b/>
          <w:bCs/>
          <w:i/>
          <w:iCs/>
        </w:rPr>
        <w:t>ears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021"/>
      </w:tblGrid>
      <w:tr w:rsidR="004A60FC" w14:paraId="5F975BF4" w14:textId="77777777" w:rsidTr="00E6392C">
        <w:trPr>
          <w:trHeight w:val="2765"/>
        </w:trPr>
        <w:tc>
          <w:tcPr>
            <w:tcW w:w="8535" w:type="dxa"/>
          </w:tcPr>
          <w:p w14:paraId="4157C7C3" w14:textId="77777777" w:rsidR="004A60FC" w:rsidRDefault="004A60FC" w:rsidP="004A60FC">
            <w:pPr>
              <w:autoSpaceDE w:val="0"/>
              <w:autoSpaceDN w:val="0"/>
              <w:bidi w:val="0"/>
              <w:adjustRightInd w:val="0"/>
              <w:spacing w:after="0" w:line="240" w:lineRule="auto"/>
              <w:jc w:val="both"/>
              <w:rPr>
                <w:rFonts w:ascii="Times New Roman" w:hAnsi="Times New Roman" w:cs="Times New Roman"/>
                <w:b/>
                <w:bCs/>
                <w:i/>
                <w:iCs/>
                <w:sz w:val="24"/>
                <w:szCs w:val="24"/>
              </w:rPr>
            </w:pPr>
            <w:r>
              <w:rPr>
                <w:noProof/>
              </w:rPr>
              <w:drawing>
                <wp:inline distT="0" distB="0" distL="0" distR="0" wp14:anchorId="73DCFC9C" wp14:editId="7FD3EE4B">
                  <wp:extent cx="5591175" cy="2152650"/>
                  <wp:effectExtent l="0" t="0" r="0" b="0"/>
                  <wp:docPr id="2"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165A9F" w14:paraId="06550D02" w14:textId="77777777" w:rsidTr="00E6392C">
        <w:trPr>
          <w:trHeight w:val="73"/>
        </w:trPr>
        <w:tc>
          <w:tcPr>
            <w:tcW w:w="8535" w:type="dxa"/>
          </w:tcPr>
          <w:p w14:paraId="4CAF90DB" w14:textId="77777777" w:rsidR="00165A9F" w:rsidRDefault="00165A9F" w:rsidP="004A60FC">
            <w:pPr>
              <w:autoSpaceDE w:val="0"/>
              <w:autoSpaceDN w:val="0"/>
              <w:bidi w:val="0"/>
              <w:adjustRightInd w:val="0"/>
              <w:spacing w:after="0" w:line="240" w:lineRule="auto"/>
              <w:jc w:val="both"/>
              <w:rPr>
                <w:noProof/>
              </w:rPr>
            </w:pPr>
          </w:p>
        </w:tc>
      </w:tr>
    </w:tbl>
    <w:p w14:paraId="07E0CB57" w14:textId="77777777" w:rsidR="00165A9F" w:rsidRPr="00922F28" w:rsidRDefault="00165A9F" w:rsidP="00E6392C">
      <w:pPr>
        <w:bidi w:val="0"/>
        <w:spacing w:after="0" w:line="240" w:lineRule="auto"/>
        <w:rPr>
          <w:rFonts w:ascii="Arial" w:hAnsi="Arial"/>
          <w:sz w:val="18"/>
          <w:szCs w:val="18"/>
        </w:rPr>
      </w:pPr>
      <w:r w:rsidRPr="00922F28">
        <w:rPr>
          <w:rFonts w:ascii="Arial" w:hAnsi="Arial"/>
          <w:b/>
          <w:bCs/>
          <w:sz w:val="18"/>
          <w:szCs w:val="18"/>
        </w:rPr>
        <w:t xml:space="preserve">Source: </w:t>
      </w:r>
      <w:r w:rsidRPr="00165A9F">
        <w:rPr>
          <w:rFonts w:ascii="Arial" w:hAnsi="Arial"/>
          <w:b/>
          <w:bCs/>
          <w:sz w:val="18"/>
          <w:szCs w:val="18"/>
        </w:rPr>
        <w:t>World Health Organization (WHO)</w:t>
      </w:r>
      <w:r w:rsidRPr="00922F28">
        <w:rPr>
          <w:rFonts w:ascii="Arial" w:hAnsi="Arial"/>
          <w:sz w:val="18"/>
          <w:szCs w:val="18"/>
        </w:rPr>
        <w:t xml:space="preserve">. Annual </w:t>
      </w:r>
      <w:r w:rsidR="002F5DAD">
        <w:rPr>
          <w:rFonts w:ascii="Arial" w:hAnsi="Arial"/>
          <w:sz w:val="18"/>
          <w:szCs w:val="18"/>
        </w:rPr>
        <w:t>R</w:t>
      </w:r>
      <w:r w:rsidRPr="00922F28">
        <w:rPr>
          <w:rFonts w:ascii="Arial" w:hAnsi="Arial"/>
          <w:sz w:val="18"/>
          <w:szCs w:val="18"/>
        </w:rPr>
        <w:t xml:space="preserve">eports </w:t>
      </w:r>
      <w:r>
        <w:rPr>
          <w:rFonts w:ascii="Arial" w:hAnsi="Arial"/>
          <w:sz w:val="18"/>
          <w:szCs w:val="18"/>
        </w:rPr>
        <w:t>2015,2017,2019</w:t>
      </w:r>
      <w:r w:rsidRPr="00922F28">
        <w:rPr>
          <w:rFonts w:ascii="Arial" w:hAnsi="Arial"/>
          <w:sz w:val="18"/>
          <w:szCs w:val="18"/>
        </w:rPr>
        <w:t xml:space="preserve">. </w:t>
      </w:r>
    </w:p>
    <w:p w14:paraId="55E57244" w14:textId="77777777" w:rsidR="00F36517" w:rsidRDefault="00F36517" w:rsidP="00F36517">
      <w:pPr>
        <w:autoSpaceDE w:val="0"/>
        <w:autoSpaceDN w:val="0"/>
        <w:bidi w:val="0"/>
        <w:adjustRightInd w:val="0"/>
        <w:spacing w:after="0" w:line="240" w:lineRule="auto"/>
        <w:jc w:val="both"/>
        <w:rPr>
          <w:rFonts w:ascii="Times New Roman" w:hAnsi="Times New Roman" w:cs="Times New Roman"/>
          <w:b/>
          <w:bCs/>
          <w:i/>
          <w:iCs/>
          <w:sz w:val="24"/>
          <w:szCs w:val="24"/>
        </w:rPr>
      </w:pPr>
    </w:p>
    <w:p w14:paraId="5E5D743E" w14:textId="77777777" w:rsidR="000C41A0" w:rsidRDefault="00911487" w:rsidP="00F36517">
      <w:pPr>
        <w:autoSpaceDE w:val="0"/>
        <w:autoSpaceDN w:val="0"/>
        <w:bidi w:val="0"/>
        <w:adjustRightInd w:val="0"/>
        <w:spacing w:after="0" w:line="240" w:lineRule="auto"/>
        <w:jc w:val="both"/>
        <w:rPr>
          <w:rFonts w:ascii="Times New Roman" w:hAnsi="Times New Roman" w:cs="Times New Roman"/>
          <w:b/>
          <w:bCs/>
          <w:i/>
          <w:iCs/>
          <w:sz w:val="24"/>
          <w:szCs w:val="24"/>
        </w:rPr>
      </w:pPr>
      <w:r w:rsidRPr="00E02452">
        <w:rPr>
          <w:rFonts w:ascii="Times New Roman" w:hAnsi="Times New Roman" w:cs="Times New Roman"/>
          <w:b/>
          <w:bCs/>
          <w:i/>
          <w:iCs/>
          <w:sz w:val="24"/>
          <w:szCs w:val="24"/>
        </w:rPr>
        <w:t>Indicator 3.8.2 Proportion of population with large household expenditures on health as a share of total household expenditure or income</w:t>
      </w:r>
    </w:p>
    <w:p w14:paraId="42414AAF" w14:textId="77777777" w:rsidR="003D1191" w:rsidRPr="00E02452" w:rsidRDefault="003D1191" w:rsidP="000C41A0">
      <w:pPr>
        <w:autoSpaceDE w:val="0"/>
        <w:autoSpaceDN w:val="0"/>
        <w:bidi w:val="0"/>
        <w:adjustRightInd w:val="0"/>
        <w:spacing w:after="0" w:line="240" w:lineRule="auto"/>
        <w:jc w:val="both"/>
        <w:rPr>
          <w:rFonts w:ascii="Times New Roman" w:hAnsi="Times New Roman" w:cs="Times New Roman"/>
          <w:b/>
          <w:bCs/>
          <w:i/>
          <w:iCs/>
          <w:sz w:val="24"/>
          <w:szCs w:val="24"/>
        </w:rPr>
      </w:pPr>
    </w:p>
    <w:p w14:paraId="5DDB0572" w14:textId="77777777" w:rsidR="003F0AD8" w:rsidRPr="003F0AD8" w:rsidRDefault="002F5DAD" w:rsidP="00E40C05">
      <w:pPr>
        <w:autoSpaceDE w:val="0"/>
        <w:autoSpaceDN w:val="0"/>
        <w:bidi w:val="0"/>
        <w:adjustRightInd w:val="0"/>
        <w:spacing w:after="0" w:line="240" w:lineRule="auto"/>
        <w:jc w:val="both"/>
        <w:rPr>
          <w:rFonts w:asciiTheme="majorBidi" w:hAnsiTheme="majorBidi" w:cstheme="majorBidi"/>
          <w:sz w:val="24"/>
          <w:szCs w:val="24"/>
        </w:rPr>
      </w:pPr>
      <w:r>
        <w:rPr>
          <w:rFonts w:asciiTheme="majorBidi" w:hAnsiTheme="majorBidi" w:cstheme="majorBidi"/>
          <w:sz w:val="24"/>
          <w:szCs w:val="24"/>
        </w:rPr>
        <w:t>The p</w:t>
      </w:r>
      <w:r w:rsidR="003F0AD8" w:rsidRPr="00611C35">
        <w:rPr>
          <w:rFonts w:asciiTheme="majorBidi" w:hAnsiTheme="majorBidi" w:cstheme="majorBidi"/>
          <w:sz w:val="24"/>
          <w:szCs w:val="24"/>
        </w:rPr>
        <w:t xml:space="preserve">roportion of population with large household </w:t>
      </w:r>
      <w:r w:rsidR="00AE7750">
        <w:rPr>
          <w:rFonts w:asciiTheme="majorBidi" w:hAnsiTheme="majorBidi" w:cstheme="majorBidi"/>
          <w:sz w:val="24"/>
          <w:szCs w:val="24"/>
        </w:rPr>
        <w:t xml:space="preserve">health </w:t>
      </w:r>
      <w:r w:rsidR="003F0AD8" w:rsidRPr="00611C35">
        <w:rPr>
          <w:rFonts w:asciiTheme="majorBidi" w:hAnsiTheme="majorBidi" w:cstheme="majorBidi"/>
          <w:sz w:val="24"/>
          <w:szCs w:val="24"/>
        </w:rPr>
        <w:t xml:space="preserve">expenditures </w:t>
      </w:r>
      <w:r w:rsidR="00AE7750">
        <w:rPr>
          <w:rFonts w:asciiTheme="majorBidi" w:hAnsiTheme="majorBidi" w:cstheme="majorBidi"/>
          <w:sz w:val="24"/>
          <w:szCs w:val="24"/>
        </w:rPr>
        <w:t xml:space="preserve">reaching </w:t>
      </w:r>
      <w:r w:rsidR="00AC2E62" w:rsidRPr="00611C35">
        <w:rPr>
          <w:rFonts w:asciiTheme="majorBidi" w:hAnsiTheme="majorBidi" w:cstheme="majorBidi"/>
          <w:sz w:val="24"/>
          <w:szCs w:val="24"/>
        </w:rPr>
        <w:t>more</w:t>
      </w:r>
      <w:r w:rsidR="003F0AD8" w:rsidRPr="00611C35">
        <w:rPr>
          <w:rFonts w:asciiTheme="majorBidi" w:hAnsiTheme="majorBidi" w:cstheme="majorBidi"/>
          <w:sz w:val="24"/>
          <w:szCs w:val="24"/>
        </w:rPr>
        <w:t xml:space="preserve"> than 10% of total </w:t>
      </w:r>
      <w:r w:rsidR="00086577" w:rsidRPr="00611C35">
        <w:rPr>
          <w:rFonts w:asciiTheme="majorBidi" w:hAnsiTheme="majorBidi" w:cstheme="majorBidi"/>
          <w:sz w:val="24"/>
          <w:szCs w:val="24"/>
        </w:rPr>
        <w:t>e</w:t>
      </w:r>
      <w:r w:rsidR="003F0AD8" w:rsidRPr="00611C35">
        <w:rPr>
          <w:rFonts w:asciiTheme="majorBidi" w:hAnsiTheme="majorBidi" w:cstheme="majorBidi"/>
          <w:sz w:val="24"/>
          <w:szCs w:val="24"/>
        </w:rPr>
        <w:t>xpenditure</w:t>
      </w:r>
      <w:r w:rsidR="00794CA0">
        <w:rPr>
          <w:rFonts w:asciiTheme="majorBidi" w:hAnsiTheme="majorBidi" w:cstheme="majorBidi"/>
          <w:sz w:val="24"/>
          <w:szCs w:val="24"/>
        </w:rPr>
        <w:t>s</w:t>
      </w:r>
      <w:r w:rsidR="003F0AD8" w:rsidRPr="00611C35">
        <w:rPr>
          <w:rFonts w:asciiTheme="majorBidi" w:hAnsiTheme="majorBidi" w:cstheme="majorBidi"/>
          <w:sz w:val="24"/>
          <w:szCs w:val="24"/>
        </w:rPr>
        <w:t xml:space="preserve"> in 2017</w:t>
      </w:r>
      <w:r w:rsidR="00086577" w:rsidRPr="00611C35">
        <w:rPr>
          <w:rFonts w:asciiTheme="majorBidi" w:hAnsiTheme="majorBidi" w:cstheme="majorBidi"/>
          <w:sz w:val="24"/>
          <w:szCs w:val="24"/>
        </w:rPr>
        <w:t xml:space="preserve"> was 9.0% while </w:t>
      </w:r>
      <w:r w:rsidR="00AE7750">
        <w:rPr>
          <w:rFonts w:asciiTheme="majorBidi" w:hAnsiTheme="majorBidi" w:cstheme="majorBidi"/>
          <w:sz w:val="24"/>
          <w:szCs w:val="24"/>
        </w:rPr>
        <w:t xml:space="preserve">health expenditures reaching </w:t>
      </w:r>
      <w:r w:rsidR="00086577" w:rsidRPr="00611C35">
        <w:rPr>
          <w:rFonts w:asciiTheme="majorBidi" w:hAnsiTheme="majorBidi" w:cstheme="majorBidi"/>
          <w:sz w:val="24"/>
          <w:szCs w:val="24"/>
        </w:rPr>
        <w:t>more than 25% of total expenditure</w:t>
      </w:r>
      <w:r w:rsidR="00794CA0">
        <w:rPr>
          <w:rFonts w:asciiTheme="majorBidi" w:hAnsiTheme="majorBidi" w:cstheme="majorBidi"/>
          <w:sz w:val="24"/>
          <w:szCs w:val="24"/>
        </w:rPr>
        <w:t>sreached</w:t>
      </w:r>
      <w:r w:rsidR="00086577" w:rsidRPr="00611C35">
        <w:rPr>
          <w:rFonts w:asciiTheme="majorBidi" w:hAnsiTheme="majorBidi" w:cstheme="majorBidi"/>
          <w:sz w:val="24"/>
          <w:szCs w:val="24"/>
        </w:rPr>
        <w:t xml:space="preserve"> 1.5%.</w:t>
      </w:r>
    </w:p>
    <w:p w14:paraId="366CD981" w14:textId="77777777" w:rsidR="00F36517" w:rsidRDefault="00F36517" w:rsidP="00F36517">
      <w:pPr>
        <w:autoSpaceDE w:val="0"/>
        <w:autoSpaceDN w:val="0"/>
        <w:bidi w:val="0"/>
        <w:adjustRightInd w:val="0"/>
        <w:spacing w:after="0" w:line="240" w:lineRule="auto"/>
        <w:jc w:val="both"/>
        <w:rPr>
          <w:rFonts w:ascii="Times New Roman" w:hAnsi="Times New Roman" w:cs="Times New Roman"/>
          <w:b/>
          <w:bCs/>
          <w:sz w:val="24"/>
          <w:szCs w:val="24"/>
        </w:rPr>
      </w:pPr>
    </w:p>
    <w:p w14:paraId="08E103B5" w14:textId="77777777" w:rsidR="00F36517" w:rsidRDefault="00F36517" w:rsidP="00F36517">
      <w:pPr>
        <w:autoSpaceDE w:val="0"/>
        <w:autoSpaceDN w:val="0"/>
        <w:bidi w:val="0"/>
        <w:adjustRightInd w:val="0"/>
        <w:spacing w:after="0" w:line="240" w:lineRule="auto"/>
        <w:jc w:val="both"/>
        <w:rPr>
          <w:rFonts w:ascii="Times New Roman" w:hAnsi="Times New Roman" w:cs="Times New Roman"/>
          <w:b/>
          <w:bCs/>
          <w:sz w:val="24"/>
          <w:szCs w:val="24"/>
        </w:rPr>
      </w:pPr>
    </w:p>
    <w:p w14:paraId="3B57E210" w14:textId="77777777" w:rsidR="00F36517" w:rsidRDefault="00F36517" w:rsidP="00F36517">
      <w:pPr>
        <w:autoSpaceDE w:val="0"/>
        <w:autoSpaceDN w:val="0"/>
        <w:bidi w:val="0"/>
        <w:adjustRightInd w:val="0"/>
        <w:spacing w:after="0" w:line="240" w:lineRule="auto"/>
        <w:jc w:val="both"/>
        <w:rPr>
          <w:rFonts w:asciiTheme="majorBidi" w:hAnsiTheme="majorBidi" w:cstheme="majorBidi"/>
          <w:b/>
          <w:i/>
          <w:iCs/>
          <w:color w:val="777777"/>
          <w:sz w:val="24"/>
          <w:szCs w:val="24"/>
          <w:shd w:val="clear" w:color="auto" w:fill="F5F5F5"/>
        </w:rPr>
      </w:pPr>
      <w:r w:rsidRPr="00F36517">
        <w:rPr>
          <w:rFonts w:asciiTheme="majorBidi" w:hAnsiTheme="majorBidi" w:cstheme="majorBidi"/>
          <w:b/>
          <w:i/>
          <w:iCs/>
          <w:sz w:val="24"/>
          <w:szCs w:val="24"/>
        </w:rPr>
        <w:lastRenderedPageBreak/>
        <w:t>Indicator 3.a.1 Age-standardized prevalence of current tobacco use among persons aged 15 years and older</w:t>
      </w:r>
      <w:r w:rsidRPr="00F36517">
        <w:rPr>
          <w:rFonts w:asciiTheme="majorBidi" w:hAnsiTheme="majorBidi" w:cstheme="majorBidi"/>
          <w:b/>
          <w:i/>
          <w:iCs/>
          <w:color w:val="777777"/>
          <w:sz w:val="24"/>
          <w:szCs w:val="24"/>
          <w:shd w:val="clear" w:color="auto" w:fill="F5F5F5"/>
        </w:rPr>
        <w:t> </w:t>
      </w:r>
    </w:p>
    <w:p w14:paraId="35885934" w14:textId="77777777" w:rsidR="00877949" w:rsidRPr="003A32B8" w:rsidRDefault="00877949" w:rsidP="00877949">
      <w:pPr>
        <w:autoSpaceDE w:val="0"/>
        <w:autoSpaceDN w:val="0"/>
        <w:bidi w:val="0"/>
        <w:adjustRightInd w:val="0"/>
        <w:spacing w:after="0" w:line="240" w:lineRule="auto"/>
        <w:jc w:val="both"/>
        <w:rPr>
          <w:rFonts w:asciiTheme="majorBidi" w:hAnsiTheme="majorBidi" w:cstheme="majorBidi"/>
          <w:b/>
          <w:i/>
          <w:iCs/>
          <w:sz w:val="20"/>
          <w:szCs w:val="20"/>
        </w:rPr>
      </w:pPr>
    </w:p>
    <w:p w14:paraId="4AD2EE1E" w14:textId="610E2FAE" w:rsidR="00903782" w:rsidRPr="00903782" w:rsidRDefault="00903782" w:rsidP="00B060FF">
      <w:pPr>
        <w:autoSpaceDE w:val="0"/>
        <w:autoSpaceDN w:val="0"/>
        <w:bidi w:val="0"/>
        <w:adjustRightInd w:val="0"/>
        <w:spacing w:after="0" w:line="240" w:lineRule="auto"/>
        <w:jc w:val="both"/>
        <w:rPr>
          <w:rFonts w:asciiTheme="majorBidi" w:hAnsiTheme="majorBidi" w:cstheme="majorBidi"/>
          <w:bCs/>
          <w:sz w:val="36"/>
          <w:szCs w:val="36"/>
        </w:rPr>
      </w:pPr>
      <w:r w:rsidRPr="00903782">
        <w:rPr>
          <w:rFonts w:asciiTheme="majorBidi" w:hAnsiTheme="majorBidi" w:cstheme="majorBidi"/>
          <w:bCs/>
          <w:sz w:val="24"/>
          <w:szCs w:val="24"/>
        </w:rPr>
        <w:t>Age-standardized prevalence of current tobacco use among persons</w:t>
      </w:r>
      <w:r w:rsidR="00FF756E">
        <w:rPr>
          <w:rFonts w:asciiTheme="majorBidi" w:hAnsiTheme="majorBidi" w:cstheme="majorBidi"/>
          <w:bCs/>
          <w:sz w:val="24"/>
          <w:szCs w:val="24"/>
        </w:rPr>
        <w:t xml:space="preserve"> aged </w:t>
      </w:r>
      <w:r w:rsidR="00E0117C">
        <w:rPr>
          <w:rFonts w:asciiTheme="majorBidi" w:hAnsiTheme="majorBidi" w:cstheme="majorBidi"/>
          <w:bCs/>
          <w:sz w:val="24"/>
          <w:szCs w:val="24"/>
        </w:rPr>
        <w:t xml:space="preserve">15 </w:t>
      </w:r>
      <w:r w:rsidR="00FF756E">
        <w:rPr>
          <w:rFonts w:asciiTheme="majorBidi" w:hAnsiTheme="majorBidi" w:cstheme="majorBidi"/>
          <w:bCs/>
          <w:sz w:val="24"/>
          <w:szCs w:val="24"/>
        </w:rPr>
        <w:t>years and older</w:t>
      </w:r>
      <w:r w:rsidR="00AC7287">
        <w:rPr>
          <w:rFonts w:asciiTheme="majorBidi" w:hAnsiTheme="majorBidi" w:cstheme="majorBidi"/>
          <w:bCs/>
          <w:sz w:val="24"/>
          <w:szCs w:val="24"/>
        </w:rPr>
        <w:t xml:space="preserve"> </w:t>
      </w:r>
      <w:r>
        <w:rPr>
          <w:rFonts w:asciiTheme="majorBidi" w:hAnsiTheme="majorBidi" w:cstheme="majorBidi"/>
          <w:bCs/>
          <w:sz w:val="24"/>
          <w:szCs w:val="24"/>
        </w:rPr>
        <w:t xml:space="preserve">was </w:t>
      </w:r>
      <w:r w:rsidR="00B060FF">
        <w:rPr>
          <w:rFonts w:asciiTheme="majorBidi" w:hAnsiTheme="majorBidi" w:cstheme="majorBidi"/>
          <w:bCs/>
          <w:sz w:val="24"/>
          <w:szCs w:val="24"/>
        </w:rPr>
        <w:t>24.3</w:t>
      </w:r>
      <w:r>
        <w:rPr>
          <w:rFonts w:asciiTheme="majorBidi" w:hAnsiTheme="majorBidi" w:cstheme="majorBidi"/>
          <w:bCs/>
          <w:sz w:val="24"/>
          <w:szCs w:val="24"/>
        </w:rPr>
        <w:t xml:space="preserve">% </w:t>
      </w:r>
      <w:r w:rsidR="00FF756E">
        <w:rPr>
          <w:rFonts w:asciiTheme="majorBidi" w:hAnsiTheme="majorBidi" w:cstheme="majorBidi"/>
          <w:bCs/>
          <w:sz w:val="24"/>
          <w:szCs w:val="24"/>
        </w:rPr>
        <w:t xml:space="preserve">in </w:t>
      </w:r>
      <w:r w:rsidR="00B060FF">
        <w:rPr>
          <w:rFonts w:asciiTheme="majorBidi" w:hAnsiTheme="majorBidi" w:cstheme="majorBidi"/>
          <w:bCs/>
          <w:sz w:val="24"/>
          <w:szCs w:val="24"/>
        </w:rPr>
        <w:t>2020</w:t>
      </w:r>
      <w:r w:rsidR="00FF756E">
        <w:rPr>
          <w:rFonts w:asciiTheme="majorBidi" w:hAnsiTheme="majorBidi" w:cstheme="majorBidi"/>
          <w:bCs/>
          <w:sz w:val="24"/>
          <w:szCs w:val="24"/>
        </w:rPr>
        <w:t xml:space="preserve">, while it </w:t>
      </w:r>
      <w:r w:rsidR="00B060FF">
        <w:rPr>
          <w:rFonts w:asciiTheme="majorBidi" w:hAnsiTheme="majorBidi" w:cstheme="majorBidi"/>
          <w:bCs/>
          <w:sz w:val="24"/>
          <w:szCs w:val="24"/>
        </w:rPr>
        <w:t>increased</w:t>
      </w:r>
      <w:r w:rsidR="00AC7287">
        <w:rPr>
          <w:rFonts w:asciiTheme="majorBidi" w:hAnsiTheme="majorBidi" w:cstheme="majorBidi"/>
          <w:bCs/>
          <w:sz w:val="24"/>
          <w:szCs w:val="24"/>
        </w:rPr>
        <w:t xml:space="preserve"> </w:t>
      </w:r>
      <w:r w:rsidR="00FF756E">
        <w:rPr>
          <w:rFonts w:asciiTheme="majorBidi" w:hAnsiTheme="majorBidi" w:cstheme="majorBidi"/>
          <w:bCs/>
          <w:sz w:val="24"/>
          <w:szCs w:val="24"/>
        </w:rPr>
        <w:t xml:space="preserve">to </w:t>
      </w:r>
      <w:r w:rsidR="00B060FF">
        <w:rPr>
          <w:rFonts w:asciiTheme="majorBidi" w:hAnsiTheme="majorBidi" w:cstheme="majorBidi"/>
          <w:bCs/>
          <w:sz w:val="24"/>
          <w:szCs w:val="24"/>
        </w:rPr>
        <w:t>31</w:t>
      </w:r>
      <w:r w:rsidR="00FF756E">
        <w:rPr>
          <w:rFonts w:asciiTheme="majorBidi" w:hAnsiTheme="majorBidi" w:cstheme="majorBidi"/>
          <w:bCs/>
          <w:sz w:val="24"/>
          <w:szCs w:val="24"/>
        </w:rPr>
        <w:t xml:space="preserve">.3% in </w:t>
      </w:r>
      <w:r w:rsidR="00B060FF">
        <w:rPr>
          <w:rFonts w:asciiTheme="majorBidi" w:hAnsiTheme="majorBidi" w:cstheme="majorBidi"/>
          <w:bCs/>
          <w:sz w:val="24"/>
          <w:szCs w:val="24"/>
        </w:rPr>
        <w:t>2021</w:t>
      </w:r>
      <w:r w:rsidR="00FF756E">
        <w:rPr>
          <w:rFonts w:asciiTheme="majorBidi" w:hAnsiTheme="majorBidi" w:cstheme="majorBidi"/>
          <w:bCs/>
          <w:sz w:val="24"/>
          <w:szCs w:val="24"/>
        </w:rPr>
        <w:t>.</w:t>
      </w:r>
    </w:p>
    <w:p w14:paraId="1905C0A7" w14:textId="77777777" w:rsidR="00F36517" w:rsidRDefault="00F36517" w:rsidP="00F36517">
      <w:pPr>
        <w:autoSpaceDE w:val="0"/>
        <w:autoSpaceDN w:val="0"/>
        <w:bidi w:val="0"/>
        <w:adjustRightInd w:val="0"/>
        <w:spacing w:after="0" w:line="240" w:lineRule="auto"/>
        <w:jc w:val="both"/>
        <w:rPr>
          <w:rFonts w:ascii="Times New Roman" w:hAnsi="Times New Roman" w:cs="Times New Roman"/>
          <w:b/>
          <w:bCs/>
          <w:sz w:val="24"/>
          <w:szCs w:val="24"/>
        </w:rPr>
      </w:pPr>
    </w:p>
    <w:p w14:paraId="0CBC92A6" w14:textId="77777777" w:rsidR="006C1F7A" w:rsidRDefault="00086577" w:rsidP="00F36517">
      <w:pPr>
        <w:autoSpaceDE w:val="0"/>
        <w:autoSpaceDN w:val="0"/>
        <w:bidi w:val="0"/>
        <w:adjustRightInd w:val="0"/>
        <w:spacing w:after="0" w:line="240" w:lineRule="auto"/>
        <w:jc w:val="both"/>
        <w:rPr>
          <w:rFonts w:ascii="Times New Roman" w:hAnsi="Times New Roman" w:cs="Times New Roman"/>
          <w:b/>
          <w:bCs/>
          <w:i/>
          <w:iCs/>
          <w:sz w:val="24"/>
          <w:szCs w:val="24"/>
        </w:rPr>
      </w:pPr>
      <w:r w:rsidRPr="00E02452">
        <w:rPr>
          <w:rFonts w:ascii="Times New Roman" w:hAnsi="Times New Roman" w:cs="Times New Roman"/>
          <w:b/>
          <w:bCs/>
          <w:i/>
          <w:iCs/>
          <w:sz w:val="24"/>
          <w:szCs w:val="24"/>
        </w:rPr>
        <w:t>Indicator 3.b.1 </w:t>
      </w:r>
      <w:r w:rsidR="006C1F7A" w:rsidRPr="00E02452">
        <w:rPr>
          <w:rFonts w:ascii="Times New Roman" w:hAnsi="Times New Roman" w:cs="Times New Roman"/>
          <w:b/>
          <w:bCs/>
          <w:i/>
          <w:iCs/>
          <w:sz w:val="24"/>
          <w:szCs w:val="24"/>
        </w:rPr>
        <w:t>Proportion of the target population covered by all vaccines included in their national programme</w:t>
      </w:r>
    </w:p>
    <w:p w14:paraId="3952A4D3" w14:textId="77777777" w:rsidR="000C41A0" w:rsidRPr="003A32B8" w:rsidRDefault="000C41A0" w:rsidP="000C41A0">
      <w:pPr>
        <w:autoSpaceDE w:val="0"/>
        <w:autoSpaceDN w:val="0"/>
        <w:bidi w:val="0"/>
        <w:adjustRightInd w:val="0"/>
        <w:spacing w:after="0" w:line="240" w:lineRule="auto"/>
        <w:jc w:val="both"/>
        <w:rPr>
          <w:rFonts w:ascii="Times New Roman" w:hAnsi="Times New Roman" w:cs="Times New Roman"/>
          <w:b/>
          <w:bCs/>
          <w:i/>
          <w:iCs/>
          <w:sz w:val="16"/>
          <w:szCs w:val="16"/>
        </w:rPr>
      </w:pPr>
    </w:p>
    <w:p w14:paraId="328A072C" w14:textId="77777777" w:rsidR="003D1191" w:rsidRPr="001D2257" w:rsidRDefault="001D2257" w:rsidP="001D2257">
      <w:pPr>
        <w:autoSpaceDE w:val="0"/>
        <w:autoSpaceDN w:val="0"/>
        <w:bidi w:val="0"/>
        <w:adjustRightInd w:val="0"/>
        <w:spacing w:after="0" w:line="240" w:lineRule="auto"/>
        <w:jc w:val="both"/>
        <w:rPr>
          <w:rFonts w:asciiTheme="majorBidi" w:hAnsiTheme="majorBidi" w:cstheme="majorBidi"/>
          <w:sz w:val="24"/>
          <w:szCs w:val="24"/>
        </w:rPr>
      </w:pPr>
      <w:r w:rsidRPr="00611C35">
        <w:rPr>
          <w:rFonts w:asciiTheme="majorBidi" w:hAnsiTheme="majorBidi" w:cstheme="majorBidi"/>
          <w:sz w:val="24"/>
          <w:szCs w:val="24"/>
        </w:rPr>
        <w:t xml:space="preserve">Percentage of children aged 12-23 months </w:t>
      </w:r>
      <w:r w:rsidR="00AE7750">
        <w:rPr>
          <w:rFonts w:asciiTheme="majorBidi" w:hAnsiTheme="majorBidi" w:cstheme="majorBidi"/>
          <w:sz w:val="24"/>
          <w:szCs w:val="24"/>
        </w:rPr>
        <w:t>that</w:t>
      </w:r>
      <w:r w:rsidRPr="00611C35">
        <w:rPr>
          <w:rFonts w:asciiTheme="majorBidi" w:hAnsiTheme="majorBidi" w:cstheme="majorBidi"/>
          <w:sz w:val="24"/>
          <w:szCs w:val="24"/>
        </w:rPr>
        <w:t xml:space="preserve"> received the third DTP </w:t>
      </w:r>
      <w:r w:rsidR="00AE7750">
        <w:rPr>
          <w:rFonts w:asciiTheme="majorBidi" w:hAnsiTheme="majorBidi" w:cstheme="majorBidi"/>
          <w:sz w:val="24"/>
          <w:szCs w:val="24"/>
        </w:rPr>
        <w:t xml:space="preserve">dose </w:t>
      </w:r>
      <w:r w:rsidRPr="00611C35">
        <w:rPr>
          <w:rFonts w:asciiTheme="majorBidi" w:hAnsiTheme="majorBidi" w:cstheme="majorBidi"/>
          <w:sz w:val="24"/>
          <w:szCs w:val="24"/>
        </w:rPr>
        <w:t xml:space="preserve">containing vaccine (DTP3) in 2019 was 94.6% and the </w:t>
      </w:r>
      <w:r w:rsidR="00AE7750">
        <w:rPr>
          <w:rFonts w:asciiTheme="majorBidi" w:hAnsiTheme="majorBidi" w:cstheme="majorBidi"/>
          <w:sz w:val="24"/>
          <w:szCs w:val="24"/>
        </w:rPr>
        <w:t>p</w:t>
      </w:r>
      <w:r w:rsidRPr="00611C35">
        <w:rPr>
          <w:rFonts w:asciiTheme="majorBidi" w:hAnsiTheme="majorBidi" w:cstheme="majorBidi"/>
          <w:sz w:val="24"/>
          <w:szCs w:val="24"/>
        </w:rPr>
        <w:t xml:space="preserve">ercentage of children </w:t>
      </w:r>
      <w:r w:rsidR="00AE7750">
        <w:rPr>
          <w:rFonts w:asciiTheme="majorBidi" w:hAnsiTheme="majorBidi" w:cstheme="majorBidi"/>
          <w:sz w:val="24"/>
          <w:szCs w:val="24"/>
        </w:rPr>
        <w:t>that</w:t>
      </w:r>
      <w:r w:rsidRPr="00611C35">
        <w:rPr>
          <w:rFonts w:asciiTheme="majorBidi" w:hAnsiTheme="majorBidi" w:cstheme="majorBidi"/>
          <w:sz w:val="24"/>
          <w:szCs w:val="24"/>
        </w:rPr>
        <w:t xml:space="preserve"> received the third dose of Pneumococcal (Conjugate) vaccine (PCV3) </w:t>
      </w:r>
      <w:r w:rsidR="00AE7750">
        <w:rPr>
          <w:rFonts w:asciiTheme="majorBidi" w:hAnsiTheme="majorBidi" w:cstheme="majorBidi"/>
          <w:sz w:val="24"/>
          <w:szCs w:val="24"/>
        </w:rPr>
        <w:t>reached</w:t>
      </w:r>
      <w:r w:rsidRPr="00611C35">
        <w:rPr>
          <w:rFonts w:asciiTheme="majorBidi" w:hAnsiTheme="majorBidi" w:cstheme="majorBidi"/>
          <w:sz w:val="24"/>
          <w:szCs w:val="24"/>
        </w:rPr>
        <w:t xml:space="preserve"> 91.7% in the same age group.</w:t>
      </w:r>
    </w:p>
    <w:p w14:paraId="7441F8A0" w14:textId="77777777" w:rsidR="003A4E27" w:rsidRDefault="003A4E27" w:rsidP="003A4E27">
      <w:pPr>
        <w:autoSpaceDE w:val="0"/>
        <w:autoSpaceDN w:val="0"/>
        <w:bidi w:val="0"/>
        <w:adjustRightInd w:val="0"/>
        <w:spacing w:after="0" w:line="240" w:lineRule="auto"/>
        <w:jc w:val="both"/>
        <w:rPr>
          <w:rFonts w:asciiTheme="majorBidi" w:hAnsiTheme="majorBidi" w:cstheme="majorBidi"/>
          <w:b/>
          <w:bCs/>
          <w:sz w:val="36"/>
          <w:szCs w:val="36"/>
        </w:rPr>
      </w:pPr>
    </w:p>
    <w:p w14:paraId="21EC0392" w14:textId="77777777" w:rsidR="003A4E27" w:rsidRPr="00802088" w:rsidRDefault="00A24644" w:rsidP="00E0117C">
      <w:pPr>
        <w:autoSpaceDE w:val="0"/>
        <w:autoSpaceDN w:val="0"/>
        <w:bidi w:val="0"/>
        <w:adjustRightInd w:val="0"/>
        <w:spacing w:after="0" w:line="240" w:lineRule="auto"/>
        <w:jc w:val="center"/>
        <w:rPr>
          <w:rFonts w:asciiTheme="minorBidi" w:hAnsiTheme="minorBidi" w:cstheme="minorBidi"/>
          <w:b/>
          <w:bCs/>
        </w:rPr>
      </w:pPr>
      <w:r w:rsidRPr="00802088">
        <w:rPr>
          <w:rFonts w:asciiTheme="minorBidi" w:hAnsiTheme="minorBidi" w:cstheme="minorBidi"/>
          <w:b/>
          <w:bCs/>
        </w:rPr>
        <w:t xml:space="preserve">Percentage of </w:t>
      </w:r>
      <w:r w:rsidR="00AE7750">
        <w:rPr>
          <w:rFonts w:asciiTheme="minorBidi" w:hAnsiTheme="minorBidi" w:cstheme="minorBidi"/>
          <w:b/>
          <w:bCs/>
        </w:rPr>
        <w:t>C</w:t>
      </w:r>
      <w:r w:rsidRPr="00802088">
        <w:rPr>
          <w:rFonts w:asciiTheme="minorBidi" w:hAnsiTheme="minorBidi" w:cstheme="minorBidi"/>
          <w:b/>
          <w:bCs/>
        </w:rPr>
        <w:t xml:space="preserve">hildren </w:t>
      </w:r>
      <w:r w:rsidR="00E0117C">
        <w:rPr>
          <w:rFonts w:asciiTheme="minorBidi" w:hAnsiTheme="minorBidi" w:cstheme="minorBidi"/>
          <w:b/>
          <w:bCs/>
        </w:rPr>
        <w:t>A</w:t>
      </w:r>
      <w:r w:rsidR="00E0117C" w:rsidRPr="00802088">
        <w:rPr>
          <w:rFonts w:asciiTheme="minorBidi" w:hAnsiTheme="minorBidi" w:cstheme="minorBidi"/>
          <w:b/>
          <w:bCs/>
        </w:rPr>
        <w:t xml:space="preserve">ged </w:t>
      </w:r>
      <w:r w:rsidRPr="00802088">
        <w:rPr>
          <w:rFonts w:asciiTheme="minorBidi" w:hAnsiTheme="minorBidi" w:cstheme="minorBidi"/>
          <w:b/>
          <w:bCs/>
        </w:rPr>
        <w:t xml:space="preserve">12-23 </w:t>
      </w:r>
      <w:r w:rsidR="00AE7750">
        <w:rPr>
          <w:rFonts w:asciiTheme="minorBidi" w:hAnsiTheme="minorBidi" w:cstheme="minorBidi"/>
          <w:b/>
          <w:bCs/>
        </w:rPr>
        <w:t>M</w:t>
      </w:r>
      <w:r w:rsidRPr="00802088">
        <w:rPr>
          <w:rFonts w:asciiTheme="minorBidi" w:hAnsiTheme="minorBidi" w:cstheme="minorBidi"/>
          <w:b/>
          <w:bCs/>
        </w:rPr>
        <w:t xml:space="preserve">onths </w:t>
      </w:r>
      <w:r w:rsidR="00AE7750">
        <w:rPr>
          <w:rFonts w:asciiTheme="minorBidi" w:hAnsiTheme="minorBidi" w:cstheme="minorBidi"/>
          <w:b/>
          <w:bCs/>
        </w:rPr>
        <w:t>thatR</w:t>
      </w:r>
      <w:r w:rsidRPr="00802088">
        <w:rPr>
          <w:rFonts w:asciiTheme="minorBidi" w:hAnsiTheme="minorBidi" w:cstheme="minorBidi"/>
          <w:b/>
          <w:bCs/>
        </w:rPr>
        <w:t xml:space="preserve">eceived the </w:t>
      </w:r>
      <w:r w:rsidR="00AE7750">
        <w:rPr>
          <w:rFonts w:asciiTheme="minorBidi" w:hAnsiTheme="minorBidi" w:cstheme="minorBidi"/>
          <w:b/>
          <w:bCs/>
        </w:rPr>
        <w:t>T</w:t>
      </w:r>
      <w:r w:rsidRPr="00802088">
        <w:rPr>
          <w:rFonts w:asciiTheme="minorBidi" w:hAnsiTheme="minorBidi" w:cstheme="minorBidi"/>
          <w:b/>
          <w:bCs/>
        </w:rPr>
        <w:t xml:space="preserve">hird DTP </w:t>
      </w:r>
      <w:r w:rsidR="00AE7750">
        <w:rPr>
          <w:rFonts w:asciiTheme="minorBidi" w:hAnsiTheme="minorBidi" w:cstheme="minorBidi"/>
          <w:b/>
          <w:bCs/>
        </w:rPr>
        <w:t>Dose C</w:t>
      </w:r>
      <w:r w:rsidRPr="00802088">
        <w:rPr>
          <w:rFonts w:asciiTheme="minorBidi" w:hAnsiTheme="minorBidi" w:cstheme="minorBidi"/>
          <w:b/>
          <w:bCs/>
        </w:rPr>
        <w:t xml:space="preserve">ontaining </w:t>
      </w:r>
      <w:r w:rsidR="00AE7750">
        <w:rPr>
          <w:rFonts w:asciiTheme="minorBidi" w:hAnsiTheme="minorBidi" w:cstheme="minorBidi"/>
          <w:b/>
          <w:bCs/>
        </w:rPr>
        <w:t>V</w:t>
      </w:r>
      <w:r w:rsidRPr="00802088">
        <w:rPr>
          <w:rFonts w:asciiTheme="minorBidi" w:hAnsiTheme="minorBidi" w:cstheme="minorBidi"/>
          <w:b/>
          <w:bCs/>
        </w:rPr>
        <w:t xml:space="preserve">accine (DTP3) </w:t>
      </w:r>
      <w:r w:rsidR="00AC2E62" w:rsidRPr="00802088">
        <w:rPr>
          <w:rFonts w:asciiTheme="minorBidi" w:hAnsiTheme="minorBidi" w:cstheme="minorBidi"/>
          <w:b/>
          <w:bCs/>
        </w:rPr>
        <w:t>and Pneumococcal</w:t>
      </w:r>
      <w:r w:rsidRPr="00802088">
        <w:rPr>
          <w:rFonts w:asciiTheme="minorBidi" w:hAnsiTheme="minorBidi" w:cstheme="minorBidi"/>
          <w:b/>
          <w:bCs/>
        </w:rPr>
        <w:t xml:space="preserve"> (Conjugate) </w:t>
      </w:r>
      <w:r w:rsidR="00AE7750">
        <w:rPr>
          <w:rFonts w:asciiTheme="minorBidi" w:hAnsiTheme="minorBidi" w:cstheme="minorBidi"/>
          <w:b/>
          <w:bCs/>
        </w:rPr>
        <w:t>V</w:t>
      </w:r>
      <w:r w:rsidRPr="00802088">
        <w:rPr>
          <w:rFonts w:asciiTheme="minorBidi" w:hAnsiTheme="minorBidi" w:cstheme="minorBidi"/>
          <w:b/>
          <w:bCs/>
        </w:rPr>
        <w:t>accine (PCV3)</w:t>
      </w:r>
      <w:r w:rsidR="0064577A" w:rsidRPr="00802088">
        <w:rPr>
          <w:rFonts w:asciiTheme="minorBidi" w:hAnsiTheme="minorBidi" w:cstheme="minorBidi"/>
          <w:b/>
          <w:bCs/>
        </w:rPr>
        <w:t xml:space="preserve">, </w:t>
      </w:r>
      <w:r w:rsidRPr="00802088">
        <w:rPr>
          <w:rFonts w:asciiTheme="minorBidi" w:hAnsiTheme="minorBidi" w:cstheme="minorBidi"/>
          <w:b/>
          <w:bCs/>
        </w:rPr>
        <w:t>2019</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26"/>
      </w:tblGrid>
      <w:tr w:rsidR="003A4E27" w14:paraId="3639381C" w14:textId="77777777" w:rsidTr="00805FA8">
        <w:trPr>
          <w:trHeight w:val="3258"/>
          <w:jc w:val="center"/>
        </w:trPr>
        <w:tc>
          <w:tcPr>
            <w:tcW w:w="8926" w:type="dxa"/>
            <w:vAlign w:val="center"/>
          </w:tcPr>
          <w:p w14:paraId="7651ABD0" w14:textId="77777777" w:rsidR="003A4E27" w:rsidRDefault="003A4E27" w:rsidP="00805FA8">
            <w:pPr>
              <w:bidi w:val="0"/>
              <w:spacing w:after="0" w:line="240" w:lineRule="auto"/>
              <w:ind w:left="-37"/>
              <w:jc w:val="center"/>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0069BCBE" wp14:editId="737A847C">
                  <wp:extent cx="5542236" cy="1971675"/>
                  <wp:effectExtent l="0" t="0" r="1905" b="0"/>
                  <wp:docPr id="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4C2A533A" w14:textId="77777777" w:rsidR="000E7EC4" w:rsidRPr="00922F28" w:rsidRDefault="001D2257" w:rsidP="008B358C">
      <w:pPr>
        <w:bidi w:val="0"/>
        <w:spacing w:after="0" w:line="240" w:lineRule="auto"/>
        <w:ind w:left="720" w:hanging="720"/>
        <w:rPr>
          <w:rFonts w:ascii="Arial" w:hAnsi="Arial"/>
          <w:sz w:val="18"/>
          <w:szCs w:val="18"/>
        </w:rPr>
      </w:pPr>
      <w:r w:rsidRPr="003D7147">
        <w:rPr>
          <w:rFonts w:ascii="Arial" w:hAnsi="Arial"/>
          <w:b/>
          <w:bCs/>
          <w:sz w:val="18"/>
          <w:szCs w:val="18"/>
        </w:rPr>
        <w:t>Source:</w:t>
      </w:r>
      <w:r w:rsidR="00903782" w:rsidRPr="007C2D25">
        <w:rPr>
          <w:rFonts w:ascii="Arial" w:hAnsi="Arial"/>
          <w:b/>
          <w:bCs/>
          <w:sz w:val="18"/>
          <w:szCs w:val="18"/>
        </w:rPr>
        <w:t xml:space="preserve">Palestinian Central Bureau of </w:t>
      </w:r>
      <w:r w:rsidR="00AE7750">
        <w:rPr>
          <w:rFonts w:ascii="Arial" w:hAnsi="Arial"/>
          <w:b/>
          <w:bCs/>
          <w:sz w:val="18"/>
          <w:szCs w:val="18"/>
        </w:rPr>
        <w:t>S</w:t>
      </w:r>
      <w:r w:rsidR="00903782" w:rsidRPr="007C2D25">
        <w:rPr>
          <w:rFonts w:ascii="Arial" w:hAnsi="Arial"/>
          <w:b/>
          <w:bCs/>
          <w:sz w:val="18"/>
          <w:szCs w:val="18"/>
        </w:rPr>
        <w:t>tatistics</w:t>
      </w:r>
      <w:r w:rsidR="00FD0E71">
        <w:rPr>
          <w:rFonts w:asciiTheme="minorBidi" w:hAnsiTheme="minorBidi" w:cstheme="minorBidi"/>
          <w:b/>
          <w:bCs/>
          <w:sz w:val="18"/>
          <w:szCs w:val="18"/>
        </w:rPr>
        <w:t xml:space="preserve">, </w:t>
      </w:r>
      <w:r w:rsidRPr="001D2257">
        <w:rPr>
          <w:rFonts w:asciiTheme="minorBidi" w:hAnsiTheme="minorBidi" w:cstheme="minorBidi"/>
          <w:sz w:val="18"/>
          <w:szCs w:val="18"/>
        </w:rPr>
        <w:t xml:space="preserve">Palestinian Multiple Indicator Cluster Survey </w:t>
      </w:r>
      <w:r w:rsidR="00FD0E71" w:rsidRPr="001D2257">
        <w:rPr>
          <w:rFonts w:asciiTheme="minorBidi" w:hAnsiTheme="minorBidi" w:cstheme="minorBidi"/>
          <w:sz w:val="18"/>
          <w:szCs w:val="18"/>
        </w:rPr>
        <w:t>Database</w:t>
      </w:r>
      <w:r w:rsidR="00FD0E71">
        <w:rPr>
          <w:rFonts w:asciiTheme="minorBidi" w:hAnsiTheme="minorBidi" w:cstheme="minorBidi"/>
          <w:sz w:val="18"/>
          <w:szCs w:val="18"/>
        </w:rPr>
        <w:t>,</w:t>
      </w:r>
      <w:r w:rsidRPr="001D2257">
        <w:rPr>
          <w:rFonts w:asciiTheme="minorBidi" w:hAnsiTheme="minorBidi" w:cstheme="minorBidi"/>
          <w:sz w:val="18"/>
          <w:szCs w:val="18"/>
        </w:rPr>
        <w:t>2019-2020</w:t>
      </w:r>
      <w:r w:rsidR="000E7EC4">
        <w:rPr>
          <w:rFonts w:asciiTheme="minorBidi" w:hAnsiTheme="minorBidi" w:cstheme="minorBidi"/>
          <w:sz w:val="18"/>
          <w:szCs w:val="18"/>
        </w:rPr>
        <w:t xml:space="preserve">. </w:t>
      </w:r>
      <w:r w:rsidR="000E7EC4" w:rsidRPr="00922F28">
        <w:rPr>
          <w:rFonts w:ascii="Arial" w:hAnsi="Arial"/>
          <w:sz w:val="18"/>
          <w:szCs w:val="18"/>
        </w:rPr>
        <w:t>Ramallah – Palestine.</w:t>
      </w:r>
    </w:p>
    <w:p w14:paraId="0EC7B5BC" w14:textId="77777777" w:rsidR="003D1191" w:rsidRPr="001D2257" w:rsidRDefault="003D1191" w:rsidP="003D1191">
      <w:pPr>
        <w:autoSpaceDE w:val="0"/>
        <w:autoSpaceDN w:val="0"/>
        <w:bidi w:val="0"/>
        <w:adjustRightInd w:val="0"/>
        <w:spacing w:after="0" w:line="240" w:lineRule="auto"/>
        <w:jc w:val="both"/>
        <w:rPr>
          <w:rFonts w:ascii="Times New Roman" w:hAnsi="Times New Roman" w:cs="Times New Roman"/>
          <w:i/>
          <w:iCs/>
          <w:sz w:val="24"/>
          <w:szCs w:val="24"/>
        </w:rPr>
      </w:pPr>
    </w:p>
    <w:p w14:paraId="1E93A2B9" w14:textId="77777777" w:rsidR="003D1191" w:rsidRPr="00267BC4" w:rsidRDefault="001D2257" w:rsidP="003D1191">
      <w:pPr>
        <w:autoSpaceDE w:val="0"/>
        <w:autoSpaceDN w:val="0"/>
        <w:bidi w:val="0"/>
        <w:adjustRightInd w:val="0"/>
        <w:spacing w:after="0" w:line="240" w:lineRule="auto"/>
        <w:jc w:val="both"/>
        <w:rPr>
          <w:rFonts w:asciiTheme="majorBidi" w:hAnsiTheme="majorBidi" w:cstheme="majorBidi"/>
          <w:b/>
          <w:i/>
          <w:iCs/>
          <w:sz w:val="24"/>
          <w:szCs w:val="24"/>
        </w:rPr>
      </w:pPr>
      <w:r w:rsidRPr="001D2257">
        <w:rPr>
          <w:rFonts w:asciiTheme="majorBidi" w:hAnsiTheme="majorBidi" w:cstheme="majorBidi"/>
          <w:b/>
          <w:i/>
          <w:iCs/>
          <w:sz w:val="24"/>
          <w:szCs w:val="24"/>
        </w:rPr>
        <w:t>Indicator 3.b</w:t>
      </w:r>
      <w:r w:rsidRPr="0064577A">
        <w:rPr>
          <w:rFonts w:asciiTheme="majorBidi" w:hAnsiTheme="majorBidi" w:cstheme="majorBidi"/>
          <w:b/>
          <w:i/>
          <w:iCs/>
          <w:sz w:val="24"/>
          <w:szCs w:val="24"/>
        </w:rPr>
        <w:t>.2T</w:t>
      </w:r>
      <w:r w:rsidRPr="001D2257">
        <w:rPr>
          <w:rFonts w:asciiTheme="majorBidi" w:hAnsiTheme="majorBidi" w:cstheme="majorBidi"/>
          <w:b/>
          <w:i/>
          <w:iCs/>
          <w:sz w:val="24"/>
          <w:szCs w:val="24"/>
        </w:rPr>
        <w:t xml:space="preserve">otal net official development assistance to medical research and basic health </w:t>
      </w:r>
      <w:r w:rsidRPr="00267BC4">
        <w:rPr>
          <w:rFonts w:asciiTheme="majorBidi" w:hAnsiTheme="majorBidi" w:cstheme="majorBidi"/>
          <w:b/>
          <w:i/>
          <w:iCs/>
          <w:sz w:val="24"/>
          <w:szCs w:val="24"/>
        </w:rPr>
        <w:t>sectors (gross disbursement) and (net disbursement)</w:t>
      </w:r>
    </w:p>
    <w:p w14:paraId="20D65A3E" w14:textId="77777777" w:rsidR="00877949" w:rsidRPr="00267BC4" w:rsidRDefault="00877949" w:rsidP="00877949">
      <w:pPr>
        <w:autoSpaceDE w:val="0"/>
        <w:autoSpaceDN w:val="0"/>
        <w:bidi w:val="0"/>
        <w:adjustRightInd w:val="0"/>
        <w:spacing w:after="0" w:line="240" w:lineRule="auto"/>
        <w:jc w:val="both"/>
        <w:rPr>
          <w:rFonts w:asciiTheme="majorBidi" w:hAnsiTheme="majorBidi" w:cstheme="majorBidi"/>
          <w:b/>
          <w:i/>
          <w:iCs/>
          <w:sz w:val="24"/>
          <w:szCs w:val="24"/>
        </w:rPr>
      </w:pPr>
    </w:p>
    <w:p w14:paraId="5A50B77E" w14:textId="77777777" w:rsidR="00E41422" w:rsidRPr="00267BC4" w:rsidRDefault="004A40F1" w:rsidP="00B060FF">
      <w:pPr>
        <w:autoSpaceDE w:val="0"/>
        <w:autoSpaceDN w:val="0"/>
        <w:bidi w:val="0"/>
        <w:adjustRightInd w:val="0"/>
        <w:spacing w:after="0" w:line="240" w:lineRule="auto"/>
        <w:jc w:val="both"/>
        <w:rPr>
          <w:rFonts w:asciiTheme="majorBidi" w:hAnsiTheme="majorBidi" w:cstheme="majorBidi"/>
          <w:bCs/>
          <w:sz w:val="24"/>
          <w:szCs w:val="24"/>
        </w:rPr>
      </w:pPr>
      <w:r w:rsidRPr="00267BC4">
        <w:rPr>
          <w:rFonts w:asciiTheme="majorBidi" w:hAnsiTheme="majorBidi" w:cstheme="majorBidi"/>
          <w:bCs/>
          <w:sz w:val="24"/>
          <w:szCs w:val="24"/>
        </w:rPr>
        <w:t>Total net official development assistance to medical research and basic health sectors for gross disbursementreached</w:t>
      </w:r>
      <w:r w:rsidR="00223519" w:rsidRPr="00267BC4">
        <w:rPr>
          <w:rFonts w:asciiTheme="majorBidi" w:hAnsiTheme="majorBidi" w:cstheme="majorBidi"/>
          <w:bCs/>
          <w:sz w:val="24"/>
          <w:szCs w:val="24"/>
        </w:rPr>
        <w:t xml:space="preserve"> </w:t>
      </w:r>
      <w:r w:rsidRPr="00267BC4">
        <w:rPr>
          <w:rFonts w:asciiTheme="majorBidi" w:hAnsiTheme="majorBidi" w:cstheme="majorBidi"/>
          <w:bCs/>
          <w:sz w:val="24"/>
          <w:szCs w:val="24"/>
        </w:rPr>
        <w:t>126.7 million USD in 2020while it decreased to 80.69 million USD in 2021.</w:t>
      </w:r>
    </w:p>
    <w:p w14:paraId="659C34BD" w14:textId="77777777" w:rsidR="001D2257" w:rsidRPr="00267BC4" w:rsidRDefault="001D2257" w:rsidP="001D2257">
      <w:pPr>
        <w:autoSpaceDE w:val="0"/>
        <w:autoSpaceDN w:val="0"/>
        <w:bidi w:val="0"/>
        <w:adjustRightInd w:val="0"/>
        <w:spacing w:after="0" w:line="240" w:lineRule="auto"/>
        <w:jc w:val="both"/>
        <w:rPr>
          <w:rFonts w:asciiTheme="majorBidi" w:hAnsiTheme="majorBidi" w:cstheme="majorBidi"/>
          <w:bCs/>
          <w:sz w:val="18"/>
          <w:szCs w:val="18"/>
        </w:rPr>
      </w:pPr>
    </w:p>
    <w:p w14:paraId="34A019F1" w14:textId="77777777" w:rsidR="004962F4" w:rsidRPr="00B97E19" w:rsidRDefault="004A40F1" w:rsidP="000B381B">
      <w:pPr>
        <w:autoSpaceDE w:val="0"/>
        <w:autoSpaceDN w:val="0"/>
        <w:bidi w:val="0"/>
        <w:adjustRightInd w:val="0"/>
        <w:spacing w:after="0" w:line="240" w:lineRule="auto"/>
        <w:jc w:val="center"/>
        <w:rPr>
          <w:rFonts w:asciiTheme="majorBidi" w:hAnsiTheme="majorBidi" w:cstheme="majorBidi"/>
          <w:b/>
          <w:sz w:val="24"/>
          <w:szCs w:val="24"/>
        </w:rPr>
      </w:pPr>
      <w:r w:rsidRPr="00267BC4">
        <w:rPr>
          <w:rFonts w:asciiTheme="minorBidi" w:hAnsiTheme="minorBidi" w:cstheme="minorBidi"/>
          <w:b/>
          <w:bCs/>
          <w:i/>
          <w:iCs/>
        </w:rPr>
        <w:t>Total Net Official Development Assistance to Medical Research and Basic Health Sectors (</w:t>
      </w:r>
      <w:r w:rsidR="000B381B" w:rsidRPr="00267BC4">
        <w:rPr>
          <w:rFonts w:asciiTheme="minorBidi" w:hAnsiTheme="minorBidi" w:cstheme="minorBidi"/>
          <w:b/>
          <w:bCs/>
          <w:i/>
          <w:iCs/>
        </w:rPr>
        <w:t>gross</w:t>
      </w:r>
      <w:r w:rsidRPr="00267BC4">
        <w:rPr>
          <w:rFonts w:asciiTheme="minorBidi" w:hAnsiTheme="minorBidi" w:cstheme="minorBidi"/>
          <w:b/>
          <w:bCs/>
          <w:i/>
          <w:iCs/>
        </w:rPr>
        <w:t xml:space="preserve"> disbursement)for Selected Years</w:t>
      </w:r>
    </w:p>
    <w:tbl>
      <w:tblPr>
        <w:tblStyle w:val="TableGrid"/>
        <w:tblW w:w="9320" w:type="dxa"/>
        <w:tblBorders>
          <w:insideH w:val="none" w:sz="0" w:space="0" w:color="auto"/>
          <w:insideV w:val="none" w:sz="0" w:space="0" w:color="auto"/>
        </w:tblBorders>
        <w:tblLook w:val="04A0" w:firstRow="1" w:lastRow="0" w:firstColumn="1" w:lastColumn="0" w:noHBand="0" w:noVBand="1"/>
      </w:tblPr>
      <w:tblGrid>
        <w:gridCol w:w="9320"/>
      </w:tblGrid>
      <w:tr w:rsidR="002C430E" w14:paraId="69D81F98" w14:textId="77777777" w:rsidTr="00E6392C">
        <w:trPr>
          <w:trHeight w:val="3310"/>
        </w:trPr>
        <w:tc>
          <w:tcPr>
            <w:tcW w:w="9320" w:type="dxa"/>
            <w:vAlign w:val="bottom"/>
          </w:tcPr>
          <w:p w14:paraId="7D0FFFE0" w14:textId="77777777" w:rsidR="002C430E" w:rsidRDefault="002C430E" w:rsidP="00805FA8">
            <w:pPr>
              <w:autoSpaceDE w:val="0"/>
              <w:autoSpaceDN w:val="0"/>
              <w:bidi w:val="0"/>
              <w:adjustRightInd w:val="0"/>
              <w:spacing w:after="0" w:line="240" w:lineRule="auto"/>
              <w:jc w:val="center"/>
              <w:rPr>
                <w:rFonts w:ascii="Times New Roman" w:hAnsi="Times New Roman" w:cs="Times New Roman"/>
                <w:b/>
                <w:bCs/>
                <w:i/>
                <w:iCs/>
                <w:sz w:val="24"/>
                <w:szCs w:val="24"/>
              </w:rPr>
            </w:pPr>
            <w:r>
              <w:rPr>
                <w:noProof/>
              </w:rPr>
              <w:drawing>
                <wp:inline distT="0" distB="0" distL="0" distR="0" wp14:anchorId="3E39837B" wp14:editId="3F75E644">
                  <wp:extent cx="5762625" cy="2076450"/>
                  <wp:effectExtent l="0" t="0" r="0" b="0"/>
                  <wp:docPr id="28"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14:paraId="234107BA" w14:textId="77777777" w:rsidR="004962F4" w:rsidRPr="0064577A" w:rsidRDefault="00B97E19" w:rsidP="00B66161">
      <w:pPr>
        <w:autoSpaceDE w:val="0"/>
        <w:autoSpaceDN w:val="0"/>
        <w:bidi w:val="0"/>
        <w:adjustRightInd w:val="0"/>
        <w:spacing w:after="0" w:line="240" w:lineRule="auto"/>
        <w:jc w:val="both"/>
        <w:rPr>
          <w:rFonts w:asciiTheme="minorBidi" w:hAnsiTheme="minorBidi" w:cstheme="minorBidi"/>
          <w:sz w:val="18"/>
          <w:szCs w:val="18"/>
        </w:rPr>
      </w:pPr>
      <w:r w:rsidRPr="0064577A">
        <w:rPr>
          <w:rFonts w:ascii="Arial" w:hAnsi="Arial"/>
          <w:b/>
          <w:bCs/>
          <w:sz w:val="18"/>
          <w:szCs w:val="18"/>
        </w:rPr>
        <w:t>Source</w:t>
      </w:r>
      <w:r w:rsidRPr="0064577A">
        <w:rPr>
          <w:rFonts w:asciiTheme="minorBidi" w:hAnsiTheme="minorBidi" w:cstheme="minorBidi"/>
          <w:b/>
          <w:bCs/>
          <w:sz w:val="18"/>
          <w:szCs w:val="18"/>
        </w:rPr>
        <w:t>:</w:t>
      </w:r>
      <w:r w:rsidRPr="008B358C">
        <w:rPr>
          <w:rFonts w:asciiTheme="minorBidi" w:hAnsiTheme="minorBidi" w:cstheme="minorBidi"/>
          <w:b/>
          <w:bCs/>
          <w:sz w:val="18"/>
          <w:szCs w:val="18"/>
        </w:rPr>
        <w:t>Organization for Economic Co-operation and Development (OECD)</w:t>
      </w:r>
      <w:r w:rsidRPr="0064577A">
        <w:rPr>
          <w:rFonts w:asciiTheme="minorBidi" w:hAnsiTheme="minorBidi" w:cstheme="minorBidi"/>
          <w:sz w:val="18"/>
          <w:szCs w:val="18"/>
        </w:rPr>
        <w:t xml:space="preserve"> </w:t>
      </w:r>
      <w:r w:rsidR="00B66161" w:rsidRPr="0064577A">
        <w:rPr>
          <w:rFonts w:asciiTheme="minorBidi" w:hAnsiTheme="minorBidi" w:cstheme="minorBidi"/>
          <w:sz w:val="18"/>
          <w:szCs w:val="18"/>
        </w:rPr>
        <w:t>20</w:t>
      </w:r>
      <w:r w:rsidR="00B66161">
        <w:rPr>
          <w:rFonts w:asciiTheme="minorBidi" w:hAnsiTheme="minorBidi" w:cstheme="minorBidi"/>
          <w:sz w:val="18"/>
          <w:szCs w:val="18"/>
        </w:rPr>
        <w:t>16</w:t>
      </w:r>
      <w:r w:rsidRPr="0064577A">
        <w:rPr>
          <w:rFonts w:asciiTheme="minorBidi" w:hAnsiTheme="minorBidi" w:cstheme="minorBidi"/>
          <w:sz w:val="18"/>
          <w:szCs w:val="18"/>
        </w:rPr>
        <w:t>-</w:t>
      </w:r>
      <w:r w:rsidR="000B381B">
        <w:rPr>
          <w:rFonts w:asciiTheme="minorBidi" w:hAnsiTheme="minorBidi" w:cstheme="minorBidi"/>
          <w:sz w:val="18"/>
          <w:szCs w:val="18"/>
        </w:rPr>
        <w:t>2021</w:t>
      </w:r>
    </w:p>
    <w:p w14:paraId="10D22791" w14:textId="77777777" w:rsidR="00AE7750" w:rsidRDefault="00AE7750" w:rsidP="00903782">
      <w:pPr>
        <w:autoSpaceDE w:val="0"/>
        <w:autoSpaceDN w:val="0"/>
        <w:bidi w:val="0"/>
        <w:adjustRightInd w:val="0"/>
        <w:spacing w:after="0" w:line="240" w:lineRule="auto"/>
        <w:jc w:val="both"/>
        <w:rPr>
          <w:rFonts w:ascii="Times New Roman" w:hAnsi="Times New Roman" w:cs="Times New Roman"/>
          <w:b/>
          <w:bCs/>
          <w:i/>
          <w:iCs/>
          <w:sz w:val="24"/>
          <w:szCs w:val="24"/>
        </w:rPr>
      </w:pPr>
    </w:p>
    <w:p w14:paraId="6944939B" w14:textId="77777777" w:rsidR="00E34CD1" w:rsidRPr="00267BC4" w:rsidRDefault="00E34CD1" w:rsidP="00AE7750">
      <w:pPr>
        <w:autoSpaceDE w:val="0"/>
        <w:autoSpaceDN w:val="0"/>
        <w:bidi w:val="0"/>
        <w:adjustRightInd w:val="0"/>
        <w:spacing w:after="0" w:line="240" w:lineRule="auto"/>
        <w:jc w:val="both"/>
        <w:rPr>
          <w:rFonts w:ascii="Times New Roman" w:hAnsi="Times New Roman" w:cs="Times New Roman"/>
          <w:b/>
          <w:bCs/>
          <w:i/>
          <w:iCs/>
          <w:sz w:val="24"/>
          <w:szCs w:val="24"/>
        </w:rPr>
      </w:pPr>
      <w:r w:rsidRPr="00267BC4">
        <w:rPr>
          <w:rFonts w:ascii="Times New Roman" w:hAnsi="Times New Roman" w:cs="Times New Roman"/>
          <w:b/>
          <w:bCs/>
          <w:i/>
          <w:iCs/>
          <w:sz w:val="24"/>
          <w:szCs w:val="24"/>
        </w:rPr>
        <w:t>Indicator 3.c.1</w:t>
      </w:r>
      <w:r w:rsidRPr="00267BC4">
        <w:rPr>
          <w:rFonts w:ascii="Times New Roman" w:hAnsi="Times New Roman" w:cs="Times New Roman"/>
          <w:iCs/>
          <w:sz w:val="24"/>
          <w:szCs w:val="24"/>
        </w:rPr>
        <w:t> </w:t>
      </w:r>
      <w:r w:rsidRPr="00267BC4">
        <w:rPr>
          <w:rFonts w:ascii="Times New Roman" w:hAnsi="Times New Roman" w:cs="Times New Roman"/>
          <w:b/>
          <w:bCs/>
          <w:i/>
          <w:iCs/>
          <w:sz w:val="24"/>
          <w:szCs w:val="24"/>
        </w:rPr>
        <w:t>Health worker density and distribution </w:t>
      </w:r>
    </w:p>
    <w:p w14:paraId="06DF886A" w14:textId="77777777" w:rsidR="00877949" w:rsidRPr="00267BC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4880FB96" w14:textId="77777777" w:rsidR="00E34CD1" w:rsidRPr="00267BC4" w:rsidRDefault="00AE7750" w:rsidP="00B66161">
      <w:pPr>
        <w:autoSpaceDE w:val="0"/>
        <w:autoSpaceDN w:val="0"/>
        <w:bidi w:val="0"/>
        <w:adjustRightInd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The number of p</w:t>
      </w:r>
      <w:r w:rsidR="00276BBF" w:rsidRPr="00267BC4">
        <w:rPr>
          <w:rFonts w:ascii="Times New Roman" w:hAnsi="Times New Roman" w:cs="Times New Roman"/>
          <w:sz w:val="24"/>
          <w:szCs w:val="24"/>
        </w:rPr>
        <w:t>hysician</w:t>
      </w:r>
      <w:r w:rsidRPr="00267BC4">
        <w:rPr>
          <w:rFonts w:ascii="Times New Roman" w:hAnsi="Times New Roman" w:cs="Times New Roman"/>
          <w:sz w:val="24"/>
          <w:szCs w:val="24"/>
        </w:rPr>
        <w:t>s</w:t>
      </w:r>
      <w:r w:rsidR="00E34CD1" w:rsidRPr="00267BC4">
        <w:rPr>
          <w:rFonts w:ascii="Times New Roman" w:hAnsi="Times New Roman" w:cs="Times New Roman"/>
          <w:sz w:val="24"/>
          <w:szCs w:val="24"/>
        </w:rPr>
        <w:t xml:space="preserve"> per 10,000 </w:t>
      </w:r>
      <w:r w:rsidRPr="00267BC4">
        <w:rPr>
          <w:rFonts w:ascii="Times New Roman" w:hAnsi="Times New Roman" w:cs="Times New Roman"/>
          <w:sz w:val="24"/>
          <w:szCs w:val="24"/>
        </w:rPr>
        <w:t xml:space="preserve">of the </w:t>
      </w:r>
      <w:r w:rsidR="00E34CD1" w:rsidRPr="00267BC4">
        <w:rPr>
          <w:rFonts w:ascii="Times New Roman" w:hAnsi="Times New Roman" w:cs="Times New Roman"/>
          <w:sz w:val="24"/>
          <w:szCs w:val="24"/>
        </w:rPr>
        <w:t xml:space="preserve">population in Palestine </w:t>
      </w:r>
      <w:r w:rsidRPr="00267BC4">
        <w:rPr>
          <w:rFonts w:ascii="Times New Roman" w:hAnsi="Times New Roman" w:cs="Times New Roman"/>
          <w:sz w:val="24"/>
          <w:szCs w:val="24"/>
        </w:rPr>
        <w:t>reached</w:t>
      </w:r>
      <w:r w:rsidR="00E34CD1" w:rsidRPr="00267BC4">
        <w:rPr>
          <w:rFonts w:ascii="Times New Roman" w:hAnsi="Times New Roman" w:cs="Times New Roman"/>
          <w:sz w:val="24"/>
          <w:szCs w:val="24"/>
        </w:rPr>
        <w:t xml:space="preserve"> 20, and 20 nurses per 10,000 </w:t>
      </w:r>
      <w:r w:rsidRPr="00267BC4">
        <w:rPr>
          <w:rFonts w:ascii="Times New Roman" w:hAnsi="Times New Roman" w:cs="Times New Roman"/>
          <w:sz w:val="24"/>
          <w:szCs w:val="24"/>
        </w:rPr>
        <w:t xml:space="preserve">of the </w:t>
      </w:r>
      <w:r w:rsidR="00E34CD1" w:rsidRPr="00267BC4">
        <w:rPr>
          <w:rFonts w:ascii="Times New Roman" w:hAnsi="Times New Roman" w:cs="Times New Roman"/>
          <w:sz w:val="24"/>
          <w:szCs w:val="24"/>
        </w:rPr>
        <w:t>population in 2015</w:t>
      </w:r>
      <w:r w:rsidRPr="00267BC4">
        <w:rPr>
          <w:rFonts w:ascii="Times New Roman" w:hAnsi="Times New Roman" w:cs="Times New Roman"/>
          <w:sz w:val="24"/>
          <w:szCs w:val="24"/>
        </w:rPr>
        <w:t>. T</w:t>
      </w:r>
      <w:r w:rsidR="00E34CD1" w:rsidRPr="00267BC4">
        <w:rPr>
          <w:rFonts w:ascii="Times New Roman" w:hAnsi="Times New Roman" w:cs="Times New Roman"/>
          <w:sz w:val="24"/>
          <w:szCs w:val="24"/>
        </w:rPr>
        <w:t xml:space="preserve">he number of physician per 10,000 </w:t>
      </w:r>
      <w:r w:rsidRPr="00267BC4">
        <w:rPr>
          <w:rFonts w:ascii="Times New Roman" w:hAnsi="Times New Roman" w:cs="Times New Roman"/>
          <w:sz w:val="24"/>
          <w:szCs w:val="24"/>
        </w:rPr>
        <w:t xml:space="preserve">of the </w:t>
      </w:r>
      <w:r w:rsidR="00E34CD1" w:rsidRPr="00267BC4">
        <w:rPr>
          <w:rFonts w:ascii="Times New Roman" w:hAnsi="Times New Roman" w:cs="Times New Roman"/>
          <w:sz w:val="24"/>
          <w:szCs w:val="24"/>
        </w:rPr>
        <w:t xml:space="preserve">population in Palestine </w:t>
      </w:r>
      <w:r w:rsidRPr="00267BC4">
        <w:rPr>
          <w:rFonts w:ascii="Times New Roman" w:hAnsi="Times New Roman" w:cs="Times New Roman"/>
          <w:sz w:val="24"/>
          <w:szCs w:val="24"/>
        </w:rPr>
        <w:t>reached</w:t>
      </w:r>
      <w:r w:rsidR="00E34CD1" w:rsidRPr="00267BC4">
        <w:rPr>
          <w:rFonts w:ascii="Times New Roman" w:hAnsi="Times New Roman" w:cs="Times New Roman"/>
          <w:sz w:val="24"/>
          <w:szCs w:val="24"/>
        </w:rPr>
        <w:t xml:space="preserve"> </w:t>
      </w:r>
      <w:r w:rsidR="00B66161" w:rsidRPr="00267BC4">
        <w:rPr>
          <w:rFonts w:ascii="Times New Roman" w:hAnsi="Times New Roman" w:cs="Times New Roman"/>
          <w:sz w:val="24"/>
          <w:szCs w:val="24"/>
        </w:rPr>
        <w:t xml:space="preserve">27 </w:t>
      </w:r>
      <w:r w:rsidR="00E34CD1" w:rsidRPr="00267BC4">
        <w:rPr>
          <w:rFonts w:ascii="Times New Roman" w:hAnsi="Times New Roman" w:cs="Times New Roman"/>
          <w:sz w:val="24"/>
          <w:szCs w:val="24"/>
        </w:rPr>
        <w:t xml:space="preserve">and about </w:t>
      </w:r>
      <w:r w:rsidR="00EB1996" w:rsidRPr="00267BC4">
        <w:rPr>
          <w:rFonts w:ascii="Times New Roman" w:hAnsi="Times New Roman" w:cs="Times New Roman"/>
          <w:sz w:val="24"/>
          <w:szCs w:val="24"/>
        </w:rPr>
        <w:t>27</w:t>
      </w:r>
      <w:r w:rsidR="004D27DE" w:rsidRPr="00267BC4">
        <w:rPr>
          <w:rFonts w:ascii="Times New Roman" w:hAnsi="Times New Roman" w:cs="Times New Roman"/>
          <w:sz w:val="24"/>
          <w:szCs w:val="24"/>
        </w:rPr>
        <w:t xml:space="preserve"> </w:t>
      </w:r>
      <w:r w:rsidR="00E34CD1" w:rsidRPr="00267BC4">
        <w:rPr>
          <w:rFonts w:ascii="Times New Roman" w:hAnsi="Times New Roman" w:cs="Times New Roman"/>
          <w:sz w:val="24"/>
          <w:szCs w:val="24"/>
        </w:rPr>
        <w:t xml:space="preserve">nurses per 10,000 </w:t>
      </w:r>
      <w:r w:rsidRPr="00267BC4">
        <w:rPr>
          <w:rFonts w:ascii="Times New Roman" w:hAnsi="Times New Roman" w:cs="Times New Roman"/>
          <w:sz w:val="24"/>
          <w:szCs w:val="24"/>
        </w:rPr>
        <w:t xml:space="preserve">of the </w:t>
      </w:r>
      <w:r w:rsidR="00E34CD1" w:rsidRPr="00267BC4">
        <w:rPr>
          <w:rFonts w:ascii="Times New Roman" w:hAnsi="Times New Roman" w:cs="Times New Roman"/>
          <w:sz w:val="24"/>
          <w:szCs w:val="24"/>
        </w:rPr>
        <w:t>population in 2</w:t>
      </w:r>
      <w:r w:rsidR="004D27DE" w:rsidRPr="00267BC4">
        <w:rPr>
          <w:rFonts w:ascii="Times New Roman" w:hAnsi="Times New Roman" w:cs="Times New Roman"/>
          <w:sz w:val="24"/>
          <w:szCs w:val="24"/>
        </w:rPr>
        <w:t>021</w:t>
      </w:r>
      <w:r w:rsidR="00E34CD1" w:rsidRPr="00267BC4">
        <w:rPr>
          <w:rFonts w:ascii="Times New Roman" w:hAnsi="Times New Roman" w:cs="Times New Roman"/>
          <w:sz w:val="24"/>
          <w:szCs w:val="24"/>
        </w:rPr>
        <w:t>.</w:t>
      </w:r>
    </w:p>
    <w:p w14:paraId="1740825C" w14:textId="77777777" w:rsidR="00E34CD1" w:rsidRPr="00267BC4" w:rsidRDefault="00E34CD1" w:rsidP="008C6258">
      <w:pPr>
        <w:autoSpaceDE w:val="0"/>
        <w:autoSpaceDN w:val="0"/>
        <w:bidi w:val="0"/>
        <w:adjustRightInd w:val="0"/>
        <w:spacing w:after="0" w:line="240" w:lineRule="auto"/>
        <w:jc w:val="both"/>
        <w:rPr>
          <w:rFonts w:ascii="Times New Roman" w:hAnsi="Times New Roman" w:cs="Times New Roman"/>
          <w:sz w:val="16"/>
          <w:szCs w:val="16"/>
        </w:rPr>
      </w:pPr>
    </w:p>
    <w:p w14:paraId="20D5C73C" w14:textId="77777777" w:rsidR="00F13199" w:rsidRPr="00267BC4" w:rsidRDefault="00F13199" w:rsidP="00E6392C">
      <w:pPr>
        <w:autoSpaceDE w:val="0"/>
        <w:autoSpaceDN w:val="0"/>
        <w:bidi w:val="0"/>
        <w:adjustRightInd w:val="0"/>
        <w:spacing w:after="0" w:line="240" w:lineRule="auto"/>
        <w:jc w:val="both"/>
        <w:rPr>
          <w:rFonts w:ascii="Times New Roman" w:hAnsi="Times New Roman" w:cs="Times New Roman"/>
          <w:sz w:val="16"/>
          <w:szCs w:val="16"/>
        </w:rPr>
      </w:pPr>
    </w:p>
    <w:p w14:paraId="44490B09" w14:textId="77777777" w:rsidR="00DD0DC4" w:rsidRPr="00267BC4" w:rsidRDefault="00DD0DC4" w:rsidP="00DD0DC4">
      <w:pPr>
        <w:bidi w:val="0"/>
        <w:spacing w:after="0" w:line="240" w:lineRule="auto"/>
        <w:rPr>
          <w:rFonts w:ascii="Times New Roman" w:hAnsi="Times New Roman" w:cs="Times New Roman"/>
          <w:sz w:val="8"/>
          <w:szCs w:val="8"/>
        </w:rPr>
      </w:pPr>
    </w:p>
    <w:p w14:paraId="413921A0" w14:textId="77777777" w:rsidR="00E34CD1" w:rsidRDefault="00E34CD1" w:rsidP="00B66161">
      <w:pPr>
        <w:tabs>
          <w:tab w:val="left" w:pos="9072"/>
        </w:tabs>
        <w:bidi w:val="0"/>
        <w:spacing w:after="0" w:line="240" w:lineRule="auto"/>
        <w:jc w:val="center"/>
        <w:rPr>
          <w:rFonts w:ascii="Arial" w:hAnsi="Arial"/>
          <w:b/>
          <w:bCs/>
        </w:rPr>
      </w:pPr>
      <w:r w:rsidRPr="00267BC4">
        <w:rPr>
          <w:rFonts w:ascii="Arial" w:hAnsi="Arial"/>
          <w:b/>
          <w:bCs/>
        </w:rPr>
        <w:t xml:space="preserve">Health Worker Density and Distribution, </w:t>
      </w:r>
      <w:r w:rsidR="00B66161" w:rsidRPr="00267BC4">
        <w:rPr>
          <w:rFonts w:ascii="Arial" w:hAnsi="Arial"/>
          <w:b/>
          <w:bCs/>
        </w:rPr>
        <w:t>for Selected Years</w:t>
      </w:r>
      <w:r w:rsidR="00B66161" w:rsidRPr="00267BC4" w:rsidDel="00B66161">
        <w:rPr>
          <w:rFonts w:ascii="Arial" w:hAnsi="Arial"/>
          <w:b/>
          <w:bCs/>
        </w:rPr>
        <w:t xml:space="preserve"> </w:t>
      </w:r>
      <w:r w:rsidRPr="00267BC4">
        <w:rPr>
          <w:rFonts w:ascii="Arial" w:hAnsi="Arial"/>
          <w:b/>
          <w:bCs/>
        </w:rPr>
        <w:t>(Per 10,000 Population)</w:t>
      </w:r>
    </w:p>
    <w:p w14:paraId="47CBCA4C" w14:textId="77777777" w:rsidR="00E34CD1" w:rsidRPr="00050319" w:rsidRDefault="00E34CD1" w:rsidP="008C6258">
      <w:pPr>
        <w:tabs>
          <w:tab w:val="left" w:pos="9072"/>
        </w:tabs>
        <w:bidi w:val="0"/>
        <w:spacing w:after="0" w:line="240" w:lineRule="auto"/>
        <w:jc w:val="center"/>
        <w:rPr>
          <w:rFonts w:ascii="Arial" w:hAnsi="Arial"/>
          <w:b/>
          <w:bCs/>
          <w:sz w:val="10"/>
          <w:szCs w:val="1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E34CD1" w:rsidRPr="000D2E4D" w14:paraId="12F0298B" w14:textId="77777777" w:rsidTr="00805FA8">
        <w:trPr>
          <w:trHeight w:val="3524"/>
        </w:trPr>
        <w:tc>
          <w:tcPr>
            <w:tcW w:w="9067" w:type="dxa"/>
            <w:shd w:val="clear" w:color="auto" w:fill="auto"/>
            <w:vAlign w:val="center"/>
          </w:tcPr>
          <w:p w14:paraId="701C90E9" w14:textId="77777777" w:rsidR="00E34CD1" w:rsidRPr="000D2E4D" w:rsidRDefault="00E34CD1" w:rsidP="00805FA8">
            <w:pPr>
              <w:bidi w:val="0"/>
              <w:spacing w:after="0" w:line="240" w:lineRule="auto"/>
              <w:jc w:val="center"/>
              <w:rPr>
                <w:rFonts w:ascii="Times New Roman" w:hAnsi="Times New Roman" w:cs="Times New Roman"/>
                <w:b/>
                <w:bCs/>
                <w:sz w:val="24"/>
                <w:szCs w:val="24"/>
                <w:lang w:val="it-IT"/>
              </w:rPr>
            </w:pPr>
            <w:r>
              <w:rPr>
                <w:rFonts w:ascii="Times New Roman" w:hAnsi="Times New Roman" w:cs="Times New Roman"/>
                <w:b/>
                <w:bCs/>
                <w:noProof/>
                <w:sz w:val="24"/>
                <w:szCs w:val="24"/>
              </w:rPr>
              <w:drawing>
                <wp:inline distT="0" distB="0" distL="0" distR="0" wp14:anchorId="290F9DB7" wp14:editId="5722353E">
                  <wp:extent cx="5505450" cy="2105025"/>
                  <wp:effectExtent l="0" t="0" r="0" b="0"/>
                  <wp:docPr id="7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14:paraId="22766661" w14:textId="77777777" w:rsidR="00E34CD1" w:rsidRPr="003D7147" w:rsidRDefault="00DA587A" w:rsidP="008C6258">
      <w:pPr>
        <w:bidi w:val="0"/>
        <w:spacing w:after="0" w:line="240" w:lineRule="auto"/>
        <w:rPr>
          <w:rFonts w:ascii="Arial" w:hAnsi="Arial"/>
          <w:sz w:val="18"/>
          <w:szCs w:val="18"/>
        </w:rPr>
      </w:pPr>
      <w:r w:rsidRPr="003D7147">
        <w:rPr>
          <w:rFonts w:ascii="Arial" w:hAnsi="Arial"/>
          <w:b/>
          <w:bCs/>
          <w:sz w:val="18"/>
          <w:szCs w:val="18"/>
        </w:rPr>
        <w:t>Source: Ministry</w:t>
      </w:r>
      <w:r w:rsidR="00E34CD1" w:rsidRPr="003D7147">
        <w:rPr>
          <w:rFonts w:ascii="Arial" w:hAnsi="Arial"/>
          <w:b/>
          <w:bCs/>
          <w:sz w:val="18"/>
          <w:szCs w:val="18"/>
        </w:rPr>
        <w:t xml:space="preserve"> of </w:t>
      </w:r>
      <w:r w:rsidRPr="003D7147">
        <w:rPr>
          <w:rFonts w:ascii="Arial" w:hAnsi="Arial"/>
          <w:b/>
          <w:bCs/>
          <w:sz w:val="18"/>
          <w:szCs w:val="18"/>
        </w:rPr>
        <w:t>Health</w:t>
      </w:r>
      <w:r w:rsidRPr="003D7147">
        <w:rPr>
          <w:rFonts w:ascii="Arial" w:hAnsi="Arial"/>
          <w:sz w:val="18"/>
          <w:szCs w:val="18"/>
        </w:rPr>
        <w:t>.</w:t>
      </w:r>
      <w:r>
        <w:rPr>
          <w:rFonts w:ascii="Arial" w:hAnsi="Arial"/>
          <w:sz w:val="18"/>
          <w:szCs w:val="18"/>
        </w:rPr>
        <w:t xml:space="preserve"> Annual</w:t>
      </w:r>
      <w:r w:rsidR="00AE7750">
        <w:rPr>
          <w:rFonts w:ascii="Arial" w:hAnsi="Arial"/>
          <w:sz w:val="18"/>
          <w:szCs w:val="18"/>
        </w:rPr>
        <w:t>R</w:t>
      </w:r>
      <w:r w:rsidR="00E34CD1">
        <w:rPr>
          <w:rFonts w:ascii="Arial" w:hAnsi="Arial"/>
          <w:sz w:val="18"/>
          <w:szCs w:val="18"/>
        </w:rPr>
        <w:t>eports 2015, 2017, 2020</w:t>
      </w:r>
      <w:r w:rsidR="003418CB">
        <w:rPr>
          <w:rFonts w:ascii="Arial" w:hAnsi="Arial"/>
          <w:sz w:val="18"/>
          <w:szCs w:val="18"/>
        </w:rPr>
        <w:t>, 2021</w:t>
      </w:r>
      <w:r w:rsidR="00B66161">
        <w:rPr>
          <w:rFonts w:ascii="Arial" w:hAnsi="Arial"/>
          <w:sz w:val="18"/>
          <w:szCs w:val="18"/>
        </w:rPr>
        <w:t xml:space="preserve">, </w:t>
      </w:r>
      <w:r w:rsidR="00E34CD1" w:rsidRPr="003D7147">
        <w:rPr>
          <w:rFonts w:ascii="Arial" w:hAnsi="Arial"/>
          <w:sz w:val="18"/>
          <w:szCs w:val="18"/>
        </w:rPr>
        <w:t xml:space="preserve">. Ramallah- Palestine. </w:t>
      </w:r>
    </w:p>
    <w:p w14:paraId="33426983" w14:textId="77777777" w:rsidR="00F13199" w:rsidRDefault="00F13199" w:rsidP="008C6258">
      <w:pPr>
        <w:bidi w:val="0"/>
        <w:spacing w:after="0" w:line="240" w:lineRule="auto"/>
        <w:ind w:right="-334"/>
        <w:jc w:val="both"/>
        <w:rPr>
          <w:rFonts w:ascii="Times New Roman" w:hAnsi="Times New Roman" w:cs="Times New Roman"/>
          <w:b/>
          <w:bCs/>
          <w:sz w:val="24"/>
          <w:szCs w:val="24"/>
          <w:lang w:eastAsia="ar-SA"/>
        </w:rPr>
      </w:pPr>
    </w:p>
    <w:p w14:paraId="15D68B01" w14:textId="77777777" w:rsidR="00615105" w:rsidRPr="00785771" w:rsidRDefault="00E34CD1" w:rsidP="00903782">
      <w:pPr>
        <w:bidi w:val="0"/>
        <w:spacing w:after="0" w:line="240" w:lineRule="auto"/>
        <w:ind w:right="-334"/>
        <w:jc w:val="both"/>
        <w:rPr>
          <w:rFonts w:ascii="Times New Roman" w:hAnsi="Times New Roman" w:cs="Times New Roman"/>
          <w:b/>
          <w:bCs/>
          <w:sz w:val="24"/>
          <w:szCs w:val="24"/>
          <w:lang w:eastAsia="ar-SA"/>
        </w:rPr>
      </w:pPr>
      <w:r w:rsidRPr="00785771">
        <w:rPr>
          <w:rFonts w:ascii="Times New Roman" w:hAnsi="Times New Roman" w:cs="Times New Roman"/>
          <w:b/>
          <w:bCs/>
          <w:sz w:val="24"/>
          <w:szCs w:val="24"/>
          <w:lang w:eastAsia="ar-SA"/>
        </w:rPr>
        <w:t>Summary</w:t>
      </w:r>
    </w:p>
    <w:p w14:paraId="629F529E" w14:textId="77777777" w:rsidR="00E34CD1" w:rsidRDefault="00E34CD1" w:rsidP="00CF007C">
      <w:pPr>
        <w:autoSpaceDE w:val="0"/>
        <w:autoSpaceDN w:val="0"/>
        <w:bidi w:val="0"/>
        <w:adjustRightInd w:val="0"/>
        <w:spacing w:after="0" w:line="240" w:lineRule="auto"/>
        <w:jc w:val="both"/>
        <w:rPr>
          <w:rFonts w:ascii="Times New Roman" w:hAnsi="Times New Roman" w:cs="Times New Roman"/>
          <w:sz w:val="24"/>
          <w:szCs w:val="24"/>
        </w:rPr>
      </w:pPr>
      <w:r w:rsidRPr="00604E30">
        <w:rPr>
          <w:rFonts w:ascii="Times New Roman" w:hAnsi="Times New Roman" w:cs="Times New Roman"/>
          <w:sz w:val="24"/>
          <w:szCs w:val="24"/>
        </w:rPr>
        <w:t xml:space="preserve">The maternal mortality rate in Palestine </w:t>
      </w:r>
      <w:r w:rsidR="00AD4A85">
        <w:rPr>
          <w:rFonts w:ascii="Times New Roman" w:hAnsi="Times New Roman" w:cs="Times New Roman"/>
          <w:sz w:val="24"/>
          <w:szCs w:val="24"/>
        </w:rPr>
        <w:t>in</w:t>
      </w:r>
      <w:r w:rsidRPr="00604E30">
        <w:rPr>
          <w:rFonts w:ascii="Times New Roman" w:hAnsi="Times New Roman" w:cs="Times New Roman"/>
          <w:sz w:val="24"/>
          <w:szCs w:val="24"/>
        </w:rPr>
        <w:t xml:space="preserve">creased </w:t>
      </w:r>
      <w:r w:rsidR="003A08A3">
        <w:rPr>
          <w:rFonts w:ascii="Times New Roman" w:hAnsi="Times New Roman" w:cs="Times New Roman"/>
          <w:sz w:val="24"/>
          <w:szCs w:val="24"/>
        </w:rPr>
        <w:t>from</w:t>
      </w:r>
      <w:r>
        <w:rPr>
          <w:rFonts w:ascii="Times New Roman" w:hAnsi="Times New Roman" w:cs="Times New Roman"/>
          <w:sz w:val="24"/>
          <w:szCs w:val="24"/>
        </w:rPr>
        <w:t>28.5</w:t>
      </w:r>
      <w:r w:rsidRPr="00604E30">
        <w:rPr>
          <w:rFonts w:ascii="Times New Roman" w:hAnsi="Times New Roman" w:cs="Times New Roman"/>
          <w:sz w:val="24"/>
          <w:szCs w:val="24"/>
        </w:rPr>
        <w:t xml:space="preserve"> women per 100,000 live births in 2020</w:t>
      </w:r>
      <w:r>
        <w:rPr>
          <w:rFonts w:ascii="Times New Roman" w:hAnsi="Times New Roman" w:cs="Times New Roman"/>
          <w:sz w:val="24"/>
          <w:szCs w:val="24"/>
        </w:rPr>
        <w:t xml:space="preserve"> to </w:t>
      </w:r>
      <w:r w:rsidR="00AD4A85">
        <w:rPr>
          <w:rFonts w:ascii="Times New Roman" w:hAnsi="Times New Roman" w:cs="Times New Roman"/>
          <w:sz w:val="24"/>
          <w:szCs w:val="24"/>
        </w:rPr>
        <w:t>47.7</w:t>
      </w:r>
      <w:r>
        <w:rPr>
          <w:rFonts w:ascii="Times New Roman" w:hAnsi="Times New Roman" w:cs="Times New Roman"/>
          <w:sz w:val="24"/>
          <w:szCs w:val="24"/>
        </w:rPr>
        <w:t xml:space="preserve"> women</w:t>
      </w:r>
      <w:r w:rsidRPr="00604E30">
        <w:rPr>
          <w:rFonts w:ascii="Times New Roman" w:hAnsi="Times New Roman" w:cs="Times New Roman"/>
          <w:sz w:val="24"/>
          <w:szCs w:val="24"/>
        </w:rPr>
        <w:t xml:space="preserve"> per 100,000 live births</w:t>
      </w:r>
      <w:r>
        <w:rPr>
          <w:rFonts w:ascii="Times New Roman" w:hAnsi="Times New Roman" w:cs="Times New Roman"/>
          <w:sz w:val="24"/>
          <w:szCs w:val="24"/>
        </w:rPr>
        <w:t xml:space="preserve"> in 20</w:t>
      </w:r>
      <w:r w:rsidR="00AD4A85">
        <w:rPr>
          <w:rFonts w:ascii="Times New Roman" w:hAnsi="Times New Roman" w:cs="Times New Roman"/>
          <w:sz w:val="24"/>
          <w:szCs w:val="24"/>
        </w:rPr>
        <w:t>21</w:t>
      </w:r>
      <w:r w:rsidRPr="00604E30">
        <w:rPr>
          <w:rFonts w:ascii="Times New Roman" w:hAnsi="Times New Roman" w:cs="Times New Roman"/>
          <w:sz w:val="24"/>
          <w:szCs w:val="24"/>
        </w:rPr>
        <w:t xml:space="preserve">. At the region level, maternal mortality in </w:t>
      </w:r>
      <w:r w:rsidR="00DF7821">
        <w:rPr>
          <w:rFonts w:ascii="Times New Roman" w:hAnsi="Times New Roman" w:cs="Times New Roman"/>
          <w:sz w:val="24"/>
          <w:szCs w:val="24"/>
        </w:rPr>
        <w:t xml:space="preserve">the </w:t>
      </w:r>
      <w:r w:rsidRPr="00604E30">
        <w:rPr>
          <w:rFonts w:ascii="Times New Roman" w:hAnsi="Times New Roman" w:cs="Times New Roman"/>
          <w:sz w:val="24"/>
          <w:szCs w:val="24"/>
        </w:rPr>
        <w:t xml:space="preserve">Gaza Strip was </w:t>
      </w:r>
      <w:r w:rsidR="00213C6F">
        <w:rPr>
          <w:rFonts w:ascii="Times New Roman" w:hAnsi="Times New Roman" w:cs="Times New Roman"/>
          <w:sz w:val="24"/>
          <w:szCs w:val="24"/>
        </w:rPr>
        <w:t>39.1</w:t>
      </w:r>
      <w:r w:rsidRPr="00604E30">
        <w:rPr>
          <w:rFonts w:ascii="Times New Roman" w:hAnsi="Times New Roman" w:cs="Times New Roman"/>
          <w:sz w:val="24"/>
          <w:szCs w:val="24"/>
        </w:rPr>
        <w:t xml:space="preserve"> per 100,000 live births, while the rate in the West Bank was </w:t>
      </w:r>
      <w:r w:rsidR="00213C6F">
        <w:rPr>
          <w:rFonts w:ascii="Times New Roman" w:hAnsi="Times New Roman" w:cs="Times New Roman"/>
          <w:sz w:val="24"/>
          <w:szCs w:val="24"/>
        </w:rPr>
        <w:t>60</w:t>
      </w:r>
      <w:r w:rsidRPr="00604E30">
        <w:rPr>
          <w:rFonts w:ascii="Times New Roman" w:hAnsi="Times New Roman" w:cs="Times New Roman"/>
          <w:sz w:val="24"/>
          <w:szCs w:val="24"/>
        </w:rPr>
        <w:t xml:space="preserve"> per 100,000 live births in 20</w:t>
      </w:r>
      <w:r w:rsidR="00213C6F">
        <w:rPr>
          <w:rFonts w:ascii="Times New Roman" w:hAnsi="Times New Roman" w:cs="Times New Roman"/>
          <w:sz w:val="24"/>
          <w:szCs w:val="24"/>
        </w:rPr>
        <w:t>21</w:t>
      </w:r>
      <w:r w:rsidRPr="00604E30">
        <w:rPr>
          <w:rFonts w:ascii="Times New Roman" w:hAnsi="Times New Roman" w:cs="Times New Roman"/>
          <w:sz w:val="24"/>
          <w:szCs w:val="24"/>
        </w:rPr>
        <w:t>.</w:t>
      </w:r>
    </w:p>
    <w:p w14:paraId="15316C84" w14:textId="77777777" w:rsidR="00DF7821" w:rsidRDefault="00DF7821" w:rsidP="00DF7821">
      <w:pPr>
        <w:autoSpaceDE w:val="0"/>
        <w:autoSpaceDN w:val="0"/>
        <w:bidi w:val="0"/>
        <w:adjustRightInd w:val="0"/>
        <w:spacing w:after="0" w:line="240" w:lineRule="auto"/>
        <w:jc w:val="both"/>
        <w:rPr>
          <w:rFonts w:ascii="Times New Roman" w:hAnsi="Times New Roman" w:cs="Times New Roman"/>
          <w:sz w:val="24"/>
          <w:szCs w:val="24"/>
        </w:rPr>
      </w:pPr>
    </w:p>
    <w:p w14:paraId="241CB3C2" w14:textId="77777777" w:rsidR="00E34CD1" w:rsidRDefault="00E34CD1" w:rsidP="008C6258">
      <w:pPr>
        <w:autoSpaceDE w:val="0"/>
        <w:autoSpaceDN w:val="0"/>
        <w:bidi w:val="0"/>
        <w:adjustRightInd w:val="0"/>
        <w:spacing w:after="0" w:line="240" w:lineRule="auto"/>
        <w:jc w:val="both"/>
        <w:rPr>
          <w:rFonts w:ascii="Times New Roman" w:hAnsi="Times New Roman" w:cs="Times New Roman"/>
          <w:sz w:val="24"/>
          <w:szCs w:val="24"/>
          <w:rtl/>
        </w:rPr>
      </w:pPr>
      <w:r w:rsidRPr="00C22521">
        <w:rPr>
          <w:rFonts w:ascii="Times New Roman" w:hAnsi="Times New Roman" w:cs="Times New Roman"/>
          <w:sz w:val="24"/>
          <w:szCs w:val="24"/>
        </w:rPr>
        <w:t xml:space="preserve">The under-5 mortality rate in Palestine declined from </w:t>
      </w:r>
      <w:r>
        <w:rPr>
          <w:rFonts w:ascii="Times New Roman" w:hAnsi="Times New Roman" w:cs="Times New Roman"/>
          <w:sz w:val="24"/>
          <w:szCs w:val="24"/>
        </w:rPr>
        <w:t>21.7</w:t>
      </w:r>
      <w:r w:rsidRPr="00C22521">
        <w:rPr>
          <w:rFonts w:ascii="Times New Roman" w:hAnsi="Times New Roman" w:cs="Times New Roman"/>
          <w:sz w:val="24"/>
          <w:szCs w:val="24"/>
        </w:rPr>
        <w:t xml:space="preserve"> deaths per 1,000 live births in </w:t>
      </w:r>
      <w:r>
        <w:rPr>
          <w:rFonts w:ascii="Times New Roman" w:hAnsi="Times New Roman" w:cs="Times New Roman"/>
          <w:sz w:val="24"/>
          <w:szCs w:val="24"/>
        </w:rPr>
        <w:t>2014</w:t>
      </w:r>
      <w:r w:rsidRPr="00C22521">
        <w:rPr>
          <w:rFonts w:ascii="Times New Roman" w:hAnsi="Times New Roman" w:cs="Times New Roman"/>
          <w:sz w:val="24"/>
          <w:szCs w:val="24"/>
        </w:rPr>
        <w:t xml:space="preserve"> to </w:t>
      </w:r>
      <w:r>
        <w:rPr>
          <w:rFonts w:ascii="Times New Roman" w:hAnsi="Times New Roman" w:cs="Times New Roman"/>
          <w:sz w:val="24"/>
          <w:szCs w:val="24"/>
        </w:rPr>
        <w:t>14.2</w:t>
      </w:r>
      <w:r w:rsidRPr="00C22521">
        <w:rPr>
          <w:rFonts w:ascii="Times New Roman" w:hAnsi="Times New Roman" w:cs="Times New Roman"/>
          <w:sz w:val="24"/>
          <w:szCs w:val="24"/>
        </w:rPr>
        <w:t xml:space="preserve"> per 1,000</w:t>
      </w:r>
      <w:r w:rsidR="00615105" w:rsidRPr="00604E30">
        <w:rPr>
          <w:rFonts w:ascii="Times New Roman" w:hAnsi="Times New Roman" w:cs="Times New Roman"/>
          <w:sz w:val="24"/>
          <w:szCs w:val="24"/>
        </w:rPr>
        <w:t>live births</w:t>
      </w:r>
      <w:r w:rsidRPr="00C22521">
        <w:rPr>
          <w:rFonts w:ascii="Times New Roman" w:hAnsi="Times New Roman" w:cs="Times New Roman"/>
          <w:sz w:val="24"/>
          <w:szCs w:val="24"/>
        </w:rPr>
        <w:t xml:space="preserve"> in </w:t>
      </w:r>
      <w:r>
        <w:rPr>
          <w:rFonts w:ascii="Times New Roman" w:hAnsi="Times New Roman" w:cs="Times New Roman"/>
          <w:sz w:val="24"/>
          <w:szCs w:val="24"/>
        </w:rPr>
        <w:t>2019</w:t>
      </w:r>
      <w:r w:rsidRPr="00C22521">
        <w:rPr>
          <w:rFonts w:ascii="Times New Roman" w:hAnsi="Times New Roman" w:cs="Times New Roman"/>
          <w:sz w:val="24"/>
          <w:szCs w:val="24"/>
        </w:rPr>
        <w:t xml:space="preserve">. </w:t>
      </w:r>
      <w:r w:rsidRPr="00090CC2">
        <w:rPr>
          <w:rFonts w:ascii="Times New Roman" w:hAnsi="Times New Roman" w:cs="Times New Roman"/>
          <w:sz w:val="24"/>
          <w:szCs w:val="24"/>
        </w:rPr>
        <w:t xml:space="preserve">At the region level, the under-five mortality rate between the West Bank and Gaza Strip was </w:t>
      </w:r>
      <w:r w:rsidR="00DF7821">
        <w:rPr>
          <w:rFonts w:ascii="Times New Roman" w:hAnsi="Times New Roman" w:cs="Times New Roman"/>
          <w:sz w:val="24"/>
          <w:szCs w:val="24"/>
        </w:rPr>
        <w:t>similar</w:t>
      </w:r>
      <w:r w:rsidRPr="00090CC2">
        <w:rPr>
          <w:rFonts w:ascii="Times New Roman" w:hAnsi="Times New Roman" w:cs="Times New Roman"/>
          <w:sz w:val="24"/>
          <w:szCs w:val="24"/>
        </w:rPr>
        <w:t xml:space="preserve">, </w:t>
      </w:r>
      <w:r w:rsidR="00DF7821">
        <w:rPr>
          <w:rFonts w:ascii="Times New Roman" w:hAnsi="Times New Roman" w:cs="Times New Roman"/>
          <w:sz w:val="24"/>
          <w:szCs w:val="24"/>
        </w:rPr>
        <w:t>reaching</w:t>
      </w:r>
      <w:r w:rsidRPr="00090CC2">
        <w:rPr>
          <w:rFonts w:ascii="Times New Roman" w:hAnsi="Times New Roman" w:cs="Times New Roman"/>
          <w:sz w:val="24"/>
          <w:szCs w:val="24"/>
        </w:rPr>
        <w:t xml:space="preserve"> 14.7 and 13.7, respectively per 1</w:t>
      </w:r>
      <w:r w:rsidR="00615105">
        <w:rPr>
          <w:rFonts w:ascii="Times New Roman" w:hAnsi="Times New Roman" w:cs="Times New Roman"/>
          <w:sz w:val="24"/>
          <w:szCs w:val="24"/>
        </w:rPr>
        <w:t>,</w:t>
      </w:r>
      <w:r w:rsidRPr="00090CC2">
        <w:rPr>
          <w:rFonts w:ascii="Times New Roman" w:hAnsi="Times New Roman" w:cs="Times New Roman"/>
          <w:sz w:val="24"/>
          <w:szCs w:val="24"/>
        </w:rPr>
        <w:t>000 live births.</w:t>
      </w:r>
    </w:p>
    <w:p w14:paraId="7C28EEF7"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49648399"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301966D0"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598A186C"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21D7BF6D"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6CD78A6B"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23E61233"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4C54F496"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7237F1F6"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674A518B"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29271FFB"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5D02BBE5"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4CEF269E"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0DA960DB"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Pr>
      </w:pPr>
    </w:p>
    <w:p w14:paraId="35F562CA" w14:textId="77777777" w:rsidR="00DD0DC4" w:rsidRDefault="00DD0DC4" w:rsidP="00DD0DC4">
      <w:pPr>
        <w:autoSpaceDE w:val="0"/>
        <w:autoSpaceDN w:val="0"/>
        <w:bidi w:val="0"/>
        <w:adjustRightInd w:val="0"/>
        <w:spacing w:after="0" w:line="240" w:lineRule="auto"/>
        <w:jc w:val="both"/>
        <w:rPr>
          <w:rFonts w:ascii="Times New Roman" w:hAnsi="Times New Roman" w:cs="Times New Roman"/>
          <w:sz w:val="24"/>
          <w:szCs w:val="24"/>
        </w:rPr>
      </w:pPr>
    </w:p>
    <w:p w14:paraId="21DB9FD3" w14:textId="77777777" w:rsidR="00DD0DC4" w:rsidRDefault="00DD0DC4" w:rsidP="00DD0DC4">
      <w:pPr>
        <w:autoSpaceDE w:val="0"/>
        <w:autoSpaceDN w:val="0"/>
        <w:bidi w:val="0"/>
        <w:adjustRightInd w:val="0"/>
        <w:spacing w:after="0" w:line="240" w:lineRule="auto"/>
        <w:jc w:val="both"/>
        <w:rPr>
          <w:rFonts w:ascii="Times New Roman" w:hAnsi="Times New Roman" w:cs="Times New Roman"/>
          <w:sz w:val="24"/>
          <w:szCs w:val="24"/>
        </w:rPr>
      </w:pPr>
    </w:p>
    <w:p w14:paraId="018F1D39" w14:textId="77777777" w:rsidR="007B7BEC" w:rsidRDefault="007B7BEC">
      <w:pPr>
        <w:bidi w:val="0"/>
      </w:pPr>
    </w:p>
    <w:tbl>
      <w:tblPr>
        <w:tblW w:w="9311" w:type="dxa"/>
        <w:tblBorders>
          <w:top w:val="thinThickSmallGap" w:sz="24" w:space="0" w:color="B83235"/>
          <w:left w:val="thinThickSmallGap" w:sz="24" w:space="0" w:color="B83235"/>
          <w:bottom w:val="thinThickSmallGap" w:sz="24" w:space="0" w:color="B83235"/>
          <w:right w:val="thinThickSmallGap" w:sz="24" w:space="0" w:color="B83235"/>
        </w:tblBorders>
        <w:tblLook w:val="04A0" w:firstRow="1" w:lastRow="0" w:firstColumn="1" w:lastColumn="0" w:noHBand="0" w:noVBand="1"/>
      </w:tblPr>
      <w:tblGrid>
        <w:gridCol w:w="2079"/>
        <w:gridCol w:w="7232"/>
      </w:tblGrid>
      <w:tr w:rsidR="00EC0053" w:rsidRPr="00A16230" w14:paraId="00DF4E9D" w14:textId="77777777" w:rsidTr="009D25D5">
        <w:tc>
          <w:tcPr>
            <w:tcW w:w="2079" w:type="dxa"/>
            <w:shd w:val="clear" w:color="auto" w:fill="auto"/>
            <w:vAlign w:val="center"/>
          </w:tcPr>
          <w:p w14:paraId="6A60D6B1" w14:textId="77777777" w:rsidR="00EC0053" w:rsidRPr="00A16230" w:rsidRDefault="00365FA6" w:rsidP="008C6258">
            <w:pPr>
              <w:pStyle w:val="Header"/>
              <w:tabs>
                <w:tab w:val="left" w:pos="720"/>
              </w:tabs>
              <w:bidi w:val="0"/>
              <w:jc w:val="center"/>
              <w:rPr>
                <w:rFonts w:ascii="Times New Roman" w:hAnsi="Times New Roman" w:cs="Times New Roman"/>
                <w:b/>
                <w:bCs/>
                <w:sz w:val="24"/>
                <w:szCs w:val="24"/>
                <w:lang w:val="it-IT"/>
              </w:rPr>
            </w:pPr>
            <w:r>
              <w:lastRenderedPageBreak/>
              <w:br w:type="page"/>
            </w:r>
            <w:r w:rsidR="00EC0053" w:rsidRPr="00A16230">
              <w:rPr>
                <w:noProof/>
              </w:rPr>
              <w:drawing>
                <wp:inline distT="0" distB="0" distL="0" distR="0" wp14:anchorId="56617B77" wp14:editId="74CA6C4E">
                  <wp:extent cx="1065530" cy="1081405"/>
                  <wp:effectExtent l="19050" t="0" r="1270" b="0"/>
                  <wp:docPr id="3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7" cstate="print"/>
                          <a:srcRect/>
                          <a:stretch>
                            <a:fillRect/>
                          </a:stretch>
                        </pic:blipFill>
                        <pic:spPr bwMode="auto">
                          <a:xfrm>
                            <a:off x="0" y="0"/>
                            <a:ext cx="1065530" cy="1081405"/>
                          </a:xfrm>
                          <a:prstGeom prst="rect">
                            <a:avLst/>
                          </a:prstGeom>
                          <a:noFill/>
                          <a:ln w="9525">
                            <a:noFill/>
                            <a:miter lim="800000"/>
                            <a:headEnd/>
                            <a:tailEnd/>
                          </a:ln>
                        </pic:spPr>
                      </pic:pic>
                    </a:graphicData>
                  </a:graphic>
                </wp:inline>
              </w:drawing>
            </w:r>
          </w:p>
        </w:tc>
        <w:tc>
          <w:tcPr>
            <w:tcW w:w="7232" w:type="dxa"/>
            <w:shd w:val="clear" w:color="auto" w:fill="auto"/>
            <w:vAlign w:val="center"/>
          </w:tcPr>
          <w:p w14:paraId="20192CFB" w14:textId="77777777" w:rsidR="00EC0053" w:rsidRPr="00A16230" w:rsidRDefault="00EC0053" w:rsidP="008C6258">
            <w:pPr>
              <w:pStyle w:val="Header"/>
              <w:tabs>
                <w:tab w:val="left" w:pos="720"/>
              </w:tabs>
              <w:bidi w:val="0"/>
              <w:rPr>
                <w:rFonts w:ascii="Times New Roman" w:hAnsi="Times New Roman" w:cs="Times New Roman"/>
                <w:b/>
                <w:sz w:val="28"/>
                <w:szCs w:val="28"/>
              </w:rPr>
            </w:pPr>
            <w:r w:rsidRPr="00A16230">
              <w:rPr>
                <w:rFonts w:ascii="Times New Roman" w:hAnsi="Times New Roman" w:cs="Times New Roman"/>
                <w:b/>
                <w:sz w:val="28"/>
                <w:szCs w:val="28"/>
              </w:rPr>
              <w:t xml:space="preserve">GOAL 4 – Ensure Inclusive </w:t>
            </w:r>
            <w:r w:rsidR="00DF7821">
              <w:rPr>
                <w:rFonts w:ascii="Times New Roman" w:hAnsi="Times New Roman" w:cs="Times New Roman"/>
                <w:b/>
                <w:sz w:val="28"/>
                <w:szCs w:val="28"/>
              </w:rPr>
              <w:t>a</w:t>
            </w:r>
            <w:r w:rsidRPr="00A16230">
              <w:rPr>
                <w:rFonts w:ascii="Times New Roman" w:hAnsi="Times New Roman" w:cs="Times New Roman"/>
                <w:b/>
                <w:sz w:val="28"/>
                <w:szCs w:val="28"/>
              </w:rPr>
              <w:t xml:space="preserve">nd Equitable Quality Education </w:t>
            </w:r>
            <w:r w:rsidR="00DF7821">
              <w:rPr>
                <w:rFonts w:ascii="Times New Roman" w:hAnsi="Times New Roman" w:cs="Times New Roman"/>
                <w:b/>
                <w:sz w:val="28"/>
                <w:szCs w:val="28"/>
              </w:rPr>
              <w:t>a</w:t>
            </w:r>
            <w:r w:rsidRPr="00A16230">
              <w:rPr>
                <w:rFonts w:ascii="Times New Roman" w:hAnsi="Times New Roman" w:cs="Times New Roman"/>
                <w:b/>
                <w:sz w:val="28"/>
                <w:szCs w:val="28"/>
              </w:rPr>
              <w:t>nd Promote Lifelong Learning Opportunities For All</w:t>
            </w:r>
          </w:p>
        </w:tc>
      </w:tr>
    </w:tbl>
    <w:p w14:paraId="11D77DB5"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p>
    <w:p w14:paraId="12FE43BA"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Introduction to the Goal</w:t>
      </w:r>
    </w:p>
    <w:p w14:paraId="3F78F3AD"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Goal 4 deals with the issue of education quality, a relevant factor for improving people's lives and making sustainable development feasible. The targets to be monitored relate to different dimensions: access to education for all of all levels (kindergarten, primary, secondary and tertiary), the quality of education given, the possession of knowledge and skills for employment and sustainable development; the elimination of gender disparities in education and equal access for the most vulnerable; monitoring of school facilities, so that they are suitable for everyone's needs.</w:t>
      </w:r>
    </w:p>
    <w:p w14:paraId="1E28FF6A"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To achieve the objectives for universal education, important results have been obtained with regard to increasing access to education, especially for women and girls: the basic level of literacy has improved significantly, but it is necessary strengthen actions to achieve even better results at all educational levels.</w:t>
      </w:r>
    </w:p>
    <w:p w14:paraId="25DB5349"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p>
    <w:p w14:paraId="6A16DFD3"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Targets</w:t>
      </w:r>
    </w:p>
    <w:p w14:paraId="0A95865C"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Goal 4 is broken down into 10 Targets, of which the last 3 refer to means of implementation: </w:t>
      </w:r>
    </w:p>
    <w:p w14:paraId="25502FB2"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4.1</w:t>
      </w:r>
    </w:p>
    <w:p w14:paraId="104282F4" w14:textId="77777777" w:rsidR="00EC0053" w:rsidRPr="00A16230" w:rsidRDefault="00EC0053" w:rsidP="008C6258">
      <w:pPr>
        <w:bidi w:val="0"/>
        <w:spacing w:after="0" w:line="240" w:lineRule="auto"/>
        <w:ind w:right="-334"/>
        <w:jc w:val="both"/>
        <w:rPr>
          <w:rFonts w:ascii="Times New Roman" w:hAnsi="Times New Roman" w:cs="Times New Roman"/>
          <w:sz w:val="24"/>
          <w:szCs w:val="24"/>
        </w:rPr>
      </w:pPr>
      <w:r w:rsidRPr="00A16230">
        <w:rPr>
          <w:rFonts w:ascii="Times New Roman" w:hAnsi="Times New Roman" w:cs="Times New Roman"/>
          <w:sz w:val="24"/>
          <w:szCs w:val="24"/>
          <w:lang w:eastAsia="ar-SA"/>
        </w:rPr>
        <w:t>By 2030, ensure that all girls and boys complete free, equitable and quality primary and secondary education leading to relevant and effective learning outcomes</w:t>
      </w:r>
      <w:r w:rsidR="00913B27">
        <w:rPr>
          <w:rFonts w:ascii="Times New Roman" w:hAnsi="Times New Roman" w:cs="Times New Roman"/>
          <w:sz w:val="24"/>
          <w:szCs w:val="24"/>
          <w:lang w:eastAsia="ar-SA"/>
        </w:rPr>
        <w:t>.</w:t>
      </w:r>
      <w:r w:rsidRPr="00A16230">
        <w:rPr>
          <w:rFonts w:ascii="Times New Roman" w:hAnsi="Times New Roman" w:cs="Times New Roman"/>
          <w:sz w:val="24"/>
          <w:szCs w:val="24"/>
        </w:rPr>
        <w:t> </w:t>
      </w:r>
    </w:p>
    <w:p w14:paraId="62A68276"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28E7CF12"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4.2</w:t>
      </w:r>
    </w:p>
    <w:p w14:paraId="5FFFB616"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ensure that all girls and boys have access to quality early childhood development, care and pre-primary education so that they are ready for primary education</w:t>
      </w:r>
      <w:r w:rsidR="00913B27">
        <w:rPr>
          <w:rFonts w:ascii="Times New Roman" w:hAnsi="Times New Roman" w:cs="Times New Roman"/>
          <w:sz w:val="24"/>
          <w:szCs w:val="24"/>
          <w:lang w:eastAsia="ar-SA"/>
        </w:rPr>
        <w:t>.</w:t>
      </w:r>
    </w:p>
    <w:p w14:paraId="6FF94DF2"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4A302297"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4.3</w:t>
      </w:r>
    </w:p>
    <w:p w14:paraId="33ABE76D"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ensure equal access for all women and men to affordable and quality technical, vocational and tertiary education, including university</w:t>
      </w:r>
    </w:p>
    <w:p w14:paraId="64DA2201"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1F575F4D"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4.4</w:t>
      </w:r>
    </w:p>
    <w:p w14:paraId="75EFC5C4"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substantially increase the number of youth and adults who have relevant skills including technical and vocational skills for employment, decent jobs and entrepreneurship</w:t>
      </w:r>
      <w:r w:rsidR="00913B27">
        <w:rPr>
          <w:rFonts w:ascii="Times New Roman" w:hAnsi="Times New Roman" w:cs="Times New Roman"/>
          <w:sz w:val="24"/>
          <w:szCs w:val="24"/>
          <w:lang w:eastAsia="ar-SA"/>
        </w:rPr>
        <w:t>.</w:t>
      </w:r>
    </w:p>
    <w:p w14:paraId="0A82E445"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5A7BEC7A"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4.5</w:t>
      </w:r>
    </w:p>
    <w:p w14:paraId="5F2BF41D"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eliminate gender disparities in education and ensure equal access to all levels of education and vocational training for the vulnerable, including persons with disabilities, indigenous peoples and children in vulnerable situations</w:t>
      </w:r>
      <w:r w:rsidR="00913B27">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w:t>
      </w:r>
    </w:p>
    <w:p w14:paraId="3440D6AD"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36787208"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4.6</w:t>
      </w:r>
    </w:p>
    <w:p w14:paraId="45BB65D0"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ensure that all youth and a substantial proportion of adults, both men and women, achieve literacy and numeracy</w:t>
      </w:r>
      <w:r w:rsidR="00913B27">
        <w:rPr>
          <w:rFonts w:ascii="Times New Roman" w:hAnsi="Times New Roman" w:cs="Times New Roman"/>
          <w:sz w:val="24"/>
          <w:szCs w:val="24"/>
          <w:lang w:eastAsia="ar-SA"/>
        </w:rPr>
        <w:t>.</w:t>
      </w:r>
    </w:p>
    <w:p w14:paraId="413DAC49" w14:textId="77777777" w:rsidR="00EC0053" w:rsidRPr="00A16230" w:rsidRDefault="00EC0053" w:rsidP="008C6258">
      <w:pPr>
        <w:bidi w:val="0"/>
        <w:spacing w:after="0" w:line="240" w:lineRule="auto"/>
        <w:ind w:right="-334"/>
        <w:jc w:val="both"/>
        <w:rPr>
          <w:rFonts w:ascii="Times New Roman" w:hAnsi="Times New Roman" w:cs="Times New Roman"/>
          <w:sz w:val="10"/>
          <w:szCs w:val="10"/>
          <w:lang w:eastAsia="ar-SA"/>
        </w:rPr>
      </w:pPr>
    </w:p>
    <w:p w14:paraId="7607508C"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4.7</w:t>
      </w:r>
    </w:p>
    <w:p w14:paraId="11A9F782"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ensure that all learners acquire the knowledge and skills needed to promote sustainable development, including, among others, through education for sustainable development and sustainable lifestyles, human rights, gender equality, promotion of a culture of peace and non-violence, global citizenship and appreciation of cultural diversity and of culture’s contribution to sustainable development</w:t>
      </w:r>
      <w:r w:rsidR="00913B27">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w:t>
      </w:r>
    </w:p>
    <w:p w14:paraId="4088F863"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61ADD6B6"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lastRenderedPageBreak/>
        <w:t>4.a</w:t>
      </w:r>
    </w:p>
    <w:p w14:paraId="651301C5"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Build and upgrade education facilities that are child, disability</w:t>
      </w:r>
      <w:r w:rsidR="00913B27">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xml:space="preserve"> and gender sensitive and provide safe, non-violent, inclusive and effective learning environments for all</w:t>
      </w:r>
      <w:r w:rsidR="00913B27">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w:t>
      </w:r>
    </w:p>
    <w:p w14:paraId="2537D3DC"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69C76AF9"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4.b</w:t>
      </w:r>
    </w:p>
    <w:p w14:paraId="225FBA4F"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By 2020, substantially expand globally the number of scholarships available to developing countries, in particular least developed countries, Small Island </w:t>
      </w:r>
      <w:r w:rsidR="00460DF0">
        <w:rPr>
          <w:rFonts w:ascii="Times New Roman" w:hAnsi="Times New Roman" w:cs="Times New Roman"/>
          <w:sz w:val="24"/>
          <w:szCs w:val="24"/>
          <w:lang w:eastAsia="ar-SA"/>
        </w:rPr>
        <w:t>D</w:t>
      </w:r>
      <w:r w:rsidRPr="00A16230">
        <w:rPr>
          <w:rFonts w:ascii="Times New Roman" w:hAnsi="Times New Roman" w:cs="Times New Roman"/>
          <w:sz w:val="24"/>
          <w:szCs w:val="24"/>
          <w:lang w:eastAsia="ar-SA"/>
        </w:rPr>
        <w:t>eveloping States and African countries, for enrolment in higher education including vocational training and information and communications technology, technical, engineering and scientific programs in developed countries and other developing countries</w:t>
      </w:r>
      <w:r w:rsidR="00A01BA9">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w:t>
      </w:r>
    </w:p>
    <w:p w14:paraId="4D7B3919"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0B4A4A1A"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4.c</w:t>
      </w:r>
    </w:p>
    <w:p w14:paraId="3C098F01"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By 2030, substantially increase the supply of qualified teachers including through international cooperation for teacher training in developing countries, especially least developed countries and Small Island </w:t>
      </w:r>
      <w:r w:rsidR="00460DF0">
        <w:rPr>
          <w:rFonts w:ascii="Times New Roman" w:hAnsi="Times New Roman" w:cs="Times New Roman"/>
          <w:sz w:val="24"/>
          <w:szCs w:val="24"/>
          <w:lang w:eastAsia="ar-SA"/>
        </w:rPr>
        <w:t>D</w:t>
      </w:r>
      <w:r w:rsidRPr="00A16230">
        <w:rPr>
          <w:rFonts w:ascii="Times New Roman" w:hAnsi="Times New Roman" w:cs="Times New Roman"/>
          <w:sz w:val="24"/>
          <w:szCs w:val="24"/>
          <w:lang w:eastAsia="ar-SA"/>
        </w:rPr>
        <w:t>eveloping States</w:t>
      </w:r>
      <w:r w:rsidR="00A01BA9">
        <w:rPr>
          <w:rFonts w:ascii="Times New Roman" w:hAnsi="Times New Roman" w:cs="Times New Roman"/>
          <w:sz w:val="24"/>
          <w:szCs w:val="24"/>
          <w:lang w:eastAsia="ar-SA"/>
        </w:rPr>
        <w:t>.</w:t>
      </w:r>
    </w:p>
    <w:p w14:paraId="55BFDEBF" w14:textId="77777777" w:rsidR="00EC0053" w:rsidRPr="00A16230" w:rsidRDefault="00EC0053" w:rsidP="008C6258">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line="240" w:lineRule="auto"/>
        <w:jc w:val="both"/>
        <w:rPr>
          <w:rFonts w:ascii="Times New Roman" w:hAnsi="Times New Roman" w:cs="Times New Roman"/>
          <w:sz w:val="24"/>
          <w:szCs w:val="24"/>
        </w:rPr>
      </w:pPr>
    </w:p>
    <w:p w14:paraId="3CD126DE" w14:textId="77777777" w:rsidR="00EC0053" w:rsidRPr="00625A8B" w:rsidRDefault="00EC0053" w:rsidP="00FB1314">
      <w:pPr>
        <w:pStyle w:val="ListParagraph"/>
        <w:numPr>
          <w:ilvl w:val="0"/>
          <w:numId w:val="12"/>
        </w:numPr>
        <w:spacing w:after="0" w:line="240" w:lineRule="auto"/>
        <w:ind w:right="-334"/>
        <w:jc w:val="both"/>
        <w:rPr>
          <w:rFonts w:ascii="Times New Roman" w:hAnsi="Times New Roman" w:cs="Times New Roman"/>
          <w:b/>
          <w:bCs/>
          <w:sz w:val="24"/>
          <w:szCs w:val="24"/>
          <w:lang w:eastAsia="ar-SA"/>
        </w:rPr>
      </w:pPr>
      <w:r w:rsidRPr="00625A8B">
        <w:rPr>
          <w:rFonts w:ascii="Times New Roman" w:hAnsi="Times New Roman" w:cs="Times New Roman"/>
          <w:b/>
          <w:bCs/>
          <w:sz w:val="24"/>
          <w:szCs w:val="24"/>
          <w:lang w:eastAsia="ar-SA"/>
        </w:rPr>
        <w:t>Indicators released by PCBS</w:t>
      </w:r>
    </w:p>
    <w:p w14:paraId="3ECCF88D"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There are </w:t>
      </w:r>
      <w:r w:rsidR="00FB5D8B">
        <w:rPr>
          <w:rFonts w:ascii="Times New Roman" w:hAnsi="Times New Roman" w:cs="Times New Roman"/>
          <w:sz w:val="24"/>
          <w:szCs w:val="24"/>
          <w:lang w:eastAsia="ar-SA"/>
        </w:rPr>
        <w:t>10</w:t>
      </w:r>
      <w:r w:rsidRPr="00A16230">
        <w:rPr>
          <w:rFonts w:ascii="Times New Roman" w:hAnsi="Times New Roman" w:cs="Times New Roman"/>
          <w:sz w:val="24"/>
          <w:szCs w:val="24"/>
          <w:lang w:eastAsia="ar-SA"/>
        </w:rPr>
        <w:t xml:space="preserve"> indicators released by PCBS for Goal 4, represent</w:t>
      </w:r>
      <w:r w:rsidR="00A01BA9">
        <w:rPr>
          <w:rFonts w:ascii="Times New Roman" w:hAnsi="Times New Roman" w:cs="Times New Roman"/>
          <w:sz w:val="24"/>
          <w:szCs w:val="24"/>
          <w:lang w:eastAsia="ar-SA"/>
        </w:rPr>
        <w:t>ing</w:t>
      </w:r>
      <w:r w:rsidR="00FB5D8B">
        <w:rPr>
          <w:rFonts w:ascii="Times New Roman" w:hAnsi="Times New Roman" w:cs="Times New Roman"/>
          <w:sz w:val="24"/>
          <w:szCs w:val="24"/>
          <w:lang w:eastAsia="ar-SA"/>
        </w:rPr>
        <w:t>33</w:t>
      </w:r>
      <w:r w:rsidRPr="00A16230">
        <w:rPr>
          <w:rFonts w:ascii="Times New Roman" w:hAnsi="Times New Roman" w:cs="Times New Roman"/>
          <w:sz w:val="24"/>
          <w:szCs w:val="24"/>
          <w:lang w:eastAsia="ar-SA"/>
        </w:rPr>
        <w:t xml:space="preserve"> data point, referring to </w:t>
      </w:r>
      <w:r w:rsidR="00A01BA9">
        <w:rPr>
          <w:rFonts w:ascii="Times New Roman" w:hAnsi="Times New Roman" w:cs="Times New Roman"/>
          <w:sz w:val="24"/>
          <w:szCs w:val="24"/>
          <w:lang w:eastAsia="ar-SA"/>
        </w:rPr>
        <w:t>eight</w:t>
      </w:r>
      <w:r w:rsidRPr="00A16230">
        <w:rPr>
          <w:rFonts w:ascii="Times New Roman" w:hAnsi="Times New Roman" w:cs="Times New Roman"/>
          <w:sz w:val="24"/>
          <w:szCs w:val="24"/>
          <w:lang w:eastAsia="ar-SA"/>
        </w:rPr>
        <w:t xml:space="preserve"> of the 1</w:t>
      </w:r>
      <w:r w:rsidRPr="00A16230">
        <w:rPr>
          <w:rFonts w:ascii="Times New Roman" w:hAnsi="Times New Roman" w:cs="Times New Roman" w:hint="cs"/>
          <w:sz w:val="24"/>
          <w:szCs w:val="24"/>
          <w:rtl/>
          <w:lang w:eastAsia="ar-SA"/>
        </w:rPr>
        <w:t>0</w:t>
      </w:r>
      <w:r w:rsidRPr="00A16230">
        <w:rPr>
          <w:rFonts w:ascii="Times New Roman" w:hAnsi="Times New Roman" w:cs="Times New Roman"/>
          <w:sz w:val="24"/>
          <w:szCs w:val="24"/>
          <w:lang w:eastAsia="ar-SA"/>
        </w:rPr>
        <w:t xml:space="preserve"> targets.</w:t>
      </w:r>
    </w:p>
    <w:p w14:paraId="58681442" w14:textId="77777777" w:rsidR="00EC0053" w:rsidRPr="00A16230" w:rsidRDefault="00EC0053" w:rsidP="008C6258">
      <w:pPr>
        <w:bidi w:val="0"/>
        <w:spacing w:after="0" w:line="240" w:lineRule="auto"/>
        <w:ind w:right="-334"/>
        <w:jc w:val="both"/>
        <w:rPr>
          <w:rFonts w:ascii="Times New Roman" w:hAnsi="Times New Roman" w:cs="Times New Roman"/>
          <w:sz w:val="16"/>
          <w:szCs w:val="16"/>
          <w:lang w:eastAsia="ar-SA"/>
        </w:rPr>
      </w:pPr>
    </w:p>
    <w:p w14:paraId="2BDE1C6B" w14:textId="77777777" w:rsidR="00EC0053" w:rsidRPr="00A16230" w:rsidRDefault="00EC0053" w:rsidP="008C6258">
      <w:pPr>
        <w:bidi w:val="0"/>
        <w:spacing w:after="0" w:line="240" w:lineRule="auto"/>
        <w:jc w:val="center"/>
        <w:rPr>
          <w:rFonts w:ascii="Arial" w:hAnsi="Arial"/>
          <w:b/>
          <w:bCs/>
          <w:lang w:eastAsia="ar-SA"/>
        </w:rPr>
      </w:pPr>
      <w:r w:rsidRPr="00A16230">
        <w:rPr>
          <w:rFonts w:ascii="Arial" w:hAnsi="Arial"/>
          <w:b/>
          <w:bCs/>
          <w:lang w:eastAsia="ar-SA"/>
        </w:rPr>
        <w:t>Table 4.1: List of SDGs IndicatorsReleased by PCBS</w:t>
      </w:r>
    </w:p>
    <w:p w14:paraId="02F4F2B1" w14:textId="77777777" w:rsidR="00EC0053" w:rsidRPr="00A16230" w:rsidRDefault="00EC0053" w:rsidP="008C6258">
      <w:pPr>
        <w:bidi w:val="0"/>
        <w:spacing w:after="0" w:line="240" w:lineRule="auto"/>
        <w:jc w:val="center"/>
        <w:rPr>
          <w:rFonts w:ascii="Arial" w:hAnsi="Arial"/>
          <w:sz w:val="12"/>
          <w:szCs w:val="12"/>
          <w:lang w:eastAsia="ar-SA"/>
        </w:rPr>
      </w:pPr>
    </w:p>
    <w:tbl>
      <w:tblPr>
        <w:tblW w:w="5257" w:type="pct"/>
        <w:jc w:val="center"/>
        <w:tblLook w:val="04A0" w:firstRow="1" w:lastRow="0" w:firstColumn="1" w:lastColumn="0" w:noHBand="0" w:noVBand="1"/>
      </w:tblPr>
      <w:tblGrid>
        <w:gridCol w:w="4313"/>
        <w:gridCol w:w="1195"/>
        <w:gridCol w:w="1651"/>
        <w:gridCol w:w="1260"/>
        <w:gridCol w:w="1107"/>
      </w:tblGrid>
      <w:tr w:rsidR="00EC0053" w:rsidRPr="00802088" w14:paraId="13C6DA93" w14:textId="77777777" w:rsidTr="00446CF3">
        <w:trPr>
          <w:trHeight w:val="504"/>
          <w:tblHeader/>
          <w:jc w:val="center"/>
        </w:trPr>
        <w:tc>
          <w:tcPr>
            <w:tcW w:w="43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0F1E29" w14:textId="77777777" w:rsidR="00EC0053" w:rsidRPr="00802088" w:rsidRDefault="00EC0053" w:rsidP="008C6258">
            <w:pPr>
              <w:bidi w:val="0"/>
              <w:spacing w:after="0" w:line="240" w:lineRule="auto"/>
              <w:jc w:val="center"/>
              <w:rPr>
                <w:rFonts w:asciiTheme="minorBidi" w:hAnsiTheme="minorBidi" w:cstheme="minorBidi"/>
                <w:b/>
                <w:bCs/>
                <w:sz w:val="18"/>
                <w:szCs w:val="18"/>
              </w:rPr>
            </w:pPr>
            <w:r w:rsidRPr="00802088">
              <w:rPr>
                <w:rFonts w:asciiTheme="minorBidi" w:hAnsiTheme="minorBidi" w:cstheme="minorBidi"/>
                <w:b/>
                <w:bCs/>
                <w:sz w:val="18"/>
                <w:szCs w:val="18"/>
              </w:rPr>
              <w:t>Indicator</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0104C4AC" w14:textId="77777777" w:rsidR="00EC0053" w:rsidRPr="00802088" w:rsidRDefault="00EC0053" w:rsidP="00E02452">
            <w:pPr>
              <w:bidi w:val="0"/>
              <w:spacing w:after="0" w:line="240" w:lineRule="auto"/>
              <w:jc w:val="center"/>
              <w:rPr>
                <w:rFonts w:asciiTheme="minorBidi" w:hAnsiTheme="minorBidi" w:cstheme="minorBidi"/>
                <w:b/>
                <w:bCs/>
                <w:sz w:val="18"/>
                <w:szCs w:val="18"/>
                <w:lang w:val="en-GB"/>
              </w:rPr>
            </w:pPr>
            <w:r w:rsidRPr="00802088">
              <w:rPr>
                <w:rStyle w:val="Bodytext8ptBoldSpacing0pt2"/>
                <w:rFonts w:asciiTheme="minorBidi" w:hAnsiTheme="minorBidi" w:cstheme="minorBidi"/>
                <w:color w:val="auto"/>
                <w:sz w:val="18"/>
                <w:szCs w:val="18"/>
              </w:rPr>
              <w:t xml:space="preserve">Referring to the SDG </w:t>
            </w:r>
            <w:r w:rsidR="00A01BA9">
              <w:rPr>
                <w:rStyle w:val="Bodytext8ptBoldSpacing0pt2"/>
                <w:rFonts w:asciiTheme="minorBidi" w:hAnsiTheme="minorBidi" w:cstheme="minorBidi"/>
                <w:color w:val="auto"/>
                <w:sz w:val="18"/>
                <w:szCs w:val="18"/>
              </w:rPr>
              <w:t>i</w:t>
            </w:r>
            <w:r w:rsidRPr="00802088">
              <w:rPr>
                <w:rStyle w:val="Bodytext8ptBoldSpacing0pt2"/>
                <w:rFonts w:asciiTheme="minorBidi" w:hAnsiTheme="minorBidi" w:cstheme="minorBidi"/>
                <w:color w:val="auto"/>
                <w:sz w:val="18"/>
                <w:szCs w:val="18"/>
              </w:rPr>
              <w:t>ndicator</w:t>
            </w:r>
          </w:p>
        </w:tc>
        <w:tc>
          <w:tcPr>
            <w:tcW w:w="1651" w:type="dxa"/>
            <w:tcBorders>
              <w:top w:val="single" w:sz="4" w:space="0" w:color="auto"/>
              <w:left w:val="nil"/>
              <w:bottom w:val="single" w:sz="4" w:space="0" w:color="auto"/>
              <w:right w:val="single" w:sz="4" w:space="0" w:color="auto"/>
            </w:tcBorders>
            <w:vAlign w:val="center"/>
          </w:tcPr>
          <w:p w14:paraId="2EF9A051" w14:textId="77777777" w:rsidR="00EC0053" w:rsidRPr="00802088" w:rsidRDefault="00EC0053" w:rsidP="00E02452">
            <w:pPr>
              <w:bidi w:val="0"/>
              <w:spacing w:after="0" w:line="240" w:lineRule="auto"/>
              <w:jc w:val="center"/>
              <w:rPr>
                <w:rStyle w:val="Bodytext8ptBoldSpacing0pt2"/>
                <w:rFonts w:asciiTheme="minorBidi" w:hAnsiTheme="minorBidi" w:cstheme="minorBidi"/>
                <w:color w:val="auto"/>
                <w:sz w:val="18"/>
                <w:szCs w:val="18"/>
              </w:rPr>
            </w:pPr>
            <w:r w:rsidRPr="00802088">
              <w:rPr>
                <w:rStyle w:val="Bodytext8ptBoldSpacing0pt2"/>
                <w:rFonts w:asciiTheme="minorBidi" w:hAnsiTheme="minorBidi" w:cstheme="minorBidi"/>
                <w:color w:val="auto"/>
                <w:sz w:val="18"/>
                <w:szCs w:val="18"/>
              </w:rPr>
              <w:t>Previous data point</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80398" w14:textId="77777777" w:rsidR="00EC0053" w:rsidRPr="00802088" w:rsidRDefault="00EC0053" w:rsidP="00E02452">
            <w:pPr>
              <w:bidi w:val="0"/>
              <w:spacing w:after="0" w:line="240" w:lineRule="auto"/>
              <w:jc w:val="center"/>
              <w:rPr>
                <w:rFonts w:asciiTheme="minorBidi" w:hAnsiTheme="minorBidi" w:cstheme="minorBidi"/>
                <w:b/>
                <w:bCs/>
                <w:sz w:val="18"/>
                <w:szCs w:val="18"/>
              </w:rPr>
            </w:pPr>
            <w:r w:rsidRPr="00802088">
              <w:rPr>
                <w:rStyle w:val="Bodytext8ptBoldSpacing0pt2"/>
                <w:rFonts w:asciiTheme="minorBidi" w:hAnsiTheme="minorBidi" w:cstheme="minorBidi"/>
                <w:color w:val="auto"/>
                <w:sz w:val="18"/>
                <w:szCs w:val="18"/>
              </w:rPr>
              <w:t xml:space="preserve">Last </w:t>
            </w:r>
            <w:r w:rsidR="00A01BA9">
              <w:rPr>
                <w:rStyle w:val="Bodytext8ptBoldSpacing0pt2"/>
                <w:rFonts w:asciiTheme="minorBidi" w:hAnsiTheme="minorBidi" w:cstheme="minorBidi"/>
                <w:color w:val="auto"/>
                <w:sz w:val="18"/>
                <w:szCs w:val="18"/>
              </w:rPr>
              <w:t>a</w:t>
            </w:r>
            <w:r w:rsidRPr="00802088">
              <w:rPr>
                <w:rStyle w:val="Bodytext8ptBoldSpacing0pt2"/>
                <w:rFonts w:asciiTheme="minorBidi" w:hAnsiTheme="minorBidi" w:cstheme="minorBidi"/>
                <w:color w:val="auto"/>
                <w:sz w:val="18"/>
                <w:szCs w:val="18"/>
              </w:rPr>
              <w:t xml:space="preserve">vailable </w:t>
            </w:r>
            <w:r w:rsidR="00A01BA9">
              <w:rPr>
                <w:rStyle w:val="Bodytext8ptBoldSpacing0pt2"/>
                <w:rFonts w:asciiTheme="minorBidi" w:hAnsiTheme="minorBidi" w:cstheme="minorBidi"/>
                <w:color w:val="auto"/>
                <w:sz w:val="18"/>
                <w:szCs w:val="18"/>
              </w:rPr>
              <w:t>v</w:t>
            </w:r>
            <w:r w:rsidRPr="00802088">
              <w:rPr>
                <w:rStyle w:val="Bodytext8ptBoldSpacing0pt2"/>
                <w:rFonts w:asciiTheme="minorBidi" w:hAnsiTheme="minorBidi" w:cstheme="minorBidi"/>
                <w:color w:val="auto"/>
                <w:sz w:val="18"/>
                <w:szCs w:val="18"/>
              </w:rPr>
              <w:t>alue</w:t>
            </w:r>
          </w:p>
        </w:tc>
        <w:tc>
          <w:tcPr>
            <w:tcW w:w="1107" w:type="dxa"/>
            <w:tcBorders>
              <w:top w:val="single" w:sz="4" w:space="0" w:color="auto"/>
              <w:left w:val="single" w:sz="4" w:space="0" w:color="auto"/>
              <w:bottom w:val="single" w:sz="4" w:space="0" w:color="auto"/>
              <w:right w:val="single" w:sz="4" w:space="0" w:color="auto"/>
            </w:tcBorders>
            <w:vAlign w:val="center"/>
          </w:tcPr>
          <w:p w14:paraId="31FEB733" w14:textId="77777777" w:rsidR="00EC0053" w:rsidRPr="00802088" w:rsidRDefault="00EC0053" w:rsidP="00E02452">
            <w:pPr>
              <w:bidi w:val="0"/>
              <w:spacing w:after="0" w:line="240" w:lineRule="auto"/>
              <w:jc w:val="center"/>
              <w:rPr>
                <w:rStyle w:val="Bodytext8ptBoldSpacing0pt2"/>
                <w:rFonts w:asciiTheme="minorBidi" w:hAnsiTheme="minorBidi" w:cstheme="minorBidi"/>
                <w:b w:val="0"/>
                <w:bCs w:val="0"/>
                <w:color w:val="auto"/>
                <w:sz w:val="18"/>
                <w:szCs w:val="18"/>
              </w:rPr>
            </w:pPr>
            <w:r w:rsidRPr="00802088">
              <w:rPr>
                <w:rFonts w:asciiTheme="minorBidi" w:hAnsiTheme="minorBidi" w:cstheme="minorBidi"/>
                <w:b/>
                <w:bCs/>
                <w:sz w:val="18"/>
                <w:szCs w:val="18"/>
              </w:rPr>
              <w:t>Compared to the previous data point</w:t>
            </w:r>
          </w:p>
        </w:tc>
      </w:tr>
      <w:tr w:rsidR="00EC0053" w:rsidRPr="00802088" w14:paraId="782DCDBB" w14:textId="77777777" w:rsidTr="00446CF3">
        <w:trPr>
          <w:trHeight w:val="389"/>
          <w:jc w:val="center"/>
        </w:trPr>
        <w:tc>
          <w:tcPr>
            <w:tcW w:w="4313" w:type="dxa"/>
            <w:tcBorders>
              <w:top w:val="single" w:sz="4" w:space="0" w:color="auto"/>
              <w:left w:val="single" w:sz="4" w:space="0" w:color="auto"/>
              <w:bottom w:val="single" w:sz="4" w:space="0" w:color="auto"/>
              <w:right w:val="single" w:sz="4" w:space="0" w:color="auto"/>
            </w:tcBorders>
            <w:shd w:val="clear" w:color="auto" w:fill="auto"/>
            <w:vAlign w:val="center"/>
          </w:tcPr>
          <w:p w14:paraId="4EBBF1F9" w14:textId="77777777" w:rsidR="00EC0053" w:rsidRPr="00802088" w:rsidRDefault="00EC0053" w:rsidP="008C6258">
            <w:pPr>
              <w:bidi w:val="0"/>
              <w:spacing w:after="0" w:line="240" w:lineRule="auto"/>
              <w:jc w:val="both"/>
              <w:rPr>
                <w:rFonts w:asciiTheme="minorBidi" w:hAnsiTheme="minorBidi" w:cstheme="minorBidi"/>
                <w:b/>
                <w:bCs/>
                <w:sz w:val="18"/>
                <w:szCs w:val="18"/>
              </w:rPr>
            </w:pPr>
            <w:r w:rsidRPr="00802088">
              <w:rPr>
                <w:rFonts w:asciiTheme="minorBidi" w:hAnsiTheme="minorBidi" w:cstheme="minorBidi"/>
                <w:b/>
                <w:bCs/>
                <w:sz w:val="18"/>
                <w:szCs w:val="18"/>
              </w:rPr>
              <w:t xml:space="preserve">Indicator </w:t>
            </w:r>
            <w:r w:rsidRPr="00802088">
              <w:rPr>
                <w:rFonts w:asciiTheme="minorBidi" w:hAnsiTheme="minorBidi" w:cstheme="minorBidi"/>
                <w:b/>
                <w:bCs/>
                <w:sz w:val="18"/>
                <w:szCs w:val="18"/>
                <w:rtl/>
              </w:rPr>
              <w:t>4</w:t>
            </w:r>
            <w:r w:rsidRPr="00802088">
              <w:rPr>
                <w:rFonts w:asciiTheme="minorBidi" w:hAnsiTheme="minorBidi" w:cstheme="minorBidi"/>
                <w:b/>
                <w:bCs/>
                <w:sz w:val="18"/>
                <w:szCs w:val="18"/>
              </w:rPr>
              <w:t xml:space="preserve">.1.1 </w:t>
            </w:r>
            <w:r w:rsidRPr="00802088">
              <w:rPr>
                <w:rFonts w:asciiTheme="minorBidi" w:hAnsiTheme="minorBidi" w:cstheme="minorBidi"/>
                <w:sz w:val="18"/>
                <w:szCs w:val="18"/>
              </w:rPr>
              <w:t>Proportion of children and young people: (a) in grades 2/3; (b) at the end of primary; and (c) at the end of lower secondary achieving at least a minimum proficiency level in reading and mathematics, by sex</w:t>
            </w:r>
          </w:p>
          <w:p w14:paraId="1B3EBC9E" w14:textId="77777777" w:rsidR="00EC0053" w:rsidRPr="00802088" w:rsidRDefault="00EC0053" w:rsidP="008C6258">
            <w:pPr>
              <w:bidi w:val="0"/>
              <w:spacing w:after="0" w:line="240" w:lineRule="auto"/>
              <w:ind w:left="375"/>
              <w:jc w:val="both"/>
              <w:rPr>
                <w:rFonts w:asciiTheme="minorBidi" w:hAnsiTheme="minorBidi" w:cstheme="minorBidi"/>
                <w:b/>
                <w:bCs/>
                <w:sz w:val="18"/>
                <w:szCs w:val="18"/>
              </w:rPr>
            </w:pPr>
            <w:r w:rsidRPr="00802088">
              <w:rPr>
                <w:rFonts w:asciiTheme="minorBidi" w:hAnsiTheme="minorBidi" w:cstheme="minorBidi"/>
                <w:sz w:val="18"/>
                <w:szCs w:val="18"/>
              </w:rPr>
              <w:t>Proportion of children and young people: (a) in grades 2/3; (b) at the end of primary; and (c) at the end of lower secondary achieving at least a minimum proficiency level in reading, by sex(PCBS, 2019, Percentage)</w:t>
            </w:r>
          </w:p>
          <w:p w14:paraId="50D6C719" w14:textId="77777777" w:rsidR="004970D6" w:rsidRPr="00802088" w:rsidRDefault="00EC0053" w:rsidP="008C6258">
            <w:pPr>
              <w:bidi w:val="0"/>
              <w:spacing w:after="0" w:line="240" w:lineRule="auto"/>
              <w:ind w:left="375"/>
              <w:jc w:val="both"/>
              <w:rPr>
                <w:rFonts w:asciiTheme="minorBidi" w:hAnsiTheme="minorBidi" w:cstheme="minorBidi"/>
                <w:sz w:val="18"/>
                <w:szCs w:val="18"/>
              </w:rPr>
            </w:pPr>
            <w:r w:rsidRPr="00802088">
              <w:rPr>
                <w:rFonts w:asciiTheme="minorBidi" w:hAnsiTheme="minorBidi" w:cstheme="minorBidi"/>
                <w:sz w:val="18"/>
                <w:szCs w:val="18"/>
              </w:rPr>
              <w:t xml:space="preserve">Proportion of children and young people: (a) in grades 2/3; (b) at the end of primary; and (c) at the end of lower secondary achieving at least a minimum proficiency level in mathematics, by sex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top w:val="single" w:sz="4" w:space="0" w:color="auto"/>
              <w:left w:val="nil"/>
              <w:bottom w:val="single" w:sz="4" w:space="0" w:color="auto"/>
              <w:right w:val="single" w:sz="4" w:space="0" w:color="auto"/>
            </w:tcBorders>
            <w:shd w:val="clear" w:color="auto" w:fill="auto"/>
            <w:noWrap/>
          </w:tcPr>
          <w:p w14:paraId="5AA0F1C8"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6B686E7B"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206342F2"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1B0C04E0"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3723B960"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708B73F6"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30EC8746"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7D0E5946"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2A83D242"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1E260353"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335A365C"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26E42B89"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top w:val="single" w:sz="4" w:space="0" w:color="auto"/>
              <w:left w:val="nil"/>
              <w:bottom w:val="single" w:sz="4" w:space="0" w:color="auto"/>
              <w:right w:val="single" w:sz="4" w:space="0" w:color="auto"/>
            </w:tcBorders>
          </w:tcPr>
          <w:p w14:paraId="1A66DE85"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tcPr>
          <w:p w14:paraId="77734D2F"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1D64FF1C"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469B928A"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595188E7"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27FDFEC7"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5623F19B"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52.</w:t>
            </w:r>
            <w:r w:rsidR="00534558" w:rsidRPr="00802088">
              <w:rPr>
                <w:rFonts w:asciiTheme="minorBidi" w:hAnsiTheme="minorBidi" w:cstheme="minorBidi"/>
                <w:sz w:val="18"/>
                <w:szCs w:val="18"/>
              </w:rPr>
              <w:t>7</w:t>
            </w:r>
          </w:p>
          <w:p w14:paraId="3BF8B4EE"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4F41DE55"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2CFB54D9"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40F2C6DF"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3CC44223"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45.</w:t>
            </w:r>
            <w:r w:rsidR="00534558" w:rsidRPr="00802088">
              <w:rPr>
                <w:rFonts w:asciiTheme="minorBidi" w:hAnsiTheme="minorBidi" w:cstheme="minorBidi"/>
                <w:sz w:val="18"/>
                <w:szCs w:val="18"/>
              </w:rPr>
              <w:t>8</w:t>
            </w:r>
          </w:p>
        </w:tc>
        <w:tc>
          <w:tcPr>
            <w:tcW w:w="1107" w:type="dxa"/>
            <w:tcBorders>
              <w:top w:val="single" w:sz="4" w:space="0" w:color="auto"/>
              <w:left w:val="single" w:sz="4" w:space="0" w:color="auto"/>
              <w:bottom w:val="single" w:sz="4" w:space="0" w:color="auto"/>
              <w:right w:val="single" w:sz="4" w:space="0" w:color="auto"/>
            </w:tcBorders>
          </w:tcPr>
          <w:p w14:paraId="502A0C7C"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r>
      <w:tr w:rsidR="00EC0053" w:rsidRPr="00802088" w14:paraId="64DEED81" w14:textId="77777777" w:rsidTr="00446CF3">
        <w:trPr>
          <w:trHeight w:val="389"/>
          <w:jc w:val="center"/>
        </w:trPr>
        <w:tc>
          <w:tcPr>
            <w:tcW w:w="4313" w:type="dxa"/>
            <w:tcBorders>
              <w:top w:val="single" w:sz="4" w:space="0" w:color="auto"/>
              <w:left w:val="single" w:sz="4" w:space="0" w:color="auto"/>
              <w:bottom w:val="single" w:sz="4" w:space="0" w:color="auto"/>
              <w:right w:val="single" w:sz="4" w:space="0" w:color="auto"/>
            </w:tcBorders>
            <w:shd w:val="clear" w:color="auto" w:fill="auto"/>
            <w:vAlign w:val="center"/>
          </w:tcPr>
          <w:p w14:paraId="103A733A" w14:textId="77777777" w:rsidR="00EC0053" w:rsidRPr="00802088" w:rsidRDefault="00EC0053" w:rsidP="008C6258">
            <w:pPr>
              <w:bidi w:val="0"/>
              <w:spacing w:after="0" w:line="240" w:lineRule="auto"/>
              <w:jc w:val="both"/>
              <w:rPr>
                <w:rFonts w:asciiTheme="minorBidi" w:hAnsiTheme="minorBidi" w:cstheme="minorBidi"/>
                <w:b/>
                <w:bCs/>
                <w:sz w:val="18"/>
                <w:szCs w:val="18"/>
              </w:rPr>
            </w:pPr>
            <w:r w:rsidRPr="00802088">
              <w:rPr>
                <w:rFonts w:asciiTheme="minorBidi" w:hAnsiTheme="minorBidi" w:cstheme="minorBidi"/>
                <w:b/>
                <w:bCs/>
                <w:sz w:val="18"/>
                <w:szCs w:val="18"/>
              </w:rPr>
              <w:t xml:space="preserve">Indicator </w:t>
            </w:r>
            <w:r w:rsidRPr="00802088">
              <w:rPr>
                <w:rFonts w:asciiTheme="minorBidi" w:hAnsiTheme="minorBidi" w:cstheme="minorBidi"/>
                <w:b/>
                <w:bCs/>
                <w:sz w:val="18"/>
                <w:szCs w:val="18"/>
                <w:rtl/>
              </w:rPr>
              <w:t>4</w:t>
            </w:r>
            <w:r w:rsidRPr="00802088">
              <w:rPr>
                <w:rFonts w:asciiTheme="minorBidi" w:hAnsiTheme="minorBidi" w:cstheme="minorBidi"/>
                <w:b/>
                <w:bCs/>
                <w:sz w:val="18"/>
                <w:szCs w:val="18"/>
              </w:rPr>
              <w:t xml:space="preserve">.1.2 </w:t>
            </w:r>
            <w:r w:rsidRPr="00802088">
              <w:rPr>
                <w:rFonts w:asciiTheme="minorBidi" w:hAnsiTheme="minorBidi" w:cstheme="minorBidi"/>
                <w:sz w:val="18"/>
                <w:szCs w:val="18"/>
              </w:rPr>
              <w:t>Completion rate (primary education, lower secondary education, upper secondary education)(PCBS, 202</w:t>
            </w:r>
            <w:r w:rsidR="00534558" w:rsidRPr="00802088">
              <w:rPr>
                <w:rFonts w:asciiTheme="minorBidi" w:hAnsiTheme="minorBidi" w:cstheme="minorBidi"/>
                <w:sz w:val="18"/>
                <w:szCs w:val="18"/>
              </w:rPr>
              <w:t>1</w:t>
            </w:r>
            <w:r w:rsidRPr="00802088">
              <w:rPr>
                <w:rFonts w:asciiTheme="minorBidi" w:hAnsiTheme="minorBidi" w:cstheme="minorBidi"/>
                <w:sz w:val="18"/>
                <w:szCs w:val="18"/>
              </w:rPr>
              <w:t>, rate)</w:t>
            </w:r>
          </w:p>
          <w:p w14:paraId="2D6327F3" w14:textId="77777777"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sz w:val="18"/>
                <w:szCs w:val="18"/>
              </w:rPr>
              <w:t>Primary</w:t>
            </w:r>
          </w:p>
          <w:p w14:paraId="500071BD" w14:textId="77777777"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sz w:val="18"/>
                <w:szCs w:val="18"/>
              </w:rPr>
              <w:t>Lower secondary</w:t>
            </w:r>
          </w:p>
          <w:p w14:paraId="3C183F0B" w14:textId="77777777" w:rsidR="00534558"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sz w:val="18"/>
                <w:szCs w:val="18"/>
              </w:rPr>
              <w:t>Upper secondary</w:t>
            </w:r>
          </w:p>
        </w:tc>
        <w:tc>
          <w:tcPr>
            <w:tcW w:w="1195" w:type="dxa"/>
            <w:tcBorders>
              <w:top w:val="single" w:sz="4" w:space="0" w:color="auto"/>
              <w:left w:val="nil"/>
              <w:bottom w:val="single" w:sz="4" w:space="0" w:color="auto"/>
              <w:right w:val="single" w:sz="4" w:space="0" w:color="auto"/>
            </w:tcBorders>
            <w:shd w:val="clear" w:color="auto" w:fill="auto"/>
            <w:noWrap/>
          </w:tcPr>
          <w:p w14:paraId="09376B9B"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2E27CE49"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top w:val="single" w:sz="4" w:space="0" w:color="auto"/>
              <w:left w:val="nil"/>
              <w:bottom w:val="single" w:sz="4" w:space="0" w:color="auto"/>
              <w:right w:val="single" w:sz="4" w:space="0" w:color="auto"/>
            </w:tcBorders>
          </w:tcPr>
          <w:p w14:paraId="48218A1B"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49BC0181"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4C928795"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2C68312D" w14:textId="77777777" w:rsidR="00534558"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99.2(2020)</w:t>
            </w:r>
          </w:p>
          <w:p w14:paraId="34336137" w14:textId="77777777" w:rsidR="00534558"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91.9(2020)</w:t>
            </w:r>
          </w:p>
          <w:p w14:paraId="32255AF7" w14:textId="77777777" w:rsidR="00EC0053"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63.3(2020)</w:t>
            </w:r>
          </w:p>
        </w:tc>
        <w:tc>
          <w:tcPr>
            <w:tcW w:w="1260" w:type="dxa"/>
            <w:tcBorders>
              <w:top w:val="single" w:sz="4" w:space="0" w:color="auto"/>
              <w:left w:val="single" w:sz="4" w:space="0" w:color="auto"/>
              <w:bottom w:val="single" w:sz="4" w:space="0" w:color="auto"/>
              <w:right w:val="single" w:sz="4" w:space="0" w:color="auto"/>
            </w:tcBorders>
            <w:shd w:val="clear" w:color="auto" w:fill="auto"/>
            <w:noWrap/>
          </w:tcPr>
          <w:p w14:paraId="5E1F835B"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79FF1ACA"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4AB3A454"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68B4088C" w14:textId="77777777" w:rsidR="00534558"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99.2</w:t>
            </w:r>
          </w:p>
          <w:p w14:paraId="5DB8E17D" w14:textId="77777777" w:rsidR="00534558"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93.3</w:t>
            </w:r>
          </w:p>
          <w:p w14:paraId="18AF5134" w14:textId="77777777" w:rsidR="00EC0053"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63.3</w:t>
            </w:r>
          </w:p>
        </w:tc>
        <w:tc>
          <w:tcPr>
            <w:tcW w:w="1107" w:type="dxa"/>
            <w:tcBorders>
              <w:top w:val="single" w:sz="4" w:space="0" w:color="auto"/>
              <w:left w:val="single" w:sz="4" w:space="0" w:color="auto"/>
              <w:bottom w:val="single" w:sz="4" w:space="0" w:color="auto"/>
              <w:right w:val="single" w:sz="4" w:space="0" w:color="auto"/>
            </w:tcBorders>
          </w:tcPr>
          <w:p w14:paraId="18CAF4BC" w14:textId="77777777" w:rsidR="00EC0053" w:rsidRPr="00802088" w:rsidRDefault="00EC0053" w:rsidP="008C6258">
            <w:pPr>
              <w:bidi w:val="0"/>
              <w:spacing w:after="0" w:line="240" w:lineRule="auto"/>
              <w:jc w:val="both"/>
              <w:rPr>
                <w:rFonts w:asciiTheme="minorBidi" w:hAnsiTheme="minorBidi" w:cstheme="minorBidi"/>
                <w:sz w:val="18"/>
                <w:szCs w:val="18"/>
              </w:rPr>
            </w:pPr>
          </w:p>
          <w:p w14:paraId="3D1B96A8" w14:textId="77777777" w:rsidR="00EC0053" w:rsidRPr="00802088" w:rsidRDefault="00EC0053" w:rsidP="008C6258">
            <w:pPr>
              <w:bidi w:val="0"/>
              <w:spacing w:after="0" w:line="240" w:lineRule="auto"/>
              <w:jc w:val="both"/>
              <w:rPr>
                <w:rFonts w:asciiTheme="minorBidi" w:hAnsiTheme="minorBidi" w:cstheme="minorBidi"/>
                <w:sz w:val="18"/>
                <w:szCs w:val="18"/>
              </w:rPr>
            </w:pPr>
          </w:p>
          <w:p w14:paraId="666F7402" w14:textId="77777777" w:rsidR="00EC0053" w:rsidRPr="00802088" w:rsidRDefault="00EC0053" w:rsidP="008C6258">
            <w:pPr>
              <w:bidi w:val="0"/>
              <w:spacing w:after="0" w:line="240" w:lineRule="auto"/>
              <w:jc w:val="both"/>
              <w:rPr>
                <w:rFonts w:asciiTheme="minorBidi" w:hAnsiTheme="minorBidi" w:cstheme="minorBidi"/>
                <w:sz w:val="18"/>
                <w:szCs w:val="18"/>
              </w:rPr>
            </w:pPr>
          </w:p>
          <w:p w14:paraId="5CC26DC8" w14:textId="77777777" w:rsidR="00534558" w:rsidRPr="00802088" w:rsidRDefault="00534558" w:rsidP="005B6322">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No change</w:t>
            </w:r>
          </w:p>
          <w:p w14:paraId="29FA7191" w14:textId="77777777" w:rsidR="00534558" w:rsidRPr="00802088" w:rsidRDefault="00534558" w:rsidP="005B6322">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Increase</w:t>
            </w:r>
          </w:p>
          <w:p w14:paraId="07E38E56" w14:textId="77777777" w:rsidR="00534558" w:rsidRPr="00802088" w:rsidRDefault="00534558" w:rsidP="005B6322">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No change</w:t>
            </w:r>
          </w:p>
          <w:p w14:paraId="3FD837BC" w14:textId="77777777" w:rsidR="00EC0053" w:rsidRPr="00802088" w:rsidRDefault="00EC0053" w:rsidP="008C6258">
            <w:pPr>
              <w:bidi w:val="0"/>
              <w:spacing w:after="0" w:line="240" w:lineRule="auto"/>
              <w:jc w:val="both"/>
              <w:rPr>
                <w:rFonts w:asciiTheme="minorBidi" w:hAnsiTheme="minorBidi" w:cstheme="minorBidi"/>
                <w:sz w:val="18"/>
                <w:szCs w:val="18"/>
              </w:rPr>
            </w:pPr>
          </w:p>
        </w:tc>
      </w:tr>
      <w:tr w:rsidR="00EC0053" w:rsidRPr="00802088" w14:paraId="7D69E394" w14:textId="77777777" w:rsidTr="00446CF3">
        <w:trPr>
          <w:trHeight w:val="389"/>
          <w:jc w:val="center"/>
        </w:trPr>
        <w:tc>
          <w:tcPr>
            <w:tcW w:w="4313" w:type="dxa"/>
            <w:tcBorders>
              <w:top w:val="single" w:sz="4" w:space="0" w:color="auto"/>
              <w:left w:val="single" w:sz="4" w:space="0" w:color="auto"/>
              <w:bottom w:val="single" w:sz="4" w:space="0" w:color="auto"/>
              <w:right w:val="single" w:sz="4" w:space="0" w:color="auto"/>
            </w:tcBorders>
            <w:shd w:val="clear" w:color="auto" w:fill="auto"/>
            <w:vAlign w:val="center"/>
          </w:tcPr>
          <w:p w14:paraId="574A4F45" w14:textId="77777777" w:rsidR="00FB5D8B" w:rsidRPr="00802088" w:rsidRDefault="00EC0053" w:rsidP="00E02452">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 xml:space="preserve">Indicator 4.2.1 </w:t>
            </w:r>
            <w:r w:rsidRPr="00802088">
              <w:rPr>
                <w:rFonts w:asciiTheme="minorBidi" w:hAnsiTheme="minorBidi" w:cstheme="minorBidi"/>
                <w:sz w:val="18"/>
                <w:szCs w:val="18"/>
              </w:rPr>
              <w:t>Proportion of children aged 24-59 months who are developmentally on track in health, learning</w:t>
            </w:r>
            <w:r w:rsidR="00A01BA9">
              <w:rPr>
                <w:rFonts w:asciiTheme="minorBidi" w:hAnsiTheme="minorBidi" w:cstheme="minorBidi"/>
                <w:sz w:val="18"/>
                <w:szCs w:val="18"/>
              </w:rPr>
              <w:t>,</w:t>
            </w:r>
            <w:r w:rsidRPr="00802088">
              <w:rPr>
                <w:rFonts w:asciiTheme="minorBidi" w:hAnsiTheme="minorBidi" w:cstheme="minorBidi"/>
                <w:sz w:val="18"/>
                <w:szCs w:val="18"/>
              </w:rPr>
              <w:t xml:space="preserve"> and psychosocial well-being, by sex(PCBS,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top w:val="single" w:sz="4" w:space="0" w:color="auto"/>
              <w:left w:val="nil"/>
              <w:bottom w:val="single" w:sz="4" w:space="0" w:color="auto"/>
              <w:right w:val="single" w:sz="4" w:space="0" w:color="auto"/>
            </w:tcBorders>
            <w:shd w:val="clear" w:color="auto" w:fill="auto"/>
            <w:noWrap/>
          </w:tcPr>
          <w:p w14:paraId="58CFE900"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3B2A8429"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top w:val="single" w:sz="4" w:space="0" w:color="auto"/>
              <w:left w:val="nil"/>
              <w:bottom w:val="single" w:sz="4" w:space="0" w:color="auto"/>
              <w:right w:val="single" w:sz="4" w:space="0" w:color="auto"/>
            </w:tcBorders>
          </w:tcPr>
          <w:p w14:paraId="691CE698" w14:textId="77777777" w:rsidR="008251C6" w:rsidRPr="00802088" w:rsidRDefault="008251C6" w:rsidP="008C6258">
            <w:pPr>
              <w:bidi w:val="0"/>
              <w:spacing w:after="0" w:line="240" w:lineRule="auto"/>
              <w:ind w:right="113"/>
              <w:jc w:val="center"/>
              <w:rPr>
                <w:rFonts w:asciiTheme="minorBidi" w:hAnsiTheme="minorBidi" w:cstheme="minorBidi"/>
                <w:sz w:val="18"/>
                <w:szCs w:val="18"/>
              </w:rPr>
            </w:pPr>
          </w:p>
          <w:p w14:paraId="14C73CEC" w14:textId="77777777" w:rsidR="00EC0053" w:rsidRPr="00802088" w:rsidRDefault="008251C6" w:rsidP="008251C6">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72.0 (2014)</w:t>
            </w:r>
          </w:p>
        </w:tc>
        <w:tc>
          <w:tcPr>
            <w:tcW w:w="1260" w:type="dxa"/>
            <w:tcBorders>
              <w:top w:val="single" w:sz="4" w:space="0" w:color="auto"/>
              <w:left w:val="single" w:sz="4" w:space="0" w:color="auto"/>
              <w:bottom w:val="single" w:sz="4" w:space="0" w:color="auto"/>
              <w:right w:val="single" w:sz="4" w:space="0" w:color="auto"/>
            </w:tcBorders>
            <w:shd w:val="clear" w:color="auto" w:fill="auto"/>
            <w:noWrap/>
          </w:tcPr>
          <w:p w14:paraId="3A78EC32"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4C0A186C"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83.9</w:t>
            </w:r>
          </w:p>
        </w:tc>
        <w:tc>
          <w:tcPr>
            <w:tcW w:w="1107" w:type="dxa"/>
            <w:tcBorders>
              <w:top w:val="single" w:sz="4" w:space="0" w:color="auto"/>
              <w:left w:val="single" w:sz="4" w:space="0" w:color="auto"/>
              <w:bottom w:val="single" w:sz="4" w:space="0" w:color="auto"/>
              <w:right w:val="single" w:sz="4" w:space="0" w:color="auto"/>
            </w:tcBorders>
          </w:tcPr>
          <w:p w14:paraId="3A57D468" w14:textId="77777777" w:rsidR="008251C6" w:rsidRPr="00802088" w:rsidRDefault="008251C6" w:rsidP="008C6258">
            <w:pPr>
              <w:bidi w:val="0"/>
              <w:spacing w:after="0" w:line="240" w:lineRule="auto"/>
              <w:ind w:right="113"/>
              <w:jc w:val="center"/>
              <w:rPr>
                <w:rFonts w:asciiTheme="minorBidi" w:hAnsiTheme="minorBidi" w:cstheme="minorBidi"/>
                <w:sz w:val="18"/>
                <w:szCs w:val="18"/>
              </w:rPr>
            </w:pPr>
          </w:p>
          <w:p w14:paraId="567C6635" w14:textId="77777777" w:rsidR="00EC0053" w:rsidRPr="00802088" w:rsidRDefault="008251C6" w:rsidP="008251C6">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319F7FF4" w14:textId="77777777" w:rsidTr="00446CF3">
        <w:trPr>
          <w:trHeight w:val="389"/>
          <w:jc w:val="center"/>
        </w:trPr>
        <w:tc>
          <w:tcPr>
            <w:tcW w:w="4313" w:type="dxa"/>
            <w:tcBorders>
              <w:top w:val="single" w:sz="4" w:space="0" w:color="auto"/>
              <w:left w:val="single" w:sz="4" w:space="0" w:color="auto"/>
              <w:bottom w:val="nil"/>
              <w:right w:val="single" w:sz="4" w:space="0" w:color="auto"/>
            </w:tcBorders>
            <w:shd w:val="clear" w:color="auto" w:fill="auto"/>
            <w:vAlign w:val="center"/>
            <w:hideMark/>
          </w:tcPr>
          <w:p w14:paraId="624CAD49" w14:textId="77777777"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 xml:space="preserve">Indicator </w:t>
            </w:r>
            <w:r w:rsidRPr="00802088">
              <w:rPr>
                <w:rFonts w:asciiTheme="minorBidi" w:hAnsiTheme="minorBidi" w:cstheme="minorBidi"/>
                <w:b/>
                <w:bCs/>
                <w:sz w:val="18"/>
                <w:szCs w:val="18"/>
                <w:rtl/>
              </w:rPr>
              <w:t>4.2.2</w:t>
            </w:r>
            <w:r w:rsidRPr="00802088">
              <w:rPr>
                <w:rFonts w:asciiTheme="minorBidi" w:hAnsiTheme="minorBidi" w:cstheme="minorBidi"/>
                <w:sz w:val="18"/>
                <w:szCs w:val="18"/>
              </w:rPr>
              <w:t xml:space="preserve"> Participation rate in organized learning (one year before the official primary entry age), by sex</w:t>
            </w:r>
          </w:p>
        </w:tc>
        <w:tc>
          <w:tcPr>
            <w:tcW w:w="1195" w:type="dxa"/>
            <w:tcBorders>
              <w:top w:val="single" w:sz="4" w:space="0" w:color="auto"/>
              <w:left w:val="nil"/>
              <w:bottom w:val="nil"/>
              <w:right w:val="single" w:sz="4" w:space="0" w:color="auto"/>
            </w:tcBorders>
            <w:shd w:val="clear" w:color="auto" w:fill="auto"/>
            <w:noWrap/>
            <w:hideMark/>
          </w:tcPr>
          <w:p w14:paraId="32A0A190" w14:textId="77777777" w:rsidR="00EC0053" w:rsidRPr="00802088" w:rsidRDefault="00EC0053" w:rsidP="008C6258">
            <w:pPr>
              <w:bidi w:val="0"/>
              <w:spacing w:after="0" w:line="240" w:lineRule="auto"/>
              <w:jc w:val="center"/>
              <w:rPr>
                <w:rFonts w:asciiTheme="minorBidi" w:hAnsiTheme="minorBidi" w:cstheme="minorBidi"/>
                <w:sz w:val="18"/>
                <w:szCs w:val="18"/>
              </w:rPr>
            </w:pPr>
          </w:p>
        </w:tc>
        <w:tc>
          <w:tcPr>
            <w:tcW w:w="1651" w:type="dxa"/>
            <w:tcBorders>
              <w:top w:val="single" w:sz="4" w:space="0" w:color="auto"/>
              <w:left w:val="nil"/>
              <w:bottom w:val="nil"/>
              <w:right w:val="single" w:sz="4" w:space="0" w:color="auto"/>
            </w:tcBorders>
          </w:tcPr>
          <w:p w14:paraId="5762D532"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260" w:type="dxa"/>
            <w:tcBorders>
              <w:top w:val="single" w:sz="4" w:space="0" w:color="auto"/>
              <w:left w:val="single" w:sz="4" w:space="0" w:color="auto"/>
              <w:bottom w:val="nil"/>
              <w:right w:val="single" w:sz="4" w:space="0" w:color="auto"/>
            </w:tcBorders>
            <w:shd w:val="clear" w:color="auto" w:fill="auto"/>
            <w:noWrap/>
            <w:hideMark/>
          </w:tcPr>
          <w:p w14:paraId="0599CEBC"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107" w:type="dxa"/>
            <w:tcBorders>
              <w:top w:val="single" w:sz="4" w:space="0" w:color="auto"/>
              <w:left w:val="single" w:sz="4" w:space="0" w:color="auto"/>
              <w:bottom w:val="nil"/>
              <w:right w:val="single" w:sz="4" w:space="0" w:color="auto"/>
            </w:tcBorders>
          </w:tcPr>
          <w:p w14:paraId="789CC787"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r>
      <w:tr w:rsidR="00EC0053" w:rsidRPr="00802088" w14:paraId="79CC8A67" w14:textId="77777777" w:rsidTr="00446CF3">
        <w:trPr>
          <w:trHeight w:val="389"/>
          <w:jc w:val="center"/>
        </w:trPr>
        <w:tc>
          <w:tcPr>
            <w:tcW w:w="4313" w:type="dxa"/>
            <w:tcBorders>
              <w:top w:val="nil"/>
              <w:left w:val="single" w:sz="4" w:space="0" w:color="auto"/>
              <w:bottom w:val="single" w:sz="4" w:space="0" w:color="auto"/>
              <w:right w:val="single" w:sz="4" w:space="0" w:color="auto"/>
            </w:tcBorders>
            <w:shd w:val="clear" w:color="auto" w:fill="auto"/>
            <w:noWrap/>
            <w:vAlign w:val="bottom"/>
            <w:hideMark/>
          </w:tcPr>
          <w:p w14:paraId="4EFC7B7F" w14:textId="77777777" w:rsidR="004970D6" w:rsidRPr="00802088" w:rsidRDefault="00EC0053" w:rsidP="003E1BE9">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Participation rate in organized learning (one year before the official primary entry age) (MOE, </w:t>
            </w:r>
            <w:r w:rsidR="003E1BE9">
              <w:rPr>
                <w:rFonts w:asciiTheme="minorBidi" w:hAnsiTheme="minorBidi" w:cstheme="minorBidi"/>
                <w:sz w:val="18"/>
                <w:szCs w:val="18"/>
              </w:rPr>
              <w:t>2021/2022</w:t>
            </w:r>
            <w:r w:rsidRPr="00802088">
              <w:rPr>
                <w:rFonts w:asciiTheme="minorBidi" w:hAnsiTheme="minorBidi" w:cstheme="minorBidi"/>
                <w:sz w:val="18"/>
                <w:szCs w:val="18"/>
              </w:rPr>
              <w:t xml:space="preserve">, </w:t>
            </w:r>
            <w:r w:rsidR="00A01BA9">
              <w:rPr>
                <w:rFonts w:asciiTheme="minorBidi" w:hAnsiTheme="minorBidi" w:cstheme="minorBidi"/>
                <w:sz w:val="18"/>
                <w:szCs w:val="18"/>
              </w:rPr>
              <w:t>r</w:t>
            </w:r>
            <w:r w:rsidRPr="00802088">
              <w:rPr>
                <w:rFonts w:asciiTheme="minorBidi" w:hAnsiTheme="minorBidi" w:cstheme="minorBidi"/>
                <w:sz w:val="18"/>
                <w:szCs w:val="18"/>
              </w:rPr>
              <w:t>ate)</w:t>
            </w:r>
          </w:p>
        </w:tc>
        <w:tc>
          <w:tcPr>
            <w:tcW w:w="1195" w:type="dxa"/>
            <w:tcBorders>
              <w:top w:val="nil"/>
              <w:left w:val="nil"/>
              <w:bottom w:val="single" w:sz="4" w:space="0" w:color="auto"/>
              <w:right w:val="single" w:sz="4" w:space="0" w:color="auto"/>
            </w:tcBorders>
            <w:shd w:val="clear" w:color="auto" w:fill="auto"/>
            <w:noWrap/>
            <w:hideMark/>
          </w:tcPr>
          <w:p w14:paraId="471A9865"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top w:val="nil"/>
              <w:left w:val="nil"/>
              <w:bottom w:val="single" w:sz="4" w:space="0" w:color="auto"/>
              <w:right w:val="single" w:sz="4" w:space="0" w:color="auto"/>
            </w:tcBorders>
          </w:tcPr>
          <w:p w14:paraId="05C1D663" w14:textId="77777777" w:rsidR="00624CCE" w:rsidRDefault="003E1BE9" w:rsidP="003E1BE9">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63.8</w:t>
            </w:r>
          </w:p>
          <w:p w14:paraId="62552BB0" w14:textId="032035EF" w:rsidR="00EC0053" w:rsidRPr="00802088" w:rsidRDefault="00EC0053" w:rsidP="00624CCE">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w:t>
            </w:r>
            <w:r w:rsidR="003E1BE9">
              <w:rPr>
                <w:rFonts w:asciiTheme="minorBidi" w:hAnsiTheme="minorBidi" w:cstheme="minorBidi"/>
                <w:sz w:val="18"/>
                <w:szCs w:val="18"/>
              </w:rPr>
              <w:t>2020</w:t>
            </w:r>
            <w:r w:rsidRPr="00802088">
              <w:rPr>
                <w:rFonts w:asciiTheme="minorBidi" w:hAnsiTheme="minorBidi" w:cstheme="minorBidi"/>
                <w:sz w:val="18"/>
                <w:szCs w:val="18"/>
              </w:rPr>
              <w:t>)</w:t>
            </w:r>
          </w:p>
        </w:tc>
        <w:tc>
          <w:tcPr>
            <w:tcW w:w="1260" w:type="dxa"/>
            <w:tcBorders>
              <w:top w:val="nil"/>
              <w:left w:val="single" w:sz="4" w:space="0" w:color="auto"/>
              <w:bottom w:val="single" w:sz="4" w:space="0" w:color="auto"/>
              <w:right w:val="single" w:sz="4" w:space="0" w:color="auto"/>
            </w:tcBorders>
            <w:shd w:val="clear" w:color="auto" w:fill="auto"/>
            <w:noWrap/>
            <w:hideMark/>
          </w:tcPr>
          <w:p w14:paraId="7879E656" w14:textId="77777777" w:rsidR="00EC0053" w:rsidRPr="00802088" w:rsidRDefault="003E1BE9"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72.9</w:t>
            </w:r>
          </w:p>
        </w:tc>
        <w:tc>
          <w:tcPr>
            <w:tcW w:w="1107" w:type="dxa"/>
            <w:tcBorders>
              <w:top w:val="nil"/>
              <w:left w:val="single" w:sz="4" w:space="0" w:color="auto"/>
              <w:bottom w:val="single" w:sz="4" w:space="0" w:color="auto"/>
              <w:right w:val="single" w:sz="4" w:space="0" w:color="auto"/>
            </w:tcBorders>
          </w:tcPr>
          <w:p w14:paraId="7786648E" w14:textId="77777777" w:rsidR="00EC0053" w:rsidRPr="00802088" w:rsidRDefault="003E1BE9"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Increase</w:t>
            </w:r>
          </w:p>
        </w:tc>
      </w:tr>
      <w:tr w:rsidR="00446CF3" w:rsidRPr="00802088" w14:paraId="7B8D5569" w14:textId="77777777" w:rsidTr="00446CF3">
        <w:trPr>
          <w:trHeight w:val="389"/>
          <w:jc w:val="center"/>
        </w:trPr>
        <w:tc>
          <w:tcPr>
            <w:tcW w:w="4313" w:type="dxa"/>
            <w:tcBorders>
              <w:top w:val="single" w:sz="4" w:space="0" w:color="auto"/>
              <w:left w:val="single" w:sz="4" w:space="0" w:color="auto"/>
              <w:bottom w:val="nil"/>
              <w:right w:val="single" w:sz="4" w:space="0" w:color="auto"/>
            </w:tcBorders>
            <w:shd w:val="clear" w:color="auto" w:fill="auto"/>
            <w:vAlign w:val="center"/>
            <w:hideMark/>
          </w:tcPr>
          <w:p w14:paraId="36E68422" w14:textId="77777777" w:rsidR="00446CF3" w:rsidRPr="00802088" w:rsidRDefault="00446CF3" w:rsidP="00446CF3">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 xml:space="preserve">Indicator </w:t>
            </w:r>
            <w:r w:rsidRPr="00802088">
              <w:rPr>
                <w:rFonts w:asciiTheme="minorBidi" w:hAnsiTheme="minorBidi" w:cstheme="minorBidi"/>
                <w:b/>
                <w:bCs/>
                <w:sz w:val="18"/>
                <w:szCs w:val="18"/>
                <w:rtl/>
              </w:rPr>
              <w:t>4.3.1</w:t>
            </w:r>
            <w:r w:rsidRPr="00802088">
              <w:rPr>
                <w:rFonts w:asciiTheme="minorBidi" w:hAnsiTheme="minorBidi" w:cstheme="minorBidi"/>
                <w:sz w:val="18"/>
                <w:szCs w:val="18"/>
              </w:rPr>
              <w:t xml:space="preserve"> Participation rate of youth and adults in formal and non-formal education and training in the previous 12 months, by sex</w:t>
            </w:r>
            <w:r>
              <w:rPr>
                <w:rFonts w:asciiTheme="minorBidi" w:hAnsiTheme="minorBidi" w:cstheme="minorBidi"/>
                <w:sz w:val="18"/>
                <w:szCs w:val="18"/>
              </w:rPr>
              <w:t xml:space="preserve"> </w:t>
            </w:r>
            <w:r w:rsidRPr="00802088">
              <w:rPr>
                <w:rFonts w:asciiTheme="minorBidi" w:hAnsiTheme="minorBidi" w:cstheme="minorBidi"/>
                <w:sz w:val="18"/>
                <w:szCs w:val="18"/>
              </w:rPr>
              <w:t xml:space="preserve">(PCBS, 2021, </w:t>
            </w:r>
            <w:r>
              <w:rPr>
                <w:rFonts w:asciiTheme="minorBidi" w:hAnsiTheme="minorBidi" w:cstheme="minorBidi"/>
                <w:sz w:val="18"/>
                <w:szCs w:val="18"/>
              </w:rPr>
              <w:t>r</w:t>
            </w:r>
            <w:r w:rsidRPr="00802088">
              <w:rPr>
                <w:rFonts w:asciiTheme="minorBidi" w:hAnsiTheme="minorBidi" w:cstheme="minorBidi"/>
                <w:sz w:val="18"/>
                <w:szCs w:val="18"/>
              </w:rPr>
              <w:t>ate)</w:t>
            </w:r>
          </w:p>
        </w:tc>
        <w:tc>
          <w:tcPr>
            <w:tcW w:w="1195" w:type="dxa"/>
            <w:tcBorders>
              <w:top w:val="single" w:sz="4" w:space="0" w:color="auto"/>
              <w:left w:val="nil"/>
              <w:bottom w:val="nil"/>
              <w:right w:val="single" w:sz="4" w:space="0" w:color="auto"/>
            </w:tcBorders>
            <w:shd w:val="clear" w:color="auto" w:fill="auto"/>
            <w:noWrap/>
            <w:hideMark/>
          </w:tcPr>
          <w:p w14:paraId="4467E9CA"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top w:val="single" w:sz="4" w:space="0" w:color="auto"/>
              <w:left w:val="nil"/>
              <w:bottom w:val="nil"/>
              <w:right w:val="single" w:sz="4" w:space="0" w:color="auto"/>
            </w:tcBorders>
          </w:tcPr>
          <w:p w14:paraId="6180B143"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19.2 (2020)</w:t>
            </w:r>
          </w:p>
        </w:tc>
        <w:tc>
          <w:tcPr>
            <w:tcW w:w="1260" w:type="dxa"/>
            <w:tcBorders>
              <w:top w:val="single" w:sz="4" w:space="0" w:color="auto"/>
              <w:left w:val="single" w:sz="4" w:space="0" w:color="auto"/>
              <w:bottom w:val="nil"/>
              <w:right w:val="single" w:sz="4" w:space="0" w:color="auto"/>
            </w:tcBorders>
            <w:shd w:val="clear" w:color="auto" w:fill="auto"/>
            <w:noWrap/>
            <w:hideMark/>
          </w:tcPr>
          <w:p w14:paraId="211D511A"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18.9</w:t>
            </w:r>
          </w:p>
        </w:tc>
        <w:tc>
          <w:tcPr>
            <w:tcW w:w="1107" w:type="dxa"/>
            <w:tcBorders>
              <w:top w:val="single" w:sz="4" w:space="0" w:color="auto"/>
              <w:left w:val="single" w:sz="4" w:space="0" w:color="auto"/>
              <w:bottom w:val="nil"/>
              <w:right w:val="single" w:sz="4" w:space="0" w:color="auto"/>
            </w:tcBorders>
          </w:tcPr>
          <w:p w14:paraId="7CBD0C49"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Pr="00802088">
              <w:rPr>
                <w:rFonts w:asciiTheme="minorBidi" w:hAnsiTheme="minorBidi" w:cstheme="minorBidi"/>
                <w:sz w:val="18"/>
                <w:szCs w:val="18"/>
              </w:rPr>
              <w:t>ecrease</w:t>
            </w:r>
          </w:p>
        </w:tc>
      </w:tr>
      <w:tr w:rsidR="00446CF3" w:rsidRPr="00802088" w14:paraId="59169C78" w14:textId="77777777" w:rsidTr="00446CF3">
        <w:trPr>
          <w:trHeight w:val="389"/>
          <w:jc w:val="center"/>
        </w:trPr>
        <w:tc>
          <w:tcPr>
            <w:tcW w:w="4313" w:type="dxa"/>
            <w:tcBorders>
              <w:top w:val="single" w:sz="4" w:space="0" w:color="auto"/>
              <w:left w:val="single" w:sz="4" w:space="0" w:color="auto"/>
              <w:right w:val="single" w:sz="4" w:space="0" w:color="auto"/>
            </w:tcBorders>
            <w:shd w:val="clear" w:color="auto" w:fill="auto"/>
            <w:vAlign w:val="center"/>
            <w:hideMark/>
          </w:tcPr>
          <w:p w14:paraId="781297F3" w14:textId="77777777" w:rsidR="00446CF3" w:rsidRPr="00802088" w:rsidRDefault="00446CF3" w:rsidP="00446CF3">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lastRenderedPageBreak/>
              <w:t>Indicator 4.4.1</w:t>
            </w:r>
            <w:r w:rsidRPr="00802088">
              <w:rPr>
                <w:rFonts w:asciiTheme="minorBidi" w:hAnsiTheme="minorBidi" w:cstheme="minorBidi"/>
                <w:sz w:val="18"/>
                <w:szCs w:val="18"/>
              </w:rPr>
              <w:t xml:space="preserve"> Proportion of youth and adults with information and communications technology (ICT) skills, by type of skill</w:t>
            </w:r>
          </w:p>
        </w:tc>
        <w:tc>
          <w:tcPr>
            <w:tcW w:w="1195" w:type="dxa"/>
            <w:tcBorders>
              <w:top w:val="single" w:sz="4" w:space="0" w:color="auto"/>
              <w:left w:val="nil"/>
              <w:right w:val="single" w:sz="4" w:space="0" w:color="auto"/>
            </w:tcBorders>
            <w:shd w:val="clear" w:color="auto" w:fill="auto"/>
            <w:noWrap/>
            <w:hideMark/>
          </w:tcPr>
          <w:p w14:paraId="7C5C3A63"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top w:val="single" w:sz="4" w:space="0" w:color="auto"/>
              <w:left w:val="nil"/>
              <w:right w:val="single" w:sz="4" w:space="0" w:color="auto"/>
            </w:tcBorders>
          </w:tcPr>
          <w:p w14:paraId="7938E491"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top w:val="single" w:sz="4" w:space="0" w:color="auto"/>
              <w:left w:val="single" w:sz="4" w:space="0" w:color="auto"/>
              <w:right w:val="single" w:sz="4" w:space="0" w:color="auto"/>
            </w:tcBorders>
            <w:shd w:val="clear" w:color="auto" w:fill="auto"/>
            <w:noWrap/>
            <w:hideMark/>
          </w:tcPr>
          <w:p w14:paraId="16A5919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107" w:type="dxa"/>
            <w:tcBorders>
              <w:top w:val="single" w:sz="4" w:space="0" w:color="auto"/>
              <w:left w:val="single" w:sz="4" w:space="0" w:color="auto"/>
              <w:right w:val="single" w:sz="4" w:space="0" w:color="auto"/>
            </w:tcBorders>
          </w:tcPr>
          <w:p w14:paraId="68CE9AD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00107594"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537D7F2F" w14:textId="77777777" w:rsidR="00446CF3" w:rsidRPr="00802088" w:rsidRDefault="00446CF3" w:rsidP="00446CF3">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Copying or moving a file or folder (PCBS,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108514E1"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5C7EB74E"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67.5 (2018)</w:t>
            </w:r>
          </w:p>
        </w:tc>
        <w:tc>
          <w:tcPr>
            <w:tcW w:w="1260" w:type="dxa"/>
            <w:tcBorders>
              <w:left w:val="single" w:sz="4" w:space="0" w:color="auto"/>
              <w:right w:val="single" w:sz="4" w:space="0" w:color="auto"/>
            </w:tcBorders>
            <w:shd w:val="clear" w:color="auto" w:fill="auto"/>
            <w:noWrap/>
          </w:tcPr>
          <w:p w14:paraId="044B14B0"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70.9</w:t>
            </w:r>
          </w:p>
        </w:tc>
        <w:tc>
          <w:tcPr>
            <w:tcW w:w="1107" w:type="dxa"/>
            <w:tcBorders>
              <w:left w:val="single" w:sz="4" w:space="0" w:color="auto"/>
              <w:right w:val="single" w:sz="4" w:space="0" w:color="auto"/>
            </w:tcBorders>
          </w:tcPr>
          <w:p w14:paraId="4F656640"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446CF3" w:rsidRPr="00802088" w14:paraId="3DDF2C3A"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127B5774" w14:textId="77777777" w:rsidR="00446CF3" w:rsidRPr="00802088" w:rsidRDefault="00446CF3" w:rsidP="00446CF3">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Using copy and paste tools to duplicate or move information within a document (PCBS,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20D6C8D2"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6AE2F2F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65.1 (2018)</w:t>
            </w:r>
          </w:p>
        </w:tc>
        <w:tc>
          <w:tcPr>
            <w:tcW w:w="1260" w:type="dxa"/>
            <w:tcBorders>
              <w:left w:val="single" w:sz="4" w:space="0" w:color="auto"/>
              <w:right w:val="single" w:sz="4" w:space="0" w:color="auto"/>
            </w:tcBorders>
            <w:shd w:val="clear" w:color="auto" w:fill="auto"/>
            <w:noWrap/>
          </w:tcPr>
          <w:p w14:paraId="1F8F5A07"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67.0</w:t>
            </w:r>
          </w:p>
        </w:tc>
        <w:tc>
          <w:tcPr>
            <w:tcW w:w="1107" w:type="dxa"/>
            <w:tcBorders>
              <w:left w:val="single" w:sz="4" w:space="0" w:color="auto"/>
              <w:right w:val="single" w:sz="4" w:space="0" w:color="auto"/>
            </w:tcBorders>
          </w:tcPr>
          <w:p w14:paraId="597D7ADC"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446CF3" w:rsidRPr="00802088" w14:paraId="5023C7D1"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35B092E6" w14:textId="77777777" w:rsidR="00446CF3" w:rsidRPr="00802088" w:rsidRDefault="00446CF3" w:rsidP="00446CF3">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Sending e-mails with attached files (e.g. document, picture, video) (PCBS,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520055A0"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71E1AD52"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61.1 (2018)</w:t>
            </w:r>
          </w:p>
        </w:tc>
        <w:tc>
          <w:tcPr>
            <w:tcW w:w="1260" w:type="dxa"/>
            <w:tcBorders>
              <w:left w:val="single" w:sz="4" w:space="0" w:color="auto"/>
              <w:right w:val="single" w:sz="4" w:space="0" w:color="auto"/>
            </w:tcBorders>
            <w:shd w:val="clear" w:color="auto" w:fill="auto"/>
            <w:noWrap/>
          </w:tcPr>
          <w:p w14:paraId="79C30697"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59.2</w:t>
            </w:r>
          </w:p>
        </w:tc>
        <w:tc>
          <w:tcPr>
            <w:tcW w:w="1107" w:type="dxa"/>
            <w:tcBorders>
              <w:left w:val="single" w:sz="4" w:space="0" w:color="auto"/>
              <w:right w:val="single" w:sz="4" w:space="0" w:color="auto"/>
            </w:tcBorders>
          </w:tcPr>
          <w:p w14:paraId="49E0CCF6"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Pr="00802088">
              <w:rPr>
                <w:rFonts w:asciiTheme="minorBidi" w:hAnsiTheme="minorBidi" w:cstheme="minorBidi"/>
                <w:sz w:val="18"/>
                <w:szCs w:val="18"/>
              </w:rPr>
              <w:t>ecrease</w:t>
            </w:r>
          </w:p>
        </w:tc>
      </w:tr>
      <w:tr w:rsidR="00446CF3" w:rsidRPr="00802088" w14:paraId="7D2780D0"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07B57D96" w14:textId="77777777" w:rsidR="00446CF3" w:rsidRPr="00802088" w:rsidRDefault="00446CF3" w:rsidP="00446CF3">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Using basic arithmetic formulas in a spreadsheet (PCBS,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589FA31B"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7F4124D0"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33.0 (2018)</w:t>
            </w:r>
          </w:p>
        </w:tc>
        <w:tc>
          <w:tcPr>
            <w:tcW w:w="1260" w:type="dxa"/>
            <w:tcBorders>
              <w:left w:val="single" w:sz="4" w:space="0" w:color="auto"/>
              <w:right w:val="single" w:sz="4" w:space="0" w:color="auto"/>
            </w:tcBorders>
            <w:shd w:val="clear" w:color="auto" w:fill="auto"/>
            <w:noWrap/>
          </w:tcPr>
          <w:p w14:paraId="012E2FE2"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36.0</w:t>
            </w:r>
          </w:p>
        </w:tc>
        <w:tc>
          <w:tcPr>
            <w:tcW w:w="1107" w:type="dxa"/>
            <w:tcBorders>
              <w:left w:val="single" w:sz="4" w:space="0" w:color="auto"/>
              <w:right w:val="single" w:sz="4" w:space="0" w:color="auto"/>
            </w:tcBorders>
          </w:tcPr>
          <w:p w14:paraId="63EFAF5D"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446CF3" w:rsidRPr="00802088" w14:paraId="7B260F73"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6F85A4CB" w14:textId="77777777" w:rsidR="00446CF3" w:rsidRPr="00802088" w:rsidRDefault="00446CF3" w:rsidP="00446CF3">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Connecting and installing new devices (e.g. a modem, camera, printer) (PCBS,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750FFC0D"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014565C1"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34.6 (2018)</w:t>
            </w:r>
          </w:p>
        </w:tc>
        <w:tc>
          <w:tcPr>
            <w:tcW w:w="1260" w:type="dxa"/>
            <w:tcBorders>
              <w:left w:val="single" w:sz="4" w:space="0" w:color="auto"/>
              <w:right w:val="single" w:sz="4" w:space="0" w:color="auto"/>
            </w:tcBorders>
            <w:shd w:val="clear" w:color="auto" w:fill="auto"/>
            <w:noWrap/>
          </w:tcPr>
          <w:p w14:paraId="5E5D474C"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35.3</w:t>
            </w:r>
          </w:p>
        </w:tc>
        <w:tc>
          <w:tcPr>
            <w:tcW w:w="1107" w:type="dxa"/>
            <w:tcBorders>
              <w:left w:val="single" w:sz="4" w:space="0" w:color="auto"/>
              <w:right w:val="single" w:sz="4" w:space="0" w:color="auto"/>
            </w:tcBorders>
          </w:tcPr>
          <w:p w14:paraId="3B851291"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446CF3" w:rsidRPr="00802088" w14:paraId="0AD3F58E"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7E2BB99E" w14:textId="77777777" w:rsidR="00446CF3" w:rsidRPr="00802088" w:rsidRDefault="00446CF3" w:rsidP="00446CF3">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Finding, downloading, installing and configuring software (PCBS,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6E7CD290"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45A6DB5E"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50.4 (2018)</w:t>
            </w:r>
          </w:p>
        </w:tc>
        <w:tc>
          <w:tcPr>
            <w:tcW w:w="1260" w:type="dxa"/>
            <w:tcBorders>
              <w:left w:val="single" w:sz="4" w:space="0" w:color="auto"/>
              <w:right w:val="single" w:sz="4" w:space="0" w:color="auto"/>
            </w:tcBorders>
            <w:shd w:val="clear" w:color="auto" w:fill="auto"/>
            <w:noWrap/>
          </w:tcPr>
          <w:p w14:paraId="2D3A8522"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23.9</w:t>
            </w:r>
          </w:p>
        </w:tc>
        <w:tc>
          <w:tcPr>
            <w:tcW w:w="1107" w:type="dxa"/>
            <w:tcBorders>
              <w:left w:val="single" w:sz="4" w:space="0" w:color="auto"/>
              <w:right w:val="single" w:sz="4" w:space="0" w:color="auto"/>
            </w:tcBorders>
          </w:tcPr>
          <w:p w14:paraId="391236FA"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Pr="00802088">
              <w:rPr>
                <w:rFonts w:asciiTheme="minorBidi" w:hAnsiTheme="minorBidi" w:cstheme="minorBidi"/>
                <w:sz w:val="18"/>
                <w:szCs w:val="18"/>
              </w:rPr>
              <w:t>ecrease</w:t>
            </w:r>
          </w:p>
        </w:tc>
      </w:tr>
      <w:tr w:rsidR="00446CF3" w:rsidRPr="00802088" w14:paraId="39C5FE3B"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00800F2C" w14:textId="77777777" w:rsidR="00446CF3" w:rsidRPr="00802088" w:rsidRDefault="00446CF3" w:rsidP="00446CF3">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Creating electronic presentations with presentation software (including images, sound, video or charts) (PCBS,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4BD2C281"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6F7CBF8E"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30.7 (2018)</w:t>
            </w:r>
          </w:p>
        </w:tc>
        <w:tc>
          <w:tcPr>
            <w:tcW w:w="1260" w:type="dxa"/>
            <w:tcBorders>
              <w:left w:val="single" w:sz="4" w:space="0" w:color="auto"/>
              <w:right w:val="single" w:sz="4" w:space="0" w:color="auto"/>
            </w:tcBorders>
            <w:shd w:val="clear" w:color="auto" w:fill="auto"/>
            <w:noWrap/>
          </w:tcPr>
          <w:p w14:paraId="1FCD9716"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29.2</w:t>
            </w:r>
          </w:p>
        </w:tc>
        <w:tc>
          <w:tcPr>
            <w:tcW w:w="1107" w:type="dxa"/>
            <w:tcBorders>
              <w:left w:val="single" w:sz="4" w:space="0" w:color="auto"/>
              <w:right w:val="single" w:sz="4" w:space="0" w:color="auto"/>
            </w:tcBorders>
          </w:tcPr>
          <w:p w14:paraId="2D29DB12"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Pr="00802088">
              <w:rPr>
                <w:rFonts w:asciiTheme="minorBidi" w:hAnsiTheme="minorBidi" w:cstheme="minorBidi"/>
                <w:sz w:val="18"/>
                <w:szCs w:val="18"/>
              </w:rPr>
              <w:t>ecrease</w:t>
            </w:r>
          </w:p>
        </w:tc>
      </w:tr>
      <w:tr w:rsidR="00446CF3" w:rsidRPr="00802088" w14:paraId="454788A2"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7BB6FC37" w14:textId="77777777" w:rsidR="00446CF3" w:rsidRPr="00802088" w:rsidRDefault="00446CF3" w:rsidP="00446CF3">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Transferring files between a computer and other devices (PCBS,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35F6C191"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566CAD9E"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50.0 (2018)</w:t>
            </w:r>
          </w:p>
        </w:tc>
        <w:tc>
          <w:tcPr>
            <w:tcW w:w="1260" w:type="dxa"/>
            <w:tcBorders>
              <w:left w:val="single" w:sz="4" w:space="0" w:color="auto"/>
              <w:right w:val="single" w:sz="4" w:space="0" w:color="auto"/>
            </w:tcBorders>
            <w:shd w:val="clear" w:color="auto" w:fill="auto"/>
            <w:noWrap/>
          </w:tcPr>
          <w:p w14:paraId="224D6D5A"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54.7</w:t>
            </w:r>
          </w:p>
        </w:tc>
        <w:tc>
          <w:tcPr>
            <w:tcW w:w="1107" w:type="dxa"/>
            <w:tcBorders>
              <w:left w:val="single" w:sz="4" w:space="0" w:color="auto"/>
              <w:right w:val="single" w:sz="4" w:space="0" w:color="auto"/>
            </w:tcBorders>
          </w:tcPr>
          <w:p w14:paraId="0F68DF3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446CF3" w:rsidRPr="00802088" w14:paraId="499DD968" w14:textId="77777777" w:rsidTr="00446CF3">
        <w:trPr>
          <w:trHeight w:val="389"/>
          <w:jc w:val="center"/>
        </w:trPr>
        <w:tc>
          <w:tcPr>
            <w:tcW w:w="4313" w:type="dxa"/>
            <w:tcBorders>
              <w:left w:val="single" w:sz="4" w:space="0" w:color="auto"/>
              <w:bottom w:val="single" w:sz="4" w:space="0" w:color="auto"/>
              <w:right w:val="single" w:sz="4" w:space="0" w:color="auto"/>
            </w:tcBorders>
            <w:shd w:val="clear" w:color="auto" w:fill="auto"/>
            <w:noWrap/>
            <w:vAlign w:val="center"/>
            <w:hideMark/>
          </w:tcPr>
          <w:p w14:paraId="64519846" w14:textId="77777777" w:rsidR="00446CF3" w:rsidRPr="00802088" w:rsidRDefault="00446CF3" w:rsidP="00446CF3">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Writing a computer program using a specialized programming language (PCBS,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bottom w:val="single" w:sz="4" w:space="0" w:color="auto"/>
              <w:right w:val="single" w:sz="4" w:space="0" w:color="auto"/>
            </w:tcBorders>
            <w:shd w:val="clear" w:color="auto" w:fill="auto"/>
            <w:noWrap/>
            <w:hideMark/>
          </w:tcPr>
          <w:p w14:paraId="294BA513"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bottom w:val="single" w:sz="4" w:space="0" w:color="auto"/>
              <w:right w:val="single" w:sz="4" w:space="0" w:color="auto"/>
            </w:tcBorders>
          </w:tcPr>
          <w:p w14:paraId="5608961A"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16.9 (2018)</w:t>
            </w:r>
          </w:p>
        </w:tc>
        <w:tc>
          <w:tcPr>
            <w:tcW w:w="1260" w:type="dxa"/>
            <w:tcBorders>
              <w:left w:val="single" w:sz="4" w:space="0" w:color="auto"/>
              <w:bottom w:val="single" w:sz="4" w:space="0" w:color="auto"/>
              <w:right w:val="single" w:sz="4" w:space="0" w:color="auto"/>
            </w:tcBorders>
            <w:shd w:val="clear" w:color="auto" w:fill="auto"/>
            <w:noWrap/>
          </w:tcPr>
          <w:p w14:paraId="2273593C"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14.6</w:t>
            </w:r>
          </w:p>
        </w:tc>
        <w:tc>
          <w:tcPr>
            <w:tcW w:w="1107" w:type="dxa"/>
            <w:tcBorders>
              <w:left w:val="single" w:sz="4" w:space="0" w:color="auto"/>
              <w:bottom w:val="single" w:sz="4" w:space="0" w:color="auto"/>
              <w:right w:val="single" w:sz="4" w:space="0" w:color="auto"/>
            </w:tcBorders>
          </w:tcPr>
          <w:p w14:paraId="3E331AF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Pr="00802088">
              <w:rPr>
                <w:rFonts w:asciiTheme="minorBidi" w:hAnsiTheme="minorBidi" w:cstheme="minorBidi"/>
                <w:sz w:val="18"/>
                <w:szCs w:val="18"/>
              </w:rPr>
              <w:t>ecrease</w:t>
            </w:r>
          </w:p>
        </w:tc>
      </w:tr>
      <w:tr w:rsidR="00446CF3" w:rsidRPr="00802088" w14:paraId="5C488495" w14:textId="77777777" w:rsidTr="00446CF3">
        <w:trPr>
          <w:trHeight w:val="340"/>
          <w:jc w:val="center"/>
        </w:trPr>
        <w:tc>
          <w:tcPr>
            <w:tcW w:w="4313" w:type="dxa"/>
            <w:tcBorders>
              <w:top w:val="single" w:sz="4" w:space="0" w:color="auto"/>
              <w:left w:val="single" w:sz="4" w:space="0" w:color="auto"/>
              <w:right w:val="single" w:sz="4" w:space="0" w:color="auto"/>
            </w:tcBorders>
            <w:shd w:val="clear" w:color="auto" w:fill="auto"/>
            <w:noWrap/>
            <w:vAlign w:val="center"/>
          </w:tcPr>
          <w:p w14:paraId="47AA51A8" w14:textId="77777777" w:rsidR="00446CF3" w:rsidRPr="00802088" w:rsidRDefault="00446CF3" w:rsidP="00446CF3">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 xml:space="preserve">Indicator 4.5.1 </w:t>
            </w:r>
            <w:r w:rsidRPr="00802088">
              <w:rPr>
                <w:rFonts w:asciiTheme="minorBidi" w:hAnsiTheme="minorBidi" w:cstheme="minorBidi"/>
                <w:sz w:val="18"/>
                <w:szCs w:val="18"/>
              </w:rPr>
              <w:t>Adjusted net attendance ratio by sex, locality type and wealth index quintile</w:t>
            </w:r>
          </w:p>
        </w:tc>
        <w:tc>
          <w:tcPr>
            <w:tcW w:w="1195" w:type="dxa"/>
            <w:tcBorders>
              <w:top w:val="single" w:sz="4" w:space="0" w:color="auto"/>
              <w:left w:val="nil"/>
              <w:right w:val="single" w:sz="4" w:space="0" w:color="auto"/>
            </w:tcBorders>
            <w:shd w:val="clear" w:color="auto" w:fill="auto"/>
            <w:noWrap/>
          </w:tcPr>
          <w:p w14:paraId="6C0B82EE" w14:textId="77777777" w:rsidR="00446CF3" w:rsidRPr="00802088" w:rsidRDefault="00446CF3" w:rsidP="00446CF3">
            <w:pPr>
              <w:bidi w:val="0"/>
              <w:spacing w:after="0" w:line="240" w:lineRule="auto"/>
              <w:jc w:val="center"/>
              <w:rPr>
                <w:rFonts w:asciiTheme="minorBidi" w:hAnsiTheme="minorBidi" w:cstheme="minorBidi"/>
                <w:sz w:val="18"/>
                <w:szCs w:val="18"/>
              </w:rPr>
            </w:pPr>
          </w:p>
          <w:p w14:paraId="10AAC9B1" w14:textId="77777777" w:rsidR="00446CF3" w:rsidRPr="00802088" w:rsidRDefault="00446CF3" w:rsidP="00446CF3">
            <w:pPr>
              <w:bidi w:val="0"/>
              <w:spacing w:after="0" w:line="240" w:lineRule="auto"/>
              <w:jc w:val="center"/>
              <w:rPr>
                <w:rFonts w:asciiTheme="minorBidi" w:hAnsiTheme="minorBidi" w:cstheme="minorBidi"/>
                <w:sz w:val="18"/>
                <w:szCs w:val="18"/>
              </w:rPr>
            </w:pPr>
          </w:p>
          <w:p w14:paraId="03084E11"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top w:val="single" w:sz="4" w:space="0" w:color="auto"/>
              <w:left w:val="nil"/>
              <w:right w:val="single" w:sz="4" w:space="0" w:color="auto"/>
            </w:tcBorders>
          </w:tcPr>
          <w:p w14:paraId="70A78F9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top w:val="single" w:sz="4" w:space="0" w:color="auto"/>
              <w:left w:val="single" w:sz="4" w:space="0" w:color="auto"/>
              <w:right w:val="single" w:sz="4" w:space="0" w:color="auto"/>
            </w:tcBorders>
            <w:shd w:val="clear" w:color="auto" w:fill="auto"/>
            <w:noWrap/>
          </w:tcPr>
          <w:p w14:paraId="673C23D1"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p w14:paraId="0936EDDC"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107" w:type="dxa"/>
            <w:tcBorders>
              <w:top w:val="single" w:sz="4" w:space="0" w:color="auto"/>
              <w:left w:val="single" w:sz="4" w:space="0" w:color="auto"/>
              <w:right w:val="single" w:sz="4" w:space="0" w:color="auto"/>
            </w:tcBorders>
          </w:tcPr>
          <w:p w14:paraId="1B4FB7BD"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63540EA1"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tcPr>
          <w:p w14:paraId="65132770" w14:textId="77777777" w:rsidR="00446CF3" w:rsidRPr="00802088" w:rsidRDefault="00446CF3" w:rsidP="00446CF3">
            <w:pPr>
              <w:bidi w:val="0"/>
              <w:spacing w:after="0" w:line="240" w:lineRule="auto"/>
              <w:ind w:left="306"/>
              <w:jc w:val="both"/>
              <w:rPr>
                <w:rFonts w:asciiTheme="minorBidi" w:hAnsiTheme="minorBidi" w:cstheme="minorBidi"/>
                <w:sz w:val="18"/>
                <w:szCs w:val="18"/>
              </w:rPr>
            </w:pPr>
            <w:r w:rsidRPr="00802088">
              <w:rPr>
                <w:rFonts w:asciiTheme="minorBidi" w:hAnsiTheme="minorBidi" w:cstheme="minorBidi"/>
                <w:sz w:val="18"/>
                <w:szCs w:val="18"/>
              </w:rPr>
              <w:t xml:space="preserve">Adjusted net attendance ratio in basic stage by sex, locality type and wealth index quintile (PCBS, 2019, </w:t>
            </w:r>
            <w:r>
              <w:rPr>
                <w:rFonts w:asciiTheme="minorBidi" w:hAnsiTheme="minorBidi" w:cstheme="minorBidi"/>
                <w:sz w:val="18"/>
                <w:szCs w:val="18"/>
              </w:rPr>
              <w:t>p</w:t>
            </w:r>
            <w:r w:rsidRPr="00802088">
              <w:rPr>
                <w:rFonts w:asciiTheme="minorBidi" w:hAnsiTheme="minorBidi" w:cstheme="minorBidi"/>
                <w:sz w:val="18"/>
                <w:szCs w:val="18"/>
              </w:rPr>
              <w:t xml:space="preserve">ercentage) </w:t>
            </w:r>
          </w:p>
        </w:tc>
        <w:tc>
          <w:tcPr>
            <w:tcW w:w="1195" w:type="dxa"/>
            <w:tcBorders>
              <w:left w:val="nil"/>
              <w:right w:val="single" w:sz="4" w:space="0" w:color="auto"/>
            </w:tcBorders>
            <w:shd w:val="clear" w:color="auto" w:fill="auto"/>
            <w:noWrap/>
            <w:vAlign w:val="center"/>
          </w:tcPr>
          <w:p w14:paraId="2ADCCF54"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740A829C"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left w:val="nil"/>
              <w:right w:val="single" w:sz="4" w:space="0" w:color="auto"/>
            </w:tcBorders>
            <w:vAlign w:val="center"/>
          </w:tcPr>
          <w:p w14:paraId="5241843F"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left w:val="single" w:sz="4" w:space="0" w:color="auto"/>
              <w:right w:val="single" w:sz="4" w:space="0" w:color="auto"/>
            </w:tcBorders>
            <w:shd w:val="clear" w:color="auto" w:fill="auto"/>
            <w:noWrap/>
            <w:vAlign w:val="center"/>
          </w:tcPr>
          <w:p w14:paraId="367B3C2E" w14:textId="77777777" w:rsidR="00446CF3" w:rsidRPr="00267BC4" w:rsidRDefault="00446CF3" w:rsidP="00446CF3">
            <w:pPr>
              <w:spacing w:after="0" w:line="240" w:lineRule="auto"/>
              <w:ind w:right="113"/>
              <w:jc w:val="center"/>
              <w:rPr>
                <w:rFonts w:ascii="Simplified Arabic" w:hAnsi="Simplified Arabic" w:cs="Simplified Arabic"/>
                <w:sz w:val="18"/>
                <w:szCs w:val="18"/>
              </w:rPr>
            </w:pPr>
            <w:r w:rsidRPr="00267BC4">
              <w:rPr>
                <w:rFonts w:ascii="Simplified Arabic" w:hAnsi="Simplified Arabic" w:cs="Simplified Arabic"/>
                <w:sz w:val="18"/>
                <w:szCs w:val="18"/>
              </w:rPr>
              <w:t>1.03</w:t>
            </w:r>
          </w:p>
        </w:tc>
        <w:tc>
          <w:tcPr>
            <w:tcW w:w="1107" w:type="dxa"/>
            <w:tcBorders>
              <w:left w:val="single" w:sz="4" w:space="0" w:color="auto"/>
              <w:right w:val="single" w:sz="4" w:space="0" w:color="auto"/>
            </w:tcBorders>
          </w:tcPr>
          <w:p w14:paraId="30C07BA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59D73D55" w14:textId="77777777" w:rsidTr="00446CF3">
        <w:trPr>
          <w:trHeight w:val="389"/>
          <w:jc w:val="center"/>
        </w:trPr>
        <w:tc>
          <w:tcPr>
            <w:tcW w:w="4313" w:type="dxa"/>
            <w:tcBorders>
              <w:left w:val="single" w:sz="4" w:space="0" w:color="auto"/>
              <w:bottom w:val="single" w:sz="4" w:space="0" w:color="auto"/>
              <w:right w:val="single" w:sz="4" w:space="0" w:color="auto"/>
            </w:tcBorders>
            <w:shd w:val="clear" w:color="auto" w:fill="auto"/>
            <w:noWrap/>
            <w:vAlign w:val="center"/>
          </w:tcPr>
          <w:p w14:paraId="2AC21E57" w14:textId="77777777" w:rsidR="00446CF3" w:rsidRPr="00802088" w:rsidRDefault="00446CF3" w:rsidP="00446CF3">
            <w:pPr>
              <w:bidi w:val="0"/>
              <w:spacing w:after="0" w:line="240" w:lineRule="auto"/>
              <w:ind w:left="306"/>
              <w:jc w:val="both"/>
              <w:rPr>
                <w:rFonts w:asciiTheme="minorBidi" w:hAnsiTheme="minorBidi" w:cstheme="minorBidi"/>
                <w:b/>
                <w:bCs/>
                <w:sz w:val="18"/>
                <w:szCs w:val="18"/>
              </w:rPr>
            </w:pPr>
            <w:r w:rsidRPr="00802088">
              <w:rPr>
                <w:rFonts w:asciiTheme="minorBidi" w:hAnsiTheme="minorBidi" w:cstheme="minorBidi"/>
                <w:sz w:val="18"/>
                <w:szCs w:val="18"/>
              </w:rPr>
              <w:t xml:space="preserve">Adjusted net attendance ratio in secondary stage by sex, locality type and wealth index quintile(PCBS, 2019,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bottom w:val="single" w:sz="4" w:space="0" w:color="auto"/>
              <w:right w:val="single" w:sz="4" w:space="0" w:color="auto"/>
            </w:tcBorders>
            <w:shd w:val="clear" w:color="auto" w:fill="auto"/>
            <w:noWrap/>
            <w:vAlign w:val="center"/>
          </w:tcPr>
          <w:p w14:paraId="7412C000"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0E5CBC62"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left w:val="nil"/>
              <w:bottom w:val="single" w:sz="4" w:space="0" w:color="auto"/>
              <w:right w:val="single" w:sz="4" w:space="0" w:color="auto"/>
            </w:tcBorders>
            <w:vAlign w:val="center"/>
          </w:tcPr>
          <w:p w14:paraId="16B3C329"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left w:val="single" w:sz="4" w:space="0" w:color="auto"/>
              <w:bottom w:val="single" w:sz="4" w:space="0" w:color="auto"/>
              <w:right w:val="single" w:sz="4" w:space="0" w:color="auto"/>
            </w:tcBorders>
            <w:shd w:val="clear" w:color="auto" w:fill="auto"/>
            <w:noWrap/>
            <w:vAlign w:val="center"/>
          </w:tcPr>
          <w:p w14:paraId="0952C148" w14:textId="77777777" w:rsidR="00446CF3" w:rsidRPr="00267BC4" w:rsidRDefault="00446CF3" w:rsidP="00446CF3">
            <w:pPr>
              <w:spacing w:after="0" w:line="240" w:lineRule="auto"/>
              <w:ind w:right="113"/>
              <w:jc w:val="center"/>
              <w:rPr>
                <w:rFonts w:ascii="Simplified Arabic" w:hAnsi="Simplified Arabic" w:cs="Simplified Arabic"/>
                <w:sz w:val="18"/>
                <w:szCs w:val="18"/>
              </w:rPr>
            </w:pPr>
            <w:r w:rsidRPr="00267BC4">
              <w:rPr>
                <w:rFonts w:ascii="Simplified Arabic" w:hAnsi="Simplified Arabic" w:cs="Simplified Arabic"/>
                <w:sz w:val="18"/>
                <w:szCs w:val="18"/>
              </w:rPr>
              <w:t>1.3</w:t>
            </w:r>
          </w:p>
        </w:tc>
        <w:tc>
          <w:tcPr>
            <w:tcW w:w="1107" w:type="dxa"/>
            <w:tcBorders>
              <w:left w:val="single" w:sz="4" w:space="0" w:color="auto"/>
              <w:bottom w:val="single" w:sz="4" w:space="0" w:color="auto"/>
              <w:right w:val="single" w:sz="4" w:space="0" w:color="auto"/>
            </w:tcBorders>
          </w:tcPr>
          <w:p w14:paraId="46CDA246"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46C4C0ED"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tcPr>
          <w:p w14:paraId="3158C0EB" w14:textId="77777777" w:rsidR="00446CF3" w:rsidRPr="00802088" w:rsidRDefault="00446CF3" w:rsidP="00446CF3">
            <w:pPr>
              <w:bidi w:val="0"/>
              <w:spacing w:after="0" w:line="240" w:lineRule="auto"/>
              <w:jc w:val="both"/>
              <w:rPr>
                <w:rFonts w:asciiTheme="minorBidi" w:hAnsiTheme="minorBidi" w:cstheme="minorBidi"/>
                <w:b/>
                <w:bCs/>
                <w:sz w:val="18"/>
                <w:szCs w:val="18"/>
              </w:rPr>
            </w:pPr>
            <w:r w:rsidRPr="00802088">
              <w:rPr>
                <w:rFonts w:asciiTheme="minorBidi" w:hAnsiTheme="minorBidi" w:cstheme="minorBidi"/>
                <w:b/>
                <w:bCs/>
                <w:sz w:val="18"/>
                <w:szCs w:val="18"/>
              </w:rPr>
              <w:t>Indicator 4.7.1</w:t>
            </w:r>
            <w:r w:rsidRPr="00802088">
              <w:rPr>
                <w:rFonts w:asciiTheme="minorBidi" w:hAnsiTheme="minorBidi" w:cstheme="minorBidi"/>
                <w:sz w:val="18"/>
                <w:szCs w:val="18"/>
              </w:rPr>
              <w:t>Extent to which (i) global citizenship education and (ii) education for sustainable development (including climate change education) are mainstreamed in (national education policies, curricula policies</w:t>
            </w:r>
            <w:r w:rsidRPr="00802088">
              <w:rPr>
                <w:rFonts w:asciiTheme="minorBidi" w:hAnsiTheme="minorBidi" w:cstheme="minorBidi"/>
                <w:b/>
                <w:bCs/>
                <w:sz w:val="18"/>
                <w:szCs w:val="18"/>
              </w:rPr>
              <w:t xml:space="preserve">, </w:t>
            </w:r>
            <w:r w:rsidRPr="00802088">
              <w:rPr>
                <w:rFonts w:asciiTheme="minorBidi" w:hAnsiTheme="minorBidi" w:cstheme="minorBidi"/>
                <w:sz w:val="18"/>
                <w:szCs w:val="18"/>
              </w:rPr>
              <w:t>teacher education policies</w:t>
            </w:r>
            <w:r w:rsidRPr="00802088">
              <w:rPr>
                <w:rFonts w:asciiTheme="minorBidi" w:hAnsiTheme="minorBidi" w:cstheme="minorBidi"/>
                <w:b/>
                <w:bCs/>
                <w:sz w:val="18"/>
                <w:szCs w:val="18"/>
              </w:rPr>
              <w:t xml:space="preserve">, </w:t>
            </w:r>
            <w:r w:rsidRPr="00802088">
              <w:rPr>
                <w:rFonts w:asciiTheme="minorBidi" w:hAnsiTheme="minorBidi" w:cstheme="minorBidi"/>
                <w:sz w:val="18"/>
                <w:szCs w:val="18"/>
              </w:rPr>
              <w:t>student assessment policies)</w:t>
            </w:r>
          </w:p>
        </w:tc>
        <w:tc>
          <w:tcPr>
            <w:tcW w:w="1195" w:type="dxa"/>
            <w:tcBorders>
              <w:left w:val="nil"/>
              <w:right w:val="single" w:sz="4" w:space="0" w:color="auto"/>
            </w:tcBorders>
            <w:shd w:val="clear" w:color="auto" w:fill="auto"/>
            <w:noWrap/>
            <w:vAlign w:val="center"/>
          </w:tcPr>
          <w:p w14:paraId="34EDC573"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left w:val="nil"/>
              <w:right w:val="single" w:sz="4" w:space="0" w:color="auto"/>
            </w:tcBorders>
            <w:vAlign w:val="center"/>
          </w:tcPr>
          <w:p w14:paraId="20BC8A98"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left w:val="single" w:sz="4" w:space="0" w:color="auto"/>
              <w:right w:val="single" w:sz="4" w:space="0" w:color="auto"/>
            </w:tcBorders>
            <w:shd w:val="clear" w:color="auto" w:fill="auto"/>
            <w:noWrap/>
            <w:vAlign w:val="center"/>
          </w:tcPr>
          <w:p w14:paraId="7C1DBD6F"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107" w:type="dxa"/>
            <w:tcBorders>
              <w:left w:val="single" w:sz="4" w:space="0" w:color="auto"/>
              <w:right w:val="single" w:sz="4" w:space="0" w:color="auto"/>
            </w:tcBorders>
          </w:tcPr>
          <w:p w14:paraId="1BF951D3"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42074058"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tcPr>
          <w:p w14:paraId="052A238F" w14:textId="77777777" w:rsidR="00446CF3" w:rsidRPr="00802088" w:rsidRDefault="00446CF3" w:rsidP="00446CF3">
            <w:pPr>
              <w:bidi w:val="0"/>
              <w:spacing w:after="0" w:line="240" w:lineRule="auto"/>
              <w:ind w:left="306"/>
              <w:jc w:val="both"/>
              <w:rPr>
                <w:rFonts w:asciiTheme="minorBidi" w:hAnsiTheme="minorBidi" w:cstheme="minorBidi"/>
                <w:b/>
                <w:bCs/>
                <w:sz w:val="18"/>
                <w:szCs w:val="18"/>
              </w:rPr>
            </w:pPr>
            <w:r w:rsidRPr="00802088">
              <w:rPr>
                <w:rFonts w:asciiTheme="minorBidi" w:hAnsiTheme="minorBidi" w:cstheme="minorBidi"/>
                <w:sz w:val="18"/>
                <w:szCs w:val="18"/>
              </w:rPr>
              <w:t>Extent to which (i) global citizenship education and (ii) education for sustainable development (including climate change education) are mainstreamed in national education policies(UNSD,2020,</w:t>
            </w:r>
            <w:r>
              <w:rPr>
                <w:rFonts w:asciiTheme="minorBidi" w:hAnsiTheme="minorBidi" w:cstheme="minorBidi"/>
                <w:sz w:val="18"/>
                <w:szCs w:val="18"/>
              </w:rPr>
              <w:t>n</w:t>
            </w:r>
            <w:r w:rsidRPr="00802088">
              <w:rPr>
                <w:rFonts w:asciiTheme="minorBidi" w:hAnsiTheme="minorBidi" w:cstheme="minorBidi"/>
                <w:sz w:val="18"/>
                <w:szCs w:val="18"/>
              </w:rPr>
              <w:t>ational level)</w:t>
            </w:r>
          </w:p>
        </w:tc>
        <w:tc>
          <w:tcPr>
            <w:tcW w:w="1195" w:type="dxa"/>
            <w:tcBorders>
              <w:left w:val="nil"/>
              <w:right w:val="single" w:sz="4" w:space="0" w:color="auto"/>
            </w:tcBorders>
            <w:shd w:val="clear" w:color="auto" w:fill="auto"/>
            <w:noWrap/>
            <w:vAlign w:val="center"/>
          </w:tcPr>
          <w:p w14:paraId="3CA2E829"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50B1441C"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left w:val="nil"/>
              <w:right w:val="single" w:sz="4" w:space="0" w:color="auto"/>
            </w:tcBorders>
            <w:vAlign w:val="center"/>
          </w:tcPr>
          <w:p w14:paraId="3B8ED07F"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left w:val="single" w:sz="4" w:space="0" w:color="auto"/>
              <w:right w:val="single" w:sz="4" w:space="0" w:color="auto"/>
            </w:tcBorders>
            <w:shd w:val="clear" w:color="auto" w:fill="auto"/>
            <w:noWrap/>
            <w:vAlign w:val="center"/>
          </w:tcPr>
          <w:p w14:paraId="70E1684F"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0.875</w:t>
            </w:r>
          </w:p>
        </w:tc>
        <w:tc>
          <w:tcPr>
            <w:tcW w:w="1107" w:type="dxa"/>
            <w:tcBorders>
              <w:left w:val="single" w:sz="4" w:space="0" w:color="auto"/>
              <w:right w:val="single" w:sz="4" w:space="0" w:color="auto"/>
            </w:tcBorders>
          </w:tcPr>
          <w:p w14:paraId="126B862E"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6C6B0F57"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tcPr>
          <w:p w14:paraId="2B3C3B33" w14:textId="77777777" w:rsidR="00446CF3" w:rsidRPr="00802088" w:rsidRDefault="00446CF3" w:rsidP="00446CF3">
            <w:pPr>
              <w:bidi w:val="0"/>
              <w:spacing w:after="0" w:line="240" w:lineRule="auto"/>
              <w:ind w:left="306"/>
              <w:jc w:val="both"/>
              <w:rPr>
                <w:rFonts w:asciiTheme="minorBidi" w:hAnsiTheme="minorBidi" w:cstheme="minorBidi"/>
                <w:b/>
                <w:bCs/>
                <w:sz w:val="18"/>
                <w:szCs w:val="18"/>
              </w:rPr>
            </w:pPr>
            <w:r w:rsidRPr="00802088">
              <w:rPr>
                <w:rFonts w:asciiTheme="minorBidi" w:hAnsiTheme="minorBidi" w:cstheme="minorBidi"/>
                <w:sz w:val="18"/>
                <w:szCs w:val="18"/>
              </w:rPr>
              <w:t xml:space="preserve">Extent to which (i) global citizenship education and (ii) education for sustainable development (including climate change education) are mainstreamed in curricula policies(UNSD, 2020, </w:t>
            </w:r>
            <w:r>
              <w:rPr>
                <w:rFonts w:asciiTheme="minorBidi" w:hAnsiTheme="minorBidi" w:cstheme="minorBidi"/>
                <w:sz w:val="18"/>
                <w:szCs w:val="18"/>
              </w:rPr>
              <w:t>n</w:t>
            </w:r>
            <w:r w:rsidRPr="00802088">
              <w:rPr>
                <w:rFonts w:asciiTheme="minorBidi" w:hAnsiTheme="minorBidi" w:cstheme="minorBidi"/>
                <w:sz w:val="18"/>
                <w:szCs w:val="18"/>
              </w:rPr>
              <w:t>ational level)</w:t>
            </w:r>
          </w:p>
        </w:tc>
        <w:tc>
          <w:tcPr>
            <w:tcW w:w="1195" w:type="dxa"/>
            <w:tcBorders>
              <w:left w:val="nil"/>
              <w:right w:val="single" w:sz="4" w:space="0" w:color="auto"/>
            </w:tcBorders>
            <w:shd w:val="clear" w:color="auto" w:fill="auto"/>
            <w:noWrap/>
            <w:vAlign w:val="center"/>
          </w:tcPr>
          <w:p w14:paraId="40B7D517"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6776AAB8"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left w:val="nil"/>
              <w:right w:val="single" w:sz="4" w:space="0" w:color="auto"/>
            </w:tcBorders>
            <w:vAlign w:val="center"/>
          </w:tcPr>
          <w:p w14:paraId="4E804D1A"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left w:val="single" w:sz="4" w:space="0" w:color="auto"/>
              <w:right w:val="single" w:sz="4" w:space="0" w:color="auto"/>
            </w:tcBorders>
            <w:shd w:val="clear" w:color="auto" w:fill="auto"/>
            <w:noWrap/>
            <w:vAlign w:val="center"/>
          </w:tcPr>
          <w:p w14:paraId="2B1ACCBE"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0.708</w:t>
            </w:r>
          </w:p>
        </w:tc>
        <w:tc>
          <w:tcPr>
            <w:tcW w:w="1107" w:type="dxa"/>
            <w:tcBorders>
              <w:left w:val="single" w:sz="4" w:space="0" w:color="auto"/>
              <w:right w:val="single" w:sz="4" w:space="0" w:color="auto"/>
            </w:tcBorders>
          </w:tcPr>
          <w:p w14:paraId="3E2D56E3"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0043F905"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tcPr>
          <w:p w14:paraId="62386461" w14:textId="77777777" w:rsidR="00446CF3" w:rsidRPr="00802088" w:rsidRDefault="00446CF3" w:rsidP="00446CF3">
            <w:pPr>
              <w:bidi w:val="0"/>
              <w:spacing w:after="0" w:line="240" w:lineRule="auto"/>
              <w:ind w:left="306"/>
              <w:jc w:val="both"/>
              <w:rPr>
                <w:rFonts w:asciiTheme="minorBidi" w:hAnsiTheme="minorBidi" w:cstheme="minorBidi"/>
                <w:b/>
                <w:bCs/>
                <w:sz w:val="18"/>
                <w:szCs w:val="18"/>
              </w:rPr>
            </w:pPr>
            <w:r w:rsidRPr="00802088">
              <w:rPr>
                <w:rFonts w:asciiTheme="minorBidi" w:hAnsiTheme="minorBidi" w:cstheme="minorBidi"/>
                <w:sz w:val="18"/>
                <w:szCs w:val="18"/>
              </w:rPr>
              <w:t xml:space="preserve">Extent to which (i) global citizenship education and (ii) education for sustainable development (including climate change education) are mainstreamed in teacher education policies(UNSD, 2020, </w:t>
            </w:r>
            <w:r>
              <w:rPr>
                <w:rFonts w:asciiTheme="minorBidi" w:hAnsiTheme="minorBidi" w:cstheme="minorBidi"/>
                <w:sz w:val="18"/>
                <w:szCs w:val="18"/>
              </w:rPr>
              <w:t>n</w:t>
            </w:r>
            <w:r w:rsidRPr="00802088">
              <w:rPr>
                <w:rFonts w:asciiTheme="minorBidi" w:hAnsiTheme="minorBidi" w:cstheme="minorBidi"/>
                <w:sz w:val="18"/>
                <w:szCs w:val="18"/>
              </w:rPr>
              <w:t>ational level)</w:t>
            </w:r>
          </w:p>
        </w:tc>
        <w:tc>
          <w:tcPr>
            <w:tcW w:w="1195" w:type="dxa"/>
            <w:tcBorders>
              <w:left w:val="nil"/>
              <w:right w:val="single" w:sz="4" w:space="0" w:color="auto"/>
            </w:tcBorders>
            <w:shd w:val="clear" w:color="auto" w:fill="auto"/>
            <w:noWrap/>
            <w:vAlign w:val="center"/>
          </w:tcPr>
          <w:p w14:paraId="286FCD1C"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641C65EA"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left w:val="nil"/>
              <w:right w:val="single" w:sz="4" w:space="0" w:color="auto"/>
            </w:tcBorders>
            <w:vAlign w:val="center"/>
          </w:tcPr>
          <w:p w14:paraId="307EAB6F"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left w:val="single" w:sz="4" w:space="0" w:color="auto"/>
              <w:right w:val="single" w:sz="4" w:space="0" w:color="auto"/>
            </w:tcBorders>
            <w:shd w:val="clear" w:color="auto" w:fill="auto"/>
            <w:noWrap/>
            <w:vAlign w:val="center"/>
          </w:tcPr>
          <w:p w14:paraId="06838A9C"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0.800</w:t>
            </w:r>
          </w:p>
        </w:tc>
        <w:tc>
          <w:tcPr>
            <w:tcW w:w="1107" w:type="dxa"/>
            <w:tcBorders>
              <w:left w:val="single" w:sz="4" w:space="0" w:color="auto"/>
              <w:right w:val="single" w:sz="4" w:space="0" w:color="auto"/>
            </w:tcBorders>
          </w:tcPr>
          <w:p w14:paraId="7F692882"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113524BF" w14:textId="77777777" w:rsidTr="00446CF3">
        <w:trPr>
          <w:trHeight w:val="389"/>
          <w:jc w:val="center"/>
        </w:trPr>
        <w:tc>
          <w:tcPr>
            <w:tcW w:w="4313" w:type="dxa"/>
            <w:tcBorders>
              <w:left w:val="single" w:sz="4" w:space="0" w:color="auto"/>
              <w:bottom w:val="single" w:sz="4" w:space="0" w:color="auto"/>
              <w:right w:val="single" w:sz="4" w:space="0" w:color="auto"/>
            </w:tcBorders>
            <w:shd w:val="clear" w:color="auto" w:fill="auto"/>
            <w:noWrap/>
            <w:vAlign w:val="center"/>
          </w:tcPr>
          <w:p w14:paraId="4AB4D69C" w14:textId="77777777" w:rsidR="00446CF3" w:rsidRDefault="00446CF3" w:rsidP="00446CF3">
            <w:pPr>
              <w:bidi w:val="0"/>
              <w:spacing w:after="0" w:line="240" w:lineRule="auto"/>
              <w:ind w:left="306"/>
              <w:jc w:val="both"/>
              <w:rPr>
                <w:rFonts w:asciiTheme="minorBidi" w:hAnsiTheme="minorBidi" w:cstheme="minorBidi"/>
                <w:sz w:val="18"/>
                <w:szCs w:val="18"/>
              </w:rPr>
            </w:pPr>
            <w:r w:rsidRPr="00802088">
              <w:rPr>
                <w:rFonts w:asciiTheme="minorBidi" w:hAnsiTheme="minorBidi" w:cstheme="minorBidi"/>
                <w:sz w:val="18"/>
                <w:szCs w:val="18"/>
              </w:rPr>
              <w:t xml:space="preserve">Extent to which (i) global citizenship education and (ii) education for sustainable development (including climate change education) are mainstreamed in student assessment policies(UNSD, 2020, </w:t>
            </w:r>
            <w:r>
              <w:rPr>
                <w:rFonts w:asciiTheme="minorBidi" w:hAnsiTheme="minorBidi" w:cstheme="minorBidi"/>
                <w:sz w:val="18"/>
                <w:szCs w:val="18"/>
              </w:rPr>
              <w:t>n</w:t>
            </w:r>
            <w:r w:rsidRPr="00802088">
              <w:rPr>
                <w:rFonts w:asciiTheme="minorBidi" w:hAnsiTheme="minorBidi" w:cstheme="minorBidi"/>
                <w:sz w:val="18"/>
                <w:szCs w:val="18"/>
              </w:rPr>
              <w:t>ational level)</w:t>
            </w:r>
          </w:p>
          <w:p w14:paraId="1699F571" w14:textId="77777777" w:rsidR="00446CF3" w:rsidRPr="00802088" w:rsidRDefault="00446CF3" w:rsidP="00446CF3">
            <w:pPr>
              <w:bidi w:val="0"/>
              <w:spacing w:after="0" w:line="240" w:lineRule="auto"/>
              <w:ind w:left="306"/>
              <w:jc w:val="both"/>
              <w:rPr>
                <w:rFonts w:asciiTheme="minorBidi" w:hAnsiTheme="minorBidi" w:cstheme="minorBidi"/>
                <w:b/>
                <w:bCs/>
                <w:sz w:val="18"/>
                <w:szCs w:val="18"/>
              </w:rPr>
            </w:pPr>
          </w:p>
        </w:tc>
        <w:tc>
          <w:tcPr>
            <w:tcW w:w="1195" w:type="dxa"/>
            <w:tcBorders>
              <w:left w:val="nil"/>
              <w:bottom w:val="single" w:sz="4" w:space="0" w:color="auto"/>
              <w:right w:val="single" w:sz="4" w:space="0" w:color="auto"/>
            </w:tcBorders>
            <w:shd w:val="clear" w:color="auto" w:fill="auto"/>
            <w:noWrap/>
            <w:vAlign w:val="center"/>
          </w:tcPr>
          <w:p w14:paraId="2B69BEF4"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12CF5462"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left w:val="nil"/>
              <w:bottom w:val="single" w:sz="4" w:space="0" w:color="auto"/>
              <w:right w:val="single" w:sz="4" w:space="0" w:color="auto"/>
            </w:tcBorders>
            <w:vAlign w:val="center"/>
          </w:tcPr>
          <w:p w14:paraId="36E500DA"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left w:val="single" w:sz="4" w:space="0" w:color="auto"/>
              <w:bottom w:val="single" w:sz="4" w:space="0" w:color="auto"/>
              <w:right w:val="single" w:sz="4" w:space="0" w:color="auto"/>
            </w:tcBorders>
            <w:shd w:val="clear" w:color="auto" w:fill="auto"/>
            <w:noWrap/>
            <w:vAlign w:val="center"/>
          </w:tcPr>
          <w:p w14:paraId="0A5E8F7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0.833</w:t>
            </w:r>
          </w:p>
        </w:tc>
        <w:tc>
          <w:tcPr>
            <w:tcW w:w="1107" w:type="dxa"/>
            <w:tcBorders>
              <w:left w:val="single" w:sz="4" w:space="0" w:color="auto"/>
              <w:bottom w:val="single" w:sz="4" w:space="0" w:color="auto"/>
              <w:right w:val="single" w:sz="4" w:space="0" w:color="auto"/>
            </w:tcBorders>
          </w:tcPr>
          <w:p w14:paraId="68B209F7"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454DCCFC" w14:textId="77777777" w:rsidTr="00446CF3">
        <w:trPr>
          <w:trHeight w:val="389"/>
          <w:jc w:val="center"/>
        </w:trPr>
        <w:tc>
          <w:tcPr>
            <w:tcW w:w="43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F68F6" w14:textId="77777777" w:rsidR="00446CF3" w:rsidRPr="00802088" w:rsidRDefault="00446CF3" w:rsidP="00446CF3">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lastRenderedPageBreak/>
              <w:t>Indicator 4.a.1</w:t>
            </w:r>
            <w:r w:rsidRPr="00802088">
              <w:rPr>
                <w:rFonts w:asciiTheme="minorBidi" w:hAnsiTheme="minorBidi" w:cstheme="minorBidi"/>
                <w:sz w:val="18"/>
                <w:szCs w:val="18"/>
              </w:rPr>
              <w:t xml:space="preserve"> Proportion of schools with access to: (a) electricity; (b) the Internet for pedagogical purposes; (c) computers for pedagogical purposes; (d) adapted infrastructure and materials for students with disabilities; (e) basic drinking water; (f) single-sex basic sanitation facilities; and (g) basic hand washing facilities (as per the WASH indicator definitions)</w:t>
            </w:r>
          </w:p>
        </w:tc>
        <w:tc>
          <w:tcPr>
            <w:tcW w:w="1195" w:type="dxa"/>
            <w:tcBorders>
              <w:top w:val="single" w:sz="4" w:space="0" w:color="auto"/>
              <w:left w:val="nil"/>
              <w:bottom w:val="single" w:sz="4" w:space="0" w:color="auto"/>
              <w:right w:val="single" w:sz="4" w:space="0" w:color="auto"/>
            </w:tcBorders>
            <w:shd w:val="clear" w:color="auto" w:fill="auto"/>
            <w:noWrap/>
            <w:hideMark/>
          </w:tcPr>
          <w:p w14:paraId="35FA7A56"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top w:val="single" w:sz="4" w:space="0" w:color="auto"/>
              <w:left w:val="nil"/>
              <w:bottom w:val="single" w:sz="4" w:space="0" w:color="auto"/>
              <w:right w:val="single" w:sz="4" w:space="0" w:color="auto"/>
            </w:tcBorders>
          </w:tcPr>
          <w:p w14:paraId="65340E5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hideMark/>
          </w:tcPr>
          <w:p w14:paraId="1916AB99"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107" w:type="dxa"/>
            <w:tcBorders>
              <w:top w:val="single" w:sz="4" w:space="0" w:color="auto"/>
              <w:left w:val="single" w:sz="4" w:space="0" w:color="auto"/>
              <w:bottom w:val="single" w:sz="4" w:space="0" w:color="auto"/>
              <w:right w:val="single" w:sz="4" w:space="0" w:color="auto"/>
            </w:tcBorders>
          </w:tcPr>
          <w:p w14:paraId="15C1C275"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38C4EF64" w14:textId="77777777" w:rsidTr="00446CF3">
        <w:trPr>
          <w:trHeight w:val="389"/>
          <w:jc w:val="center"/>
        </w:trPr>
        <w:tc>
          <w:tcPr>
            <w:tcW w:w="4313" w:type="dxa"/>
            <w:tcBorders>
              <w:top w:val="single" w:sz="4" w:space="0" w:color="auto"/>
              <w:left w:val="single" w:sz="4" w:space="0" w:color="auto"/>
              <w:right w:val="single" w:sz="4" w:space="0" w:color="auto"/>
            </w:tcBorders>
            <w:shd w:val="clear" w:color="auto" w:fill="auto"/>
            <w:noWrap/>
            <w:vAlign w:val="center"/>
            <w:hideMark/>
          </w:tcPr>
          <w:p w14:paraId="54BDA827"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electricity  (MOE, 202</w:t>
            </w:r>
            <w:r>
              <w:rPr>
                <w:rFonts w:asciiTheme="minorBidi" w:hAnsiTheme="minorBidi" w:cstheme="minorBidi"/>
                <w:sz w:val="18"/>
                <w:szCs w:val="18"/>
              </w:rPr>
              <w:t>1</w:t>
            </w:r>
            <w:r w:rsidRPr="00802088">
              <w:rPr>
                <w:rFonts w:asciiTheme="minorBidi" w:hAnsiTheme="minorBidi" w:cstheme="minorBidi"/>
                <w:sz w:val="18"/>
                <w:szCs w:val="18"/>
              </w:rPr>
              <w:t>/202</w:t>
            </w:r>
            <w:r>
              <w:rPr>
                <w:rFonts w:asciiTheme="minorBidi" w:hAnsiTheme="minorBidi" w:cstheme="minorBidi"/>
                <w:sz w:val="18"/>
                <w:szCs w:val="18"/>
              </w:rPr>
              <w:t>2</w:t>
            </w:r>
            <w:r w:rsidRPr="00802088">
              <w:rPr>
                <w:rFonts w:asciiTheme="minorBidi" w:hAnsiTheme="minorBidi" w:cstheme="minorBidi"/>
                <w:sz w:val="18"/>
                <w:szCs w:val="18"/>
              </w:rPr>
              <w:t xml:space="preserve">,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top w:val="single" w:sz="4" w:space="0" w:color="auto"/>
              <w:left w:val="nil"/>
              <w:right w:val="single" w:sz="4" w:space="0" w:color="auto"/>
            </w:tcBorders>
            <w:shd w:val="clear" w:color="auto" w:fill="auto"/>
            <w:noWrap/>
            <w:hideMark/>
          </w:tcPr>
          <w:p w14:paraId="0AE8BA63"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top w:val="single" w:sz="4" w:space="0" w:color="auto"/>
              <w:left w:val="nil"/>
              <w:right w:val="single" w:sz="4" w:space="0" w:color="auto"/>
            </w:tcBorders>
          </w:tcPr>
          <w:p w14:paraId="1D430FC1" w14:textId="77777777" w:rsidR="00446CF3" w:rsidRPr="00267BC4" w:rsidRDefault="00446CF3" w:rsidP="00446CF3">
            <w:pPr>
              <w:spacing w:after="0" w:line="240" w:lineRule="auto"/>
              <w:ind w:right="113"/>
              <w:jc w:val="center"/>
              <w:rPr>
                <w:rFonts w:ascii="Simplified Arabic" w:hAnsi="Simplified Arabic" w:cs="Simplified Arabic"/>
                <w:sz w:val="18"/>
                <w:szCs w:val="18"/>
              </w:rPr>
            </w:pPr>
            <w:r w:rsidRPr="00267BC4">
              <w:rPr>
                <w:rFonts w:ascii="Simplified Arabic" w:hAnsi="Simplified Arabic" w:cs="Simplified Arabic"/>
                <w:sz w:val="18"/>
                <w:szCs w:val="18"/>
              </w:rPr>
              <w:t>100</w:t>
            </w:r>
          </w:p>
          <w:p w14:paraId="30C023E6" w14:textId="77777777" w:rsidR="00446CF3" w:rsidRPr="00267BC4" w:rsidRDefault="00446CF3" w:rsidP="00446CF3">
            <w:pPr>
              <w:bidi w:val="0"/>
              <w:spacing w:after="0" w:line="240" w:lineRule="auto"/>
              <w:ind w:right="113"/>
              <w:jc w:val="center"/>
              <w:rPr>
                <w:rFonts w:asciiTheme="minorBidi" w:hAnsiTheme="minorBidi" w:cstheme="minorBidi"/>
                <w:sz w:val="18"/>
                <w:szCs w:val="18"/>
              </w:rPr>
            </w:pPr>
            <w:r w:rsidRPr="00267BC4">
              <w:rPr>
                <w:rFonts w:ascii="Simplified Arabic" w:hAnsi="Simplified Arabic" w:cs="Simplified Arabic" w:hint="cs"/>
                <w:sz w:val="18"/>
                <w:szCs w:val="18"/>
                <w:rtl/>
              </w:rPr>
              <w:t>(2020)</w:t>
            </w:r>
          </w:p>
        </w:tc>
        <w:tc>
          <w:tcPr>
            <w:tcW w:w="1260" w:type="dxa"/>
            <w:tcBorders>
              <w:top w:val="single" w:sz="4" w:space="0" w:color="auto"/>
              <w:left w:val="single" w:sz="4" w:space="0" w:color="auto"/>
              <w:right w:val="single" w:sz="4" w:space="0" w:color="auto"/>
            </w:tcBorders>
            <w:shd w:val="clear" w:color="auto" w:fill="auto"/>
            <w:noWrap/>
            <w:hideMark/>
          </w:tcPr>
          <w:p w14:paraId="562DFEA7"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w:t>
            </w:r>
          </w:p>
        </w:tc>
        <w:tc>
          <w:tcPr>
            <w:tcW w:w="1107" w:type="dxa"/>
            <w:tcBorders>
              <w:top w:val="single" w:sz="4" w:space="0" w:color="auto"/>
              <w:left w:val="single" w:sz="4" w:space="0" w:color="auto"/>
              <w:right w:val="single" w:sz="4" w:space="0" w:color="auto"/>
            </w:tcBorders>
          </w:tcPr>
          <w:p w14:paraId="3D8F2D2D"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446CF3" w:rsidRPr="00802088" w14:paraId="0DAE6790"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76209336"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the Internet for pedagogical purposes (MOE, 202</w:t>
            </w:r>
            <w:r>
              <w:rPr>
                <w:rFonts w:asciiTheme="minorBidi" w:hAnsiTheme="minorBidi" w:cstheme="minorBidi"/>
                <w:sz w:val="18"/>
                <w:szCs w:val="18"/>
              </w:rPr>
              <w:t>1</w:t>
            </w:r>
            <w:r w:rsidRPr="00802088">
              <w:rPr>
                <w:rFonts w:asciiTheme="minorBidi" w:hAnsiTheme="minorBidi" w:cstheme="minorBidi"/>
                <w:sz w:val="18"/>
                <w:szCs w:val="18"/>
              </w:rPr>
              <w:t>/202</w:t>
            </w:r>
            <w:r>
              <w:rPr>
                <w:rFonts w:asciiTheme="minorBidi" w:hAnsiTheme="minorBidi" w:cstheme="minorBidi"/>
                <w:sz w:val="18"/>
                <w:szCs w:val="18"/>
              </w:rPr>
              <w:t>2</w:t>
            </w:r>
            <w:r w:rsidRPr="00802088">
              <w:rPr>
                <w:rFonts w:asciiTheme="minorBidi" w:hAnsiTheme="minorBidi" w:cstheme="minorBidi"/>
                <w:sz w:val="18"/>
                <w:szCs w:val="18"/>
              </w:rPr>
              <w:t xml:space="preserve">,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5ABC6E2F"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09DBECC0" w14:textId="77777777" w:rsidR="00446CF3" w:rsidRPr="00267BC4" w:rsidRDefault="00446CF3" w:rsidP="00446CF3">
            <w:pPr>
              <w:spacing w:after="0" w:line="240" w:lineRule="auto"/>
              <w:ind w:right="113"/>
              <w:jc w:val="center"/>
              <w:rPr>
                <w:rFonts w:ascii="Simplified Arabic" w:hAnsi="Simplified Arabic" w:cs="Simplified Arabic"/>
                <w:sz w:val="18"/>
                <w:szCs w:val="18"/>
              </w:rPr>
            </w:pPr>
            <w:r w:rsidRPr="00267BC4">
              <w:rPr>
                <w:rFonts w:ascii="Simplified Arabic" w:hAnsi="Simplified Arabic" w:cs="Simplified Arabic"/>
                <w:sz w:val="18"/>
                <w:szCs w:val="18"/>
              </w:rPr>
              <w:t>97.8</w:t>
            </w:r>
          </w:p>
          <w:p w14:paraId="551635E6" w14:textId="77777777" w:rsidR="00446CF3" w:rsidRPr="00267BC4" w:rsidRDefault="00446CF3" w:rsidP="00446CF3">
            <w:pPr>
              <w:bidi w:val="0"/>
              <w:spacing w:after="0" w:line="240" w:lineRule="auto"/>
              <w:ind w:right="113"/>
              <w:jc w:val="center"/>
              <w:rPr>
                <w:rFonts w:asciiTheme="minorBidi" w:hAnsiTheme="minorBidi" w:cstheme="minorBidi"/>
                <w:sz w:val="18"/>
                <w:szCs w:val="18"/>
              </w:rPr>
            </w:pPr>
            <w:r w:rsidRPr="00267BC4">
              <w:rPr>
                <w:rFonts w:ascii="Simplified Arabic" w:hAnsi="Simplified Arabic" w:cs="Simplified Arabic" w:hint="cs"/>
                <w:sz w:val="18"/>
                <w:szCs w:val="18"/>
                <w:rtl/>
              </w:rPr>
              <w:t>(2020)</w:t>
            </w:r>
          </w:p>
        </w:tc>
        <w:tc>
          <w:tcPr>
            <w:tcW w:w="1260" w:type="dxa"/>
            <w:tcBorders>
              <w:left w:val="single" w:sz="4" w:space="0" w:color="auto"/>
              <w:right w:val="single" w:sz="4" w:space="0" w:color="auto"/>
            </w:tcBorders>
            <w:shd w:val="clear" w:color="auto" w:fill="auto"/>
            <w:noWrap/>
          </w:tcPr>
          <w:p w14:paraId="501EA29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98.8</w:t>
            </w:r>
          </w:p>
        </w:tc>
        <w:tc>
          <w:tcPr>
            <w:tcW w:w="1107" w:type="dxa"/>
            <w:tcBorders>
              <w:left w:val="single" w:sz="4" w:space="0" w:color="auto"/>
              <w:right w:val="single" w:sz="4" w:space="0" w:color="auto"/>
            </w:tcBorders>
          </w:tcPr>
          <w:p w14:paraId="424FE26E"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446CF3" w:rsidRPr="00802088" w14:paraId="4F24260D"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76C7AB5E"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computers for pedagogical purposes (MOE, 202</w:t>
            </w:r>
            <w:r>
              <w:rPr>
                <w:rFonts w:asciiTheme="minorBidi" w:hAnsiTheme="minorBidi" w:cstheme="minorBidi"/>
                <w:sz w:val="18"/>
                <w:szCs w:val="18"/>
              </w:rPr>
              <w:t>1</w:t>
            </w:r>
            <w:r w:rsidRPr="00802088">
              <w:rPr>
                <w:rFonts w:asciiTheme="minorBidi" w:hAnsiTheme="minorBidi" w:cstheme="minorBidi"/>
                <w:sz w:val="18"/>
                <w:szCs w:val="18"/>
              </w:rPr>
              <w:t>/202</w:t>
            </w:r>
            <w:r>
              <w:rPr>
                <w:rFonts w:asciiTheme="minorBidi" w:hAnsiTheme="minorBidi" w:cstheme="minorBidi"/>
                <w:sz w:val="18"/>
                <w:szCs w:val="18"/>
              </w:rPr>
              <w:t>2</w:t>
            </w:r>
            <w:r w:rsidRPr="00802088">
              <w:rPr>
                <w:rFonts w:asciiTheme="minorBidi" w:hAnsiTheme="minorBidi" w:cstheme="minorBidi"/>
                <w:sz w:val="18"/>
                <w:szCs w:val="18"/>
              </w:rPr>
              <w:t xml:space="preserve">,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65062DDB"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391A1C60" w14:textId="77777777" w:rsidR="00446CF3" w:rsidRPr="00267BC4" w:rsidRDefault="00446CF3" w:rsidP="00446CF3">
            <w:pPr>
              <w:spacing w:after="0" w:line="240" w:lineRule="auto"/>
              <w:ind w:right="113"/>
              <w:jc w:val="center"/>
              <w:rPr>
                <w:rFonts w:ascii="Simplified Arabic" w:hAnsi="Simplified Arabic" w:cs="Simplified Arabic"/>
                <w:sz w:val="18"/>
                <w:szCs w:val="18"/>
                <w:rtl/>
              </w:rPr>
            </w:pPr>
            <w:r w:rsidRPr="00267BC4">
              <w:rPr>
                <w:rFonts w:ascii="Simplified Arabic" w:hAnsi="Simplified Arabic" w:cs="Simplified Arabic"/>
                <w:sz w:val="18"/>
                <w:szCs w:val="18"/>
              </w:rPr>
              <w:t>95.8</w:t>
            </w:r>
          </w:p>
          <w:p w14:paraId="39BF6558" w14:textId="77777777" w:rsidR="00446CF3" w:rsidRPr="00267BC4" w:rsidRDefault="00446CF3" w:rsidP="00446CF3">
            <w:pPr>
              <w:bidi w:val="0"/>
              <w:spacing w:after="0" w:line="240" w:lineRule="auto"/>
              <w:ind w:right="113"/>
              <w:jc w:val="center"/>
              <w:rPr>
                <w:rFonts w:asciiTheme="minorBidi" w:hAnsiTheme="minorBidi" w:cstheme="minorBidi"/>
                <w:sz w:val="18"/>
                <w:szCs w:val="18"/>
              </w:rPr>
            </w:pPr>
            <w:r w:rsidRPr="00267BC4">
              <w:rPr>
                <w:rFonts w:ascii="Simplified Arabic" w:hAnsi="Simplified Arabic" w:cs="Simplified Arabic" w:hint="cs"/>
                <w:sz w:val="18"/>
                <w:szCs w:val="18"/>
                <w:rtl/>
              </w:rPr>
              <w:t>(2020)</w:t>
            </w:r>
          </w:p>
        </w:tc>
        <w:tc>
          <w:tcPr>
            <w:tcW w:w="1260" w:type="dxa"/>
            <w:tcBorders>
              <w:left w:val="single" w:sz="4" w:space="0" w:color="auto"/>
              <w:right w:val="single" w:sz="4" w:space="0" w:color="auto"/>
            </w:tcBorders>
            <w:shd w:val="clear" w:color="auto" w:fill="auto"/>
            <w:noWrap/>
          </w:tcPr>
          <w:p w14:paraId="7E9FABF8"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91.5</w:t>
            </w:r>
          </w:p>
        </w:tc>
        <w:tc>
          <w:tcPr>
            <w:tcW w:w="1107" w:type="dxa"/>
            <w:tcBorders>
              <w:left w:val="single" w:sz="4" w:space="0" w:color="auto"/>
              <w:right w:val="single" w:sz="4" w:space="0" w:color="auto"/>
            </w:tcBorders>
          </w:tcPr>
          <w:p w14:paraId="4E95427A"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Decrease</w:t>
            </w:r>
          </w:p>
        </w:tc>
      </w:tr>
      <w:tr w:rsidR="00446CF3" w:rsidRPr="00802088" w14:paraId="4472B782"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38D4917F"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adapted infrastructure and materials for students with disabilities (MOE, 202</w:t>
            </w:r>
            <w:r>
              <w:rPr>
                <w:rFonts w:asciiTheme="minorBidi" w:hAnsiTheme="minorBidi" w:cstheme="minorBidi"/>
                <w:sz w:val="18"/>
                <w:szCs w:val="18"/>
              </w:rPr>
              <w:t>1</w:t>
            </w:r>
            <w:r w:rsidRPr="00802088">
              <w:rPr>
                <w:rFonts w:asciiTheme="minorBidi" w:hAnsiTheme="minorBidi" w:cstheme="minorBidi"/>
                <w:sz w:val="18"/>
                <w:szCs w:val="18"/>
              </w:rPr>
              <w:t>/202</w:t>
            </w:r>
            <w:r>
              <w:rPr>
                <w:rFonts w:asciiTheme="minorBidi" w:hAnsiTheme="minorBidi" w:cstheme="minorBidi"/>
                <w:sz w:val="18"/>
                <w:szCs w:val="18"/>
              </w:rPr>
              <w:t>2</w:t>
            </w:r>
            <w:r w:rsidRPr="00802088">
              <w:rPr>
                <w:rFonts w:asciiTheme="minorBidi" w:hAnsiTheme="minorBidi" w:cstheme="minorBidi"/>
                <w:sz w:val="18"/>
                <w:szCs w:val="18"/>
              </w:rPr>
              <w:t xml:space="preserve">,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4DDE87A2"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6D062B2A" w14:textId="77777777" w:rsidR="00446CF3" w:rsidRPr="00267BC4" w:rsidRDefault="00446CF3" w:rsidP="00446CF3">
            <w:pPr>
              <w:spacing w:after="0" w:line="240" w:lineRule="auto"/>
              <w:ind w:right="113"/>
              <w:jc w:val="center"/>
              <w:rPr>
                <w:rFonts w:ascii="Simplified Arabic" w:hAnsi="Simplified Arabic" w:cs="Simplified Arabic"/>
                <w:sz w:val="18"/>
                <w:szCs w:val="18"/>
                <w:rtl/>
              </w:rPr>
            </w:pPr>
            <w:r w:rsidRPr="00267BC4">
              <w:rPr>
                <w:rFonts w:ascii="Simplified Arabic" w:hAnsi="Simplified Arabic" w:cs="Simplified Arabic"/>
                <w:sz w:val="18"/>
                <w:szCs w:val="18"/>
              </w:rPr>
              <w:t>70.1</w:t>
            </w:r>
          </w:p>
          <w:p w14:paraId="20B2D7E1" w14:textId="77777777" w:rsidR="00446CF3" w:rsidRPr="00267BC4" w:rsidRDefault="00446CF3" w:rsidP="00446CF3">
            <w:pPr>
              <w:bidi w:val="0"/>
              <w:spacing w:after="0" w:line="240" w:lineRule="auto"/>
              <w:ind w:right="113"/>
              <w:jc w:val="center"/>
              <w:rPr>
                <w:rFonts w:asciiTheme="minorBidi" w:hAnsiTheme="minorBidi" w:cstheme="minorBidi"/>
                <w:sz w:val="18"/>
                <w:szCs w:val="18"/>
              </w:rPr>
            </w:pPr>
            <w:r w:rsidRPr="00267BC4">
              <w:rPr>
                <w:rFonts w:ascii="Simplified Arabic" w:hAnsi="Simplified Arabic" w:cs="Simplified Arabic" w:hint="cs"/>
                <w:sz w:val="18"/>
                <w:szCs w:val="18"/>
                <w:rtl/>
              </w:rPr>
              <w:t>(2020)</w:t>
            </w:r>
          </w:p>
        </w:tc>
        <w:tc>
          <w:tcPr>
            <w:tcW w:w="1260" w:type="dxa"/>
            <w:tcBorders>
              <w:left w:val="single" w:sz="4" w:space="0" w:color="auto"/>
              <w:right w:val="single" w:sz="4" w:space="0" w:color="auto"/>
            </w:tcBorders>
            <w:shd w:val="clear" w:color="auto" w:fill="auto"/>
            <w:noWrap/>
          </w:tcPr>
          <w:p w14:paraId="0810A2B1"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hint="cs"/>
                <w:sz w:val="18"/>
                <w:szCs w:val="18"/>
                <w:rtl/>
              </w:rPr>
              <w:t>71.2</w:t>
            </w:r>
          </w:p>
        </w:tc>
        <w:tc>
          <w:tcPr>
            <w:tcW w:w="1107" w:type="dxa"/>
            <w:tcBorders>
              <w:left w:val="single" w:sz="4" w:space="0" w:color="auto"/>
              <w:right w:val="single" w:sz="4" w:space="0" w:color="auto"/>
            </w:tcBorders>
          </w:tcPr>
          <w:p w14:paraId="013E0C83"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446CF3" w:rsidRPr="00802088" w14:paraId="19DF06E0"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7FF6DFB9"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basic drinking water (MOE, 202</w:t>
            </w:r>
            <w:r>
              <w:rPr>
                <w:rFonts w:asciiTheme="minorBidi" w:hAnsiTheme="minorBidi" w:cstheme="minorBidi"/>
                <w:sz w:val="18"/>
                <w:szCs w:val="18"/>
              </w:rPr>
              <w:t>1</w:t>
            </w:r>
            <w:r w:rsidRPr="00802088">
              <w:rPr>
                <w:rFonts w:asciiTheme="minorBidi" w:hAnsiTheme="minorBidi" w:cstheme="minorBidi"/>
                <w:sz w:val="18"/>
                <w:szCs w:val="18"/>
              </w:rPr>
              <w:t>/202</w:t>
            </w:r>
            <w:r>
              <w:rPr>
                <w:rFonts w:asciiTheme="minorBidi" w:hAnsiTheme="minorBidi" w:cstheme="minorBidi"/>
                <w:sz w:val="18"/>
                <w:szCs w:val="18"/>
              </w:rPr>
              <w:t>2</w:t>
            </w:r>
            <w:r w:rsidRPr="00802088">
              <w:rPr>
                <w:rFonts w:asciiTheme="minorBidi" w:hAnsiTheme="minorBidi" w:cstheme="minorBidi"/>
                <w:sz w:val="18"/>
                <w:szCs w:val="18"/>
              </w:rPr>
              <w:t xml:space="preserve">,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3CF1BE48"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211DB696" w14:textId="77777777" w:rsidR="00446CF3" w:rsidRPr="00267BC4" w:rsidRDefault="00446CF3" w:rsidP="00446CF3">
            <w:pPr>
              <w:spacing w:after="0" w:line="240" w:lineRule="auto"/>
              <w:ind w:right="113"/>
              <w:jc w:val="center"/>
              <w:rPr>
                <w:rFonts w:ascii="Simplified Arabic" w:hAnsi="Simplified Arabic" w:cs="Simplified Arabic"/>
                <w:sz w:val="18"/>
                <w:szCs w:val="18"/>
                <w:rtl/>
              </w:rPr>
            </w:pPr>
            <w:r w:rsidRPr="00267BC4">
              <w:rPr>
                <w:rFonts w:ascii="Simplified Arabic" w:hAnsi="Simplified Arabic" w:cs="Simplified Arabic"/>
                <w:sz w:val="18"/>
                <w:szCs w:val="18"/>
              </w:rPr>
              <w:t>99.5</w:t>
            </w:r>
          </w:p>
          <w:p w14:paraId="0BF25796" w14:textId="77777777" w:rsidR="00446CF3" w:rsidRPr="00267BC4" w:rsidRDefault="00446CF3" w:rsidP="00446CF3">
            <w:pPr>
              <w:bidi w:val="0"/>
              <w:spacing w:after="0" w:line="240" w:lineRule="auto"/>
              <w:ind w:right="113"/>
              <w:jc w:val="center"/>
              <w:rPr>
                <w:rFonts w:asciiTheme="minorBidi" w:hAnsiTheme="minorBidi" w:cstheme="minorBidi"/>
                <w:sz w:val="18"/>
                <w:szCs w:val="18"/>
              </w:rPr>
            </w:pPr>
            <w:r w:rsidRPr="00267BC4">
              <w:rPr>
                <w:rFonts w:ascii="Simplified Arabic" w:hAnsi="Simplified Arabic" w:cs="Simplified Arabic" w:hint="cs"/>
                <w:sz w:val="18"/>
                <w:szCs w:val="18"/>
                <w:rtl/>
              </w:rPr>
              <w:t>(2020)</w:t>
            </w:r>
          </w:p>
        </w:tc>
        <w:tc>
          <w:tcPr>
            <w:tcW w:w="1260" w:type="dxa"/>
            <w:tcBorders>
              <w:left w:val="single" w:sz="4" w:space="0" w:color="auto"/>
              <w:right w:val="single" w:sz="4" w:space="0" w:color="auto"/>
            </w:tcBorders>
            <w:shd w:val="clear" w:color="auto" w:fill="auto"/>
            <w:noWrap/>
          </w:tcPr>
          <w:p w14:paraId="6B16C6B8"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99.4</w:t>
            </w:r>
          </w:p>
        </w:tc>
        <w:tc>
          <w:tcPr>
            <w:tcW w:w="1107" w:type="dxa"/>
            <w:tcBorders>
              <w:left w:val="single" w:sz="4" w:space="0" w:color="auto"/>
              <w:right w:val="single" w:sz="4" w:space="0" w:color="auto"/>
            </w:tcBorders>
          </w:tcPr>
          <w:p w14:paraId="63D267A5"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Decrease</w:t>
            </w:r>
          </w:p>
        </w:tc>
      </w:tr>
      <w:tr w:rsidR="00446CF3" w:rsidRPr="00802088" w14:paraId="6077BF81"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1C17825D"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single-sex basic sanitation facilities (MOE, 202</w:t>
            </w:r>
            <w:r>
              <w:rPr>
                <w:rFonts w:asciiTheme="minorBidi" w:hAnsiTheme="minorBidi" w:cstheme="minorBidi"/>
                <w:sz w:val="18"/>
                <w:szCs w:val="18"/>
              </w:rPr>
              <w:t>1</w:t>
            </w:r>
            <w:r w:rsidRPr="00802088">
              <w:rPr>
                <w:rFonts w:asciiTheme="minorBidi" w:hAnsiTheme="minorBidi" w:cstheme="minorBidi"/>
                <w:sz w:val="18"/>
                <w:szCs w:val="18"/>
              </w:rPr>
              <w:t>/202</w:t>
            </w:r>
            <w:r>
              <w:rPr>
                <w:rFonts w:asciiTheme="minorBidi" w:hAnsiTheme="minorBidi" w:cstheme="minorBidi"/>
                <w:sz w:val="18"/>
                <w:szCs w:val="18"/>
              </w:rPr>
              <w:t>2</w:t>
            </w:r>
            <w:r w:rsidRPr="00802088">
              <w:rPr>
                <w:rFonts w:asciiTheme="minorBidi" w:hAnsiTheme="minorBidi" w:cstheme="minorBidi"/>
                <w:sz w:val="18"/>
                <w:szCs w:val="18"/>
              </w:rPr>
              <w:t xml:space="preserve">,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4CF0EC19"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519E4B68" w14:textId="77777777" w:rsidR="00446CF3" w:rsidRPr="00267BC4" w:rsidRDefault="00446CF3" w:rsidP="00446CF3">
            <w:pPr>
              <w:spacing w:after="0" w:line="240" w:lineRule="auto"/>
              <w:ind w:right="113"/>
              <w:jc w:val="center"/>
              <w:rPr>
                <w:rFonts w:ascii="Simplified Arabic" w:hAnsi="Simplified Arabic" w:cs="Simplified Arabic"/>
                <w:sz w:val="18"/>
                <w:szCs w:val="18"/>
                <w:rtl/>
              </w:rPr>
            </w:pPr>
            <w:r w:rsidRPr="00267BC4">
              <w:rPr>
                <w:rFonts w:ascii="Simplified Arabic" w:hAnsi="Simplified Arabic" w:cs="Simplified Arabic"/>
                <w:sz w:val="18"/>
                <w:szCs w:val="18"/>
              </w:rPr>
              <w:t>99.6</w:t>
            </w:r>
          </w:p>
          <w:p w14:paraId="40BFA3D5" w14:textId="77777777" w:rsidR="00446CF3" w:rsidRPr="00267BC4" w:rsidRDefault="00446CF3" w:rsidP="00446CF3">
            <w:pPr>
              <w:bidi w:val="0"/>
              <w:spacing w:after="0" w:line="240" w:lineRule="auto"/>
              <w:ind w:right="113"/>
              <w:jc w:val="center"/>
              <w:rPr>
                <w:rFonts w:asciiTheme="minorBidi" w:hAnsiTheme="minorBidi" w:cstheme="minorBidi"/>
                <w:sz w:val="18"/>
                <w:szCs w:val="18"/>
              </w:rPr>
            </w:pPr>
            <w:r w:rsidRPr="00267BC4">
              <w:rPr>
                <w:rFonts w:ascii="Simplified Arabic" w:hAnsi="Simplified Arabic" w:cs="Simplified Arabic" w:hint="cs"/>
                <w:sz w:val="18"/>
                <w:szCs w:val="18"/>
                <w:rtl/>
              </w:rPr>
              <w:t>(2020)</w:t>
            </w:r>
          </w:p>
        </w:tc>
        <w:tc>
          <w:tcPr>
            <w:tcW w:w="1260" w:type="dxa"/>
            <w:tcBorders>
              <w:left w:val="single" w:sz="4" w:space="0" w:color="auto"/>
              <w:right w:val="single" w:sz="4" w:space="0" w:color="auto"/>
            </w:tcBorders>
            <w:shd w:val="clear" w:color="auto" w:fill="auto"/>
            <w:noWrap/>
          </w:tcPr>
          <w:p w14:paraId="12FCEE0F"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100</w:t>
            </w:r>
          </w:p>
        </w:tc>
        <w:tc>
          <w:tcPr>
            <w:tcW w:w="1107" w:type="dxa"/>
            <w:tcBorders>
              <w:left w:val="single" w:sz="4" w:space="0" w:color="auto"/>
              <w:right w:val="single" w:sz="4" w:space="0" w:color="auto"/>
            </w:tcBorders>
          </w:tcPr>
          <w:p w14:paraId="0C457A76"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446CF3" w:rsidRPr="00802088" w14:paraId="125748B1" w14:textId="77777777" w:rsidTr="00446CF3">
        <w:trPr>
          <w:trHeight w:val="389"/>
          <w:jc w:val="center"/>
        </w:trPr>
        <w:tc>
          <w:tcPr>
            <w:tcW w:w="4313" w:type="dxa"/>
            <w:tcBorders>
              <w:left w:val="single" w:sz="4" w:space="0" w:color="auto"/>
              <w:bottom w:val="single" w:sz="4" w:space="0" w:color="auto"/>
              <w:right w:val="single" w:sz="4" w:space="0" w:color="auto"/>
            </w:tcBorders>
            <w:shd w:val="clear" w:color="auto" w:fill="auto"/>
            <w:noWrap/>
            <w:vAlign w:val="center"/>
            <w:hideMark/>
          </w:tcPr>
          <w:p w14:paraId="6CFAB25E"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basic hand washing facilities (as per the WASH indicator definitions) (MOE, 202</w:t>
            </w:r>
            <w:r>
              <w:rPr>
                <w:rFonts w:asciiTheme="minorBidi" w:hAnsiTheme="minorBidi" w:cstheme="minorBidi"/>
                <w:sz w:val="18"/>
                <w:szCs w:val="18"/>
              </w:rPr>
              <w:t>1</w:t>
            </w:r>
            <w:r w:rsidRPr="00802088">
              <w:rPr>
                <w:rFonts w:asciiTheme="minorBidi" w:hAnsiTheme="minorBidi" w:cstheme="minorBidi"/>
                <w:sz w:val="18"/>
                <w:szCs w:val="18"/>
              </w:rPr>
              <w:t>/202</w:t>
            </w:r>
            <w:r>
              <w:rPr>
                <w:rFonts w:asciiTheme="minorBidi" w:hAnsiTheme="minorBidi" w:cstheme="minorBidi"/>
                <w:sz w:val="18"/>
                <w:szCs w:val="18"/>
              </w:rPr>
              <w:t>2</w:t>
            </w:r>
            <w:r w:rsidRPr="00802088">
              <w:rPr>
                <w:rFonts w:asciiTheme="minorBidi" w:hAnsiTheme="minorBidi" w:cstheme="minorBidi"/>
                <w:sz w:val="18"/>
                <w:szCs w:val="18"/>
              </w:rPr>
              <w:t xml:space="preserve">,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bottom w:val="single" w:sz="4" w:space="0" w:color="auto"/>
              <w:right w:val="single" w:sz="4" w:space="0" w:color="auto"/>
            </w:tcBorders>
            <w:shd w:val="clear" w:color="auto" w:fill="auto"/>
            <w:noWrap/>
            <w:hideMark/>
          </w:tcPr>
          <w:p w14:paraId="6899BFAD"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bottom w:val="single" w:sz="4" w:space="0" w:color="auto"/>
              <w:right w:val="single" w:sz="4" w:space="0" w:color="auto"/>
            </w:tcBorders>
          </w:tcPr>
          <w:p w14:paraId="6D5B2FAE" w14:textId="77777777" w:rsidR="00446CF3" w:rsidRPr="00267BC4" w:rsidRDefault="00446CF3" w:rsidP="00446CF3">
            <w:pPr>
              <w:spacing w:after="0" w:line="240" w:lineRule="auto"/>
              <w:ind w:right="113"/>
              <w:jc w:val="center"/>
              <w:rPr>
                <w:rFonts w:ascii="Simplified Arabic" w:hAnsi="Simplified Arabic" w:cs="Simplified Arabic"/>
                <w:sz w:val="18"/>
                <w:szCs w:val="18"/>
                <w:rtl/>
              </w:rPr>
            </w:pPr>
            <w:r w:rsidRPr="00267BC4">
              <w:rPr>
                <w:rFonts w:ascii="Simplified Arabic" w:hAnsi="Simplified Arabic" w:cs="Simplified Arabic"/>
                <w:sz w:val="18"/>
                <w:szCs w:val="18"/>
              </w:rPr>
              <w:t>99.0</w:t>
            </w:r>
          </w:p>
          <w:p w14:paraId="5E410C43" w14:textId="77777777" w:rsidR="00446CF3" w:rsidRPr="00267BC4" w:rsidRDefault="00446CF3" w:rsidP="00446CF3">
            <w:pPr>
              <w:bidi w:val="0"/>
              <w:spacing w:after="0" w:line="240" w:lineRule="auto"/>
              <w:ind w:right="113"/>
              <w:jc w:val="center"/>
              <w:rPr>
                <w:rFonts w:asciiTheme="minorBidi" w:hAnsiTheme="minorBidi" w:cstheme="minorBidi"/>
                <w:sz w:val="18"/>
                <w:szCs w:val="18"/>
              </w:rPr>
            </w:pPr>
            <w:r w:rsidRPr="00267BC4">
              <w:rPr>
                <w:rFonts w:ascii="Simplified Arabic" w:hAnsi="Simplified Arabic" w:cs="Simplified Arabic" w:hint="cs"/>
                <w:sz w:val="18"/>
                <w:szCs w:val="18"/>
                <w:rtl/>
              </w:rPr>
              <w:t>(2020)</w:t>
            </w:r>
          </w:p>
        </w:tc>
        <w:tc>
          <w:tcPr>
            <w:tcW w:w="1260" w:type="dxa"/>
            <w:tcBorders>
              <w:left w:val="single" w:sz="4" w:space="0" w:color="auto"/>
              <w:bottom w:val="single" w:sz="4" w:space="0" w:color="auto"/>
              <w:right w:val="single" w:sz="4" w:space="0" w:color="auto"/>
            </w:tcBorders>
            <w:shd w:val="clear" w:color="auto" w:fill="auto"/>
            <w:noWrap/>
          </w:tcPr>
          <w:p w14:paraId="00804F78"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98.9</w:t>
            </w:r>
          </w:p>
        </w:tc>
        <w:tc>
          <w:tcPr>
            <w:tcW w:w="1107" w:type="dxa"/>
            <w:tcBorders>
              <w:left w:val="single" w:sz="4" w:space="0" w:color="auto"/>
              <w:bottom w:val="single" w:sz="4" w:space="0" w:color="auto"/>
              <w:right w:val="single" w:sz="4" w:space="0" w:color="auto"/>
            </w:tcBorders>
          </w:tcPr>
          <w:p w14:paraId="55755C00"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Decrease</w:t>
            </w:r>
          </w:p>
        </w:tc>
      </w:tr>
      <w:tr w:rsidR="00446CF3" w:rsidRPr="00802088" w14:paraId="05FD0CE0" w14:textId="77777777" w:rsidTr="00446CF3">
        <w:trPr>
          <w:trHeight w:val="389"/>
          <w:jc w:val="center"/>
        </w:trPr>
        <w:tc>
          <w:tcPr>
            <w:tcW w:w="4313" w:type="dxa"/>
            <w:tcBorders>
              <w:top w:val="single" w:sz="4" w:space="0" w:color="auto"/>
              <w:left w:val="single" w:sz="4" w:space="0" w:color="auto"/>
              <w:right w:val="single" w:sz="4" w:space="0" w:color="auto"/>
            </w:tcBorders>
            <w:shd w:val="clear" w:color="auto" w:fill="auto"/>
            <w:noWrap/>
            <w:vAlign w:val="center"/>
            <w:hideMark/>
          </w:tcPr>
          <w:p w14:paraId="398C6154" w14:textId="77777777" w:rsidR="00446CF3" w:rsidRPr="00802088" w:rsidRDefault="00446CF3" w:rsidP="00446CF3">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Indicator 4.c.1</w:t>
            </w:r>
            <w:r w:rsidRPr="00802088">
              <w:rPr>
                <w:rFonts w:asciiTheme="minorBidi" w:hAnsiTheme="minorBidi" w:cstheme="minorBidi"/>
                <w:sz w:val="18"/>
                <w:szCs w:val="18"/>
              </w:rPr>
              <w:t xml:space="preserve"> Proportion of teachers in: (a) pre-primary; (b) primary; (c) lower secondary; and (d) upper secondary education who have received at least the minimum organized teacher training (e.g. pedagogical training) pre-service or in-service required for teaching at the relevant level in a given country</w:t>
            </w:r>
          </w:p>
        </w:tc>
        <w:tc>
          <w:tcPr>
            <w:tcW w:w="1195" w:type="dxa"/>
            <w:tcBorders>
              <w:top w:val="single" w:sz="4" w:space="0" w:color="auto"/>
              <w:left w:val="nil"/>
              <w:right w:val="single" w:sz="4" w:space="0" w:color="auto"/>
            </w:tcBorders>
            <w:shd w:val="clear" w:color="auto" w:fill="auto"/>
            <w:noWrap/>
            <w:hideMark/>
          </w:tcPr>
          <w:p w14:paraId="597EA1BD" w14:textId="77777777" w:rsidR="00446CF3" w:rsidRPr="00802088" w:rsidRDefault="00446CF3" w:rsidP="00446CF3">
            <w:pPr>
              <w:bidi w:val="0"/>
              <w:spacing w:after="0" w:line="240" w:lineRule="auto"/>
              <w:jc w:val="center"/>
              <w:rPr>
                <w:rFonts w:asciiTheme="minorBidi" w:hAnsiTheme="minorBidi" w:cstheme="minorBidi"/>
                <w:sz w:val="18"/>
                <w:szCs w:val="18"/>
              </w:rPr>
            </w:pPr>
          </w:p>
        </w:tc>
        <w:tc>
          <w:tcPr>
            <w:tcW w:w="1651" w:type="dxa"/>
            <w:tcBorders>
              <w:top w:val="single" w:sz="4" w:space="0" w:color="auto"/>
              <w:left w:val="nil"/>
              <w:right w:val="single" w:sz="4" w:space="0" w:color="auto"/>
            </w:tcBorders>
          </w:tcPr>
          <w:p w14:paraId="6A0FC1C6"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260" w:type="dxa"/>
            <w:tcBorders>
              <w:top w:val="single" w:sz="4" w:space="0" w:color="auto"/>
              <w:left w:val="single" w:sz="4" w:space="0" w:color="auto"/>
              <w:right w:val="single" w:sz="4" w:space="0" w:color="auto"/>
            </w:tcBorders>
            <w:shd w:val="clear" w:color="auto" w:fill="auto"/>
            <w:noWrap/>
            <w:hideMark/>
          </w:tcPr>
          <w:p w14:paraId="7989BB4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c>
          <w:tcPr>
            <w:tcW w:w="1107" w:type="dxa"/>
            <w:tcBorders>
              <w:top w:val="single" w:sz="4" w:space="0" w:color="auto"/>
              <w:left w:val="single" w:sz="4" w:space="0" w:color="auto"/>
              <w:right w:val="single" w:sz="4" w:space="0" w:color="auto"/>
            </w:tcBorders>
          </w:tcPr>
          <w:p w14:paraId="33E226F3"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p>
        </w:tc>
      </w:tr>
      <w:tr w:rsidR="00446CF3" w:rsidRPr="00802088" w14:paraId="0A2BA25E"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57E3A39F"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Primary stage  (MOE, 2020/2021,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5308F815"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1A2217FF"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 (2020)</w:t>
            </w:r>
          </w:p>
        </w:tc>
        <w:tc>
          <w:tcPr>
            <w:tcW w:w="1260" w:type="dxa"/>
            <w:tcBorders>
              <w:left w:val="single" w:sz="4" w:space="0" w:color="auto"/>
              <w:right w:val="single" w:sz="4" w:space="0" w:color="auto"/>
            </w:tcBorders>
            <w:shd w:val="clear" w:color="auto" w:fill="auto"/>
            <w:noWrap/>
            <w:hideMark/>
          </w:tcPr>
          <w:p w14:paraId="28FF475D"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w:t>
            </w:r>
          </w:p>
        </w:tc>
        <w:tc>
          <w:tcPr>
            <w:tcW w:w="1107" w:type="dxa"/>
            <w:tcBorders>
              <w:left w:val="single" w:sz="4" w:space="0" w:color="auto"/>
              <w:right w:val="single" w:sz="4" w:space="0" w:color="auto"/>
            </w:tcBorders>
          </w:tcPr>
          <w:p w14:paraId="64617753"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446CF3" w:rsidRPr="00802088" w14:paraId="7DDDA198" w14:textId="77777777" w:rsidTr="00446CF3">
        <w:trPr>
          <w:trHeight w:val="389"/>
          <w:jc w:val="center"/>
        </w:trPr>
        <w:tc>
          <w:tcPr>
            <w:tcW w:w="4313" w:type="dxa"/>
            <w:tcBorders>
              <w:left w:val="single" w:sz="4" w:space="0" w:color="auto"/>
              <w:right w:val="single" w:sz="4" w:space="0" w:color="auto"/>
            </w:tcBorders>
            <w:shd w:val="clear" w:color="auto" w:fill="auto"/>
            <w:noWrap/>
            <w:vAlign w:val="center"/>
            <w:hideMark/>
          </w:tcPr>
          <w:p w14:paraId="4700A340"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Lower secondary (MOE, 2020/2021,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right w:val="single" w:sz="4" w:space="0" w:color="auto"/>
            </w:tcBorders>
            <w:shd w:val="clear" w:color="auto" w:fill="auto"/>
            <w:noWrap/>
            <w:hideMark/>
          </w:tcPr>
          <w:p w14:paraId="7E83A371"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right w:val="single" w:sz="4" w:space="0" w:color="auto"/>
            </w:tcBorders>
          </w:tcPr>
          <w:p w14:paraId="1B22140C"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 (2020)</w:t>
            </w:r>
          </w:p>
        </w:tc>
        <w:tc>
          <w:tcPr>
            <w:tcW w:w="1260" w:type="dxa"/>
            <w:tcBorders>
              <w:left w:val="single" w:sz="4" w:space="0" w:color="auto"/>
              <w:right w:val="single" w:sz="4" w:space="0" w:color="auto"/>
            </w:tcBorders>
            <w:shd w:val="clear" w:color="auto" w:fill="auto"/>
            <w:noWrap/>
            <w:hideMark/>
          </w:tcPr>
          <w:p w14:paraId="0567DCB7"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w:t>
            </w:r>
          </w:p>
        </w:tc>
        <w:tc>
          <w:tcPr>
            <w:tcW w:w="1107" w:type="dxa"/>
            <w:tcBorders>
              <w:left w:val="single" w:sz="4" w:space="0" w:color="auto"/>
              <w:right w:val="single" w:sz="4" w:space="0" w:color="auto"/>
            </w:tcBorders>
          </w:tcPr>
          <w:p w14:paraId="7C8B0F79"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446CF3" w:rsidRPr="00802088" w14:paraId="48709D2A" w14:textId="77777777" w:rsidTr="00446CF3">
        <w:trPr>
          <w:trHeight w:val="389"/>
          <w:jc w:val="center"/>
        </w:trPr>
        <w:tc>
          <w:tcPr>
            <w:tcW w:w="4313" w:type="dxa"/>
            <w:tcBorders>
              <w:left w:val="single" w:sz="4" w:space="0" w:color="auto"/>
              <w:bottom w:val="single" w:sz="4" w:space="0" w:color="auto"/>
              <w:right w:val="single" w:sz="4" w:space="0" w:color="auto"/>
            </w:tcBorders>
            <w:shd w:val="clear" w:color="auto" w:fill="auto"/>
            <w:noWrap/>
            <w:vAlign w:val="center"/>
            <w:hideMark/>
          </w:tcPr>
          <w:p w14:paraId="3A8D422D" w14:textId="77777777" w:rsidR="00446CF3" w:rsidRPr="00802088" w:rsidRDefault="00446CF3" w:rsidP="00446CF3">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Upper secondary (MOE, 2020/2021, </w:t>
            </w:r>
            <w:r>
              <w:rPr>
                <w:rFonts w:asciiTheme="minorBidi" w:hAnsiTheme="minorBidi" w:cstheme="minorBidi"/>
                <w:sz w:val="18"/>
                <w:szCs w:val="18"/>
              </w:rPr>
              <w:t>p</w:t>
            </w:r>
            <w:r w:rsidRPr="00802088">
              <w:rPr>
                <w:rFonts w:asciiTheme="minorBidi" w:hAnsiTheme="minorBidi" w:cstheme="minorBidi"/>
                <w:sz w:val="18"/>
                <w:szCs w:val="18"/>
              </w:rPr>
              <w:t>ercentage)</w:t>
            </w:r>
          </w:p>
        </w:tc>
        <w:tc>
          <w:tcPr>
            <w:tcW w:w="1195" w:type="dxa"/>
            <w:tcBorders>
              <w:left w:val="nil"/>
              <w:bottom w:val="single" w:sz="4" w:space="0" w:color="auto"/>
              <w:right w:val="single" w:sz="4" w:space="0" w:color="auto"/>
            </w:tcBorders>
            <w:shd w:val="clear" w:color="auto" w:fill="auto"/>
            <w:noWrap/>
            <w:hideMark/>
          </w:tcPr>
          <w:p w14:paraId="583078DC" w14:textId="77777777" w:rsidR="00446CF3" w:rsidRPr="00802088" w:rsidRDefault="00446CF3" w:rsidP="00446CF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651" w:type="dxa"/>
            <w:tcBorders>
              <w:left w:val="nil"/>
              <w:bottom w:val="single" w:sz="4" w:space="0" w:color="auto"/>
              <w:right w:val="single" w:sz="4" w:space="0" w:color="auto"/>
            </w:tcBorders>
          </w:tcPr>
          <w:p w14:paraId="569978D2"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 (2020)</w:t>
            </w:r>
          </w:p>
        </w:tc>
        <w:tc>
          <w:tcPr>
            <w:tcW w:w="1260" w:type="dxa"/>
            <w:tcBorders>
              <w:left w:val="single" w:sz="4" w:space="0" w:color="auto"/>
              <w:bottom w:val="single" w:sz="4" w:space="0" w:color="auto"/>
              <w:right w:val="single" w:sz="4" w:space="0" w:color="auto"/>
            </w:tcBorders>
            <w:shd w:val="clear" w:color="auto" w:fill="auto"/>
            <w:noWrap/>
            <w:hideMark/>
          </w:tcPr>
          <w:p w14:paraId="58BCF584"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w:t>
            </w:r>
          </w:p>
        </w:tc>
        <w:tc>
          <w:tcPr>
            <w:tcW w:w="1107" w:type="dxa"/>
            <w:tcBorders>
              <w:left w:val="single" w:sz="4" w:space="0" w:color="auto"/>
              <w:bottom w:val="single" w:sz="4" w:space="0" w:color="auto"/>
              <w:right w:val="single" w:sz="4" w:space="0" w:color="auto"/>
            </w:tcBorders>
          </w:tcPr>
          <w:p w14:paraId="6423B200" w14:textId="77777777" w:rsidR="00446CF3" w:rsidRPr="00802088" w:rsidRDefault="00446CF3" w:rsidP="00446CF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bl>
    <w:p w14:paraId="234A3511" w14:textId="77777777" w:rsidR="00EC0053" w:rsidRPr="00FB5D8B" w:rsidRDefault="00EC0053" w:rsidP="008C6258">
      <w:pPr>
        <w:bidi w:val="0"/>
        <w:spacing w:after="0" w:line="240" w:lineRule="auto"/>
        <w:ind w:left="-142" w:right="-285"/>
        <w:jc w:val="both"/>
        <w:rPr>
          <w:rFonts w:ascii="Times New Roman" w:hAnsi="Times New Roman" w:cs="Times New Roman"/>
          <w:sz w:val="24"/>
          <w:szCs w:val="24"/>
          <w:lang w:eastAsia="ar-SA"/>
        </w:rPr>
      </w:pPr>
    </w:p>
    <w:p w14:paraId="70E29AB9" w14:textId="77777777" w:rsidR="00625A8B" w:rsidRPr="00FB5D8B" w:rsidRDefault="00625A8B" w:rsidP="008C6258">
      <w:pPr>
        <w:autoSpaceDE w:val="0"/>
        <w:autoSpaceDN w:val="0"/>
        <w:bidi w:val="0"/>
        <w:adjustRightInd w:val="0"/>
        <w:spacing w:after="0" w:line="240" w:lineRule="auto"/>
        <w:jc w:val="both"/>
        <w:rPr>
          <w:rFonts w:ascii="Times New Roman" w:hAnsi="Times New Roman" w:cs="Times New Roman"/>
          <w:b/>
          <w:bCs/>
          <w:sz w:val="24"/>
          <w:szCs w:val="24"/>
        </w:rPr>
      </w:pPr>
      <w:r w:rsidRPr="00FB5D8B">
        <w:rPr>
          <w:rFonts w:ascii="Times New Roman" w:hAnsi="Times New Roman" w:cs="Times New Roman"/>
          <w:b/>
          <w:bCs/>
          <w:sz w:val="24"/>
          <w:szCs w:val="24"/>
        </w:rPr>
        <w:t xml:space="preserve">b. Reported </w:t>
      </w:r>
      <w:r w:rsidR="00460DF0">
        <w:rPr>
          <w:rFonts w:ascii="Times New Roman" w:hAnsi="Times New Roman" w:cs="Times New Roman"/>
          <w:b/>
          <w:bCs/>
          <w:sz w:val="24"/>
          <w:szCs w:val="24"/>
        </w:rPr>
        <w:t>i</w:t>
      </w:r>
      <w:r w:rsidRPr="00FB5D8B">
        <w:rPr>
          <w:rFonts w:ascii="Times New Roman" w:hAnsi="Times New Roman" w:cs="Times New Roman"/>
          <w:b/>
          <w:bCs/>
          <w:sz w:val="24"/>
          <w:szCs w:val="24"/>
        </w:rPr>
        <w:t xml:space="preserve">ndicators by </w:t>
      </w:r>
      <w:r w:rsidR="00460DF0">
        <w:rPr>
          <w:rFonts w:ascii="Times New Roman" w:hAnsi="Times New Roman" w:cs="Times New Roman"/>
          <w:b/>
          <w:bCs/>
          <w:sz w:val="24"/>
          <w:szCs w:val="24"/>
        </w:rPr>
        <w:t>o</w:t>
      </w:r>
      <w:r w:rsidRPr="00FB5D8B">
        <w:rPr>
          <w:rFonts w:ascii="Times New Roman" w:hAnsi="Times New Roman" w:cs="Times New Roman"/>
          <w:b/>
          <w:bCs/>
          <w:sz w:val="24"/>
          <w:szCs w:val="24"/>
        </w:rPr>
        <w:t xml:space="preserve">ther </w:t>
      </w:r>
      <w:r w:rsidR="00460DF0">
        <w:rPr>
          <w:rFonts w:ascii="Times New Roman" w:hAnsi="Times New Roman" w:cs="Times New Roman"/>
          <w:b/>
          <w:bCs/>
          <w:sz w:val="24"/>
          <w:szCs w:val="24"/>
        </w:rPr>
        <w:t>s</w:t>
      </w:r>
      <w:r w:rsidRPr="00FB5D8B">
        <w:rPr>
          <w:rFonts w:ascii="Times New Roman" w:hAnsi="Times New Roman" w:cs="Times New Roman"/>
          <w:b/>
          <w:bCs/>
          <w:sz w:val="24"/>
          <w:szCs w:val="24"/>
        </w:rPr>
        <w:t>ources</w:t>
      </w:r>
    </w:p>
    <w:p w14:paraId="4056AB56" w14:textId="77777777" w:rsidR="005400EE" w:rsidRDefault="00625A8B" w:rsidP="00460DF0">
      <w:pPr>
        <w:autoSpaceDE w:val="0"/>
        <w:autoSpaceDN w:val="0"/>
        <w:bidi w:val="0"/>
        <w:adjustRightInd w:val="0"/>
        <w:spacing w:after="0" w:line="240" w:lineRule="auto"/>
        <w:jc w:val="both"/>
        <w:rPr>
          <w:rFonts w:ascii="Times New Roman" w:hAnsi="Times New Roman" w:cs="Times New Roman"/>
          <w:sz w:val="24"/>
          <w:szCs w:val="24"/>
        </w:rPr>
      </w:pPr>
      <w:r w:rsidRPr="00FB5D8B">
        <w:rPr>
          <w:rFonts w:ascii="Times New Roman" w:hAnsi="Times New Roman" w:cs="Times New Roman"/>
          <w:sz w:val="24"/>
          <w:szCs w:val="24"/>
          <w:lang w:eastAsia="ar-SA"/>
        </w:rPr>
        <w:t xml:space="preserve">There </w:t>
      </w:r>
      <w:r w:rsidR="00F801F8">
        <w:rPr>
          <w:rFonts w:ascii="Times New Roman" w:hAnsi="Times New Roman" w:cs="Times New Roman"/>
          <w:sz w:val="24"/>
          <w:szCs w:val="24"/>
          <w:lang w:eastAsia="ar-SA"/>
        </w:rPr>
        <w:t>is one</w:t>
      </w:r>
      <w:r w:rsidRPr="00FB5D8B">
        <w:rPr>
          <w:rFonts w:ascii="Times New Roman" w:hAnsi="Times New Roman" w:cs="Times New Roman"/>
          <w:sz w:val="24"/>
          <w:szCs w:val="24"/>
          <w:lang w:eastAsia="ar-SA"/>
        </w:rPr>
        <w:t xml:space="preserve"> additional reported indicator by other sources that </w:t>
      </w:r>
      <w:r w:rsidR="00F801F8">
        <w:rPr>
          <w:rFonts w:ascii="Times New Roman" w:hAnsi="Times New Roman" w:cs="Times New Roman"/>
          <w:sz w:val="24"/>
          <w:szCs w:val="24"/>
          <w:lang w:eastAsia="ar-SA"/>
        </w:rPr>
        <w:t xml:space="preserve">is </w:t>
      </w:r>
      <w:r w:rsidRPr="00FB5D8B">
        <w:rPr>
          <w:rFonts w:ascii="Times New Roman" w:hAnsi="Times New Roman" w:cs="Times New Roman"/>
          <w:sz w:val="24"/>
          <w:szCs w:val="24"/>
          <w:lang w:eastAsia="ar-SA"/>
        </w:rPr>
        <w:t xml:space="preserve">available on UNSD-Database for Goal </w:t>
      </w:r>
      <w:r w:rsidR="00FB5D8B" w:rsidRPr="00FB5D8B">
        <w:rPr>
          <w:rFonts w:ascii="Times New Roman" w:hAnsi="Times New Roman" w:cs="Times New Roman"/>
          <w:sz w:val="24"/>
          <w:szCs w:val="24"/>
          <w:lang w:eastAsia="ar-SA"/>
        </w:rPr>
        <w:t>4</w:t>
      </w:r>
      <w:r w:rsidRPr="00FB5D8B">
        <w:rPr>
          <w:rFonts w:ascii="Times New Roman" w:hAnsi="Times New Roman" w:cs="Times New Roman"/>
          <w:sz w:val="24"/>
          <w:szCs w:val="24"/>
          <w:lang w:eastAsia="ar-SA"/>
        </w:rPr>
        <w:t xml:space="preserve"> referring to </w:t>
      </w:r>
      <w:r w:rsidR="00460DF0">
        <w:rPr>
          <w:rFonts w:ascii="Times New Roman" w:hAnsi="Times New Roman" w:cs="Times New Roman"/>
          <w:sz w:val="24"/>
          <w:szCs w:val="24"/>
          <w:lang w:eastAsia="ar-SA"/>
        </w:rPr>
        <w:t>one</w:t>
      </w:r>
      <w:r w:rsidRPr="00FB5D8B">
        <w:rPr>
          <w:rFonts w:ascii="Times New Roman" w:hAnsi="Times New Roman" w:cs="Times New Roman"/>
          <w:sz w:val="24"/>
          <w:szCs w:val="24"/>
          <w:lang w:eastAsia="ar-SA"/>
        </w:rPr>
        <w:t xml:space="preserve">of the </w:t>
      </w:r>
      <w:r w:rsidR="00FB5D8B" w:rsidRPr="00FB5D8B">
        <w:rPr>
          <w:rFonts w:ascii="Times New Roman" w:hAnsi="Times New Roman" w:cs="Times New Roman"/>
          <w:sz w:val="24"/>
          <w:szCs w:val="24"/>
          <w:lang w:eastAsia="ar-SA"/>
        </w:rPr>
        <w:t>10</w:t>
      </w:r>
      <w:r w:rsidRPr="00FB5D8B">
        <w:rPr>
          <w:rFonts w:ascii="Times New Roman" w:hAnsi="Times New Roman" w:cs="Times New Roman"/>
          <w:sz w:val="24"/>
          <w:szCs w:val="24"/>
          <w:lang w:eastAsia="ar-SA"/>
        </w:rPr>
        <w:t>targets</w:t>
      </w:r>
      <w:r w:rsidR="00460DF0">
        <w:rPr>
          <w:rFonts w:ascii="Times New Roman" w:hAnsi="Times New Roman" w:cs="Times New Roman"/>
          <w:sz w:val="24"/>
          <w:szCs w:val="24"/>
          <w:lang w:eastAsia="ar-SA"/>
        </w:rPr>
        <w:t xml:space="preserve">; </w:t>
      </w:r>
      <w:r w:rsidR="00460DF0">
        <w:rPr>
          <w:rFonts w:ascii="Times New Roman" w:hAnsi="Times New Roman" w:cs="Times New Roman"/>
          <w:sz w:val="24"/>
          <w:szCs w:val="24"/>
        </w:rPr>
        <w:t>t</w:t>
      </w:r>
      <w:r w:rsidR="005400EE" w:rsidRPr="001D5BA6">
        <w:rPr>
          <w:rFonts w:ascii="Times New Roman" w:hAnsi="Times New Roman" w:cs="Times New Roman"/>
          <w:sz w:val="24"/>
          <w:szCs w:val="24"/>
        </w:rPr>
        <w:t xml:space="preserve">herefore, </w:t>
      </w:r>
      <w:r w:rsidR="005400EE">
        <w:rPr>
          <w:rFonts w:ascii="Times New Roman" w:hAnsi="Times New Roman" w:cs="Times New Roman"/>
          <w:sz w:val="24"/>
          <w:szCs w:val="24"/>
        </w:rPr>
        <w:t xml:space="preserve">90.0% </w:t>
      </w:r>
      <w:r w:rsidR="005400EE" w:rsidRPr="001D5BA6">
        <w:rPr>
          <w:rFonts w:ascii="Times New Roman" w:hAnsi="Times New Roman" w:cs="Times New Roman"/>
          <w:sz w:val="24"/>
          <w:szCs w:val="24"/>
        </w:rPr>
        <w:t>of the goal targets</w:t>
      </w:r>
      <w:r w:rsidR="005400EE">
        <w:rPr>
          <w:rFonts w:ascii="Times New Roman" w:hAnsi="Times New Roman" w:cs="Times New Roman"/>
          <w:sz w:val="24"/>
          <w:szCs w:val="24"/>
        </w:rPr>
        <w:t xml:space="preserve"> (</w:t>
      </w:r>
      <w:r w:rsidR="005400EE" w:rsidRPr="005400EE">
        <w:rPr>
          <w:rFonts w:ascii="Times New Roman" w:hAnsi="Times New Roman" w:cs="Times New Roman"/>
          <w:sz w:val="24"/>
          <w:szCs w:val="24"/>
        </w:rPr>
        <w:t>nine</w:t>
      </w:r>
      <w:r w:rsidR="005400EE">
        <w:rPr>
          <w:rFonts w:ascii="Times New Roman" w:hAnsi="Times New Roman" w:cs="Times New Roman"/>
          <w:sz w:val="24"/>
          <w:szCs w:val="24"/>
        </w:rPr>
        <w:t xml:space="preserve">out of </w:t>
      </w:r>
      <w:r w:rsidR="00460DF0">
        <w:rPr>
          <w:rFonts w:ascii="Times New Roman" w:hAnsi="Times New Roman" w:cs="Times New Roman"/>
          <w:sz w:val="24"/>
          <w:szCs w:val="24"/>
        </w:rPr>
        <w:t>10</w:t>
      </w:r>
      <w:r w:rsidR="005400EE">
        <w:rPr>
          <w:rFonts w:ascii="Times New Roman" w:hAnsi="Times New Roman" w:cs="Times New Roman"/>
          <w:sz w:val="24"/>
          <w:szCs w:val="24"/>
        </w:rPr>
        <w:t>)</w:t>
      </w:r>
      <w:r w:rsidR="00F801F8">
        <w:rPr>
          <w:rFonts w:ascii="Times New Roman" w:hAnsi="Times New Roman" w:cs="Times New Roman"/>
          <w:sz w:val="24"/>
          <w:szCs w:val="24"/>
        </w:rPr>
        <w:t>have</w:t>
      </w:r>
      <w:r w:rsidR="005400EE" w:rsidRPr="001D5BA6">
        <w:rPr>
          <w:rFonts w:ascii="Times New Roman" w:hAnsi="Times New Roman" w:cs="Times New Roman"/>
          <w:sz w:val="24"/>
          <w:szCs w:val="24"/>
        </w:rPr>
        <w:t xml:space="preserve">either </w:t>
      </w:r>
      <w:r w:rsidR="00F801F8">
        <w:rPr>
          <w:rFonts w:ascii="Times New Roman" w:hAnsi="Times New Roman" w:cs="Times New Roman"/>
          <w:sz w:val="24"/>
          <w:szCs w:val="24"/>
        </w:rPr>
        <w:t>been</w:t>
      </w:r>
      <w:r w:rsidR="005400EE" w:rsidRPr="001D5BA6">
        <w:rPr>
          <w:rFonts w:ascii="Times New Roman" w:hAnsi="Times New Roman" w:cs="Times New Roman"/>
          <w:sz w:val="24"/>
          <w:szCs w:val="24"/>
        </w:rPr>
        <w:t>fully or partially</w:t>
      </w:r>
      <w:r w:rsidR="00F801F8">
        <w:rPr>
          <w:rFonts w:ascii="Times New Roman" w:hAnsi="Times New Roman" w:cs="Times New Roman"/>
          <w:sz w:val="24"/>
          <w:szCs w:val="24"/>
        </w:rPr>
        <w:t xml:space="preserve"> covered</w:t>
      </w:r>
      <w:r w:rsidR="005400EE" w:rsidRPr="001D5BA6">
        <w:rPr>
          <w:rFonts w:ascii="Times New Roman" w:hAnsi="Times New Roman" w:cs="Times New Roman"/>
          <w:sz w:val="24"/>
          <w:szCs w:val="24"/>
        </w:rPr>
        <w:t>.</w:t>
      </w:r>
    </w:p>
    <w:p w14:paraId="57F7CD18" w14:textId="77777777" w:rsidR="009D25D5" w:rsidRDefault="009D25D5" w:rsidP="009D25D5">
      <w:pPr>
        <w:autoSpaceDE w:val="0"/>
        <w:autoSpaceDN w:val="0"/>
        <w:bidi w:val="0"/>
        <w:adjustRightInd w:val="0"/>
        <w:spacing w:after="0" w:line="240" w:lineRule="auto"/>
        <w:jc w:val="both"/>
        <w:rPr>
          <w:rFonts w:ascii="Times New Roman" w:hAnsi="Times New Roman" w:cs="Times New Roman"/>
          <w:sz w:val="24"/>
          <w:szCs w:val="24"/>
          <w:lang w:eastAsia="ar-SA"/>
        </w:rPr>
      </w:pPr>
    </w:p>
    <w:p w14:paraId="5883FD2A" w14:textId="77777777" w:rsidR="00AF0C00" w:rsidRDefault="00AF0C00" w:rsidP="005400EE">
      <w:pPr>
        <w:bidi w:val="0"/>
        <w:spacing w:after="0" w:line="240" w:lineRule="auto"/>
        <w:jc w:val="center"/>
        <w:rPr>
          <w:rFonts w:ascii="Arial" w:hAnsi="Arial"/>
          <w:b/>
          <w:bCs/>
          <w:rtl/>
          <w:lang w:eastAsia="ar-SA"/>
        </w:rPr>
      </w:pPr>
    </w:p>
    <w:p w14:paraId="5A94203A" w14:textId="77777777" w:rsidR="00813C3F" w:rsidRPr="00E6392C" w:rsidRDefault="00813C3F" w:rsidP="00AF0C00">
      <w:pPr>
        <w:bidi w:val="0"/>
        <w:spacing w:after="0" w:line="240" w:lineRule="auto"/>
        <w:jc w:val="center"/>
        <w:rPr>
          <w:rFonts w:asciiTheme="minorBidi" w:hAnsiTheme="minorBidi"/>
          <w:b/>
          <w:sz w:val="20"/>
        </w:rPr>
      </w:pPr>
      <w:r w:rsidRPr="00080517">
        <w:rPr>
          <w:rFonts w:ascii="Arial" w:hAnsi="Arial"/>
          <w:b/>
          <w:bCs/>
          <w:lang w:eastAsia="ar-SA"/>
        </w:rPr>
        <w:t xml:space="preserve">Table </w:t>
      </w:r>
      <w:r>
        <w:rPr>
          <w:rFonts w:ascii="Arial" w:hAnsi="Arial"/>
          <w:b/>
          <w:bCs/>
          <w:lang w:eastAsia="ar-SA"/>
        </w:rPr>
        <w:t>4</w:t>
      </w:r>
      <w:r w:rsidRPr="00080517">
        <w:rPr>
          <w:rFonts w:ascii="Arial" w:hAnsi="Arial"/>
          <w:b/>
          <w:bCs/>
          <w:lang w:eastAsia="ar-SA"/>
        </w:rPr>
        <w:t>.</w:t>
      </w:r>
      <w:r>
        <w:rPr>
          <w:rFonts w:ascii="Arial" w:hAnsi="Arial"/>
          <w:b/>
          <w:bCs/>
          <w:lang w:eastAsia="ar-SA"/>
        </w:rPr>
        <w:t>2</w:t>
      </w:r>
      <w:r w:rsidRPr="00080517">
        <w:rPr>
          <w:rFonts w:ascii="Arial" w:hAnsi="Arial"/>
          <w:b/>
          <w:bCs/>
          <w:lang w:eastAsia="ar-SA"/>
        </w:rPr>
        <w:t xml:space="preserve">: List of SDGs </w:t>
      </w:r>
      <w:r w:rsidR="00460DF0">
        <w:rPr>
          <w:rFonts w:ascii="Arial" w:hAnsi="Arial"/>
          <w:b/>
          <w:bCs/>
          <w:lang w:eastAsia="ar-SA"/>
        </w:rPr>
        <w:t>I</w:t>
      </w:r>
      <w:r w:rsidRPr="00080517">
        <w:rPr>
          <w:rFonts w:ascii="Arial" w:hAnsi="Arial"/>
          <w:b/>
          <w:bCs/>
          <w:lang w:eastAsia="ar-SA"/>
        </w:rPr>
        <w:t xml:space="preserve">ndicators </w:t>
      </w:r>
      <w:r w:rsidR="00F801F8">
        <w:rPr>
          <w:rFonts w:ascii="Arial" w:hAnsi="Arial"/>
          <w:b/>
          <w:bCs/>
          <w:lang w:eastAsia="ar-SA"/>
        </w:rPr>
        <w:t>R</w:t>
      </w:r>
      <w:r w:rsidRPr="00080517">
        <w:rPr>
          <w:rFonts w:ascii="Arial" w:hAnsi="Arial"/>
          <w:b/>
          <w:bCs/>
          <w:lang w:eastAsia="ar-SA"/>
        </w:rPr>
        <w:t xml:space="preserve">eleased by </w:t>
      </w:r>
      <w:r w:rsidRPr="00E6392C">
        <w:rPr>
          <w:rFonts w:asciiTheme="minorBidi" w:hAnsiTheme="minorBidi"/>
          <w:b/>
        </w:rPr>
        <w:t>Other Sources</w:t>
      </w:r>
    </w:p>
    <w:p w14:paraId="7FA54774" w14:textId="77777777" w:rsidR="00813C3F" w:rsidRPr="006D0C5D" w:rsidRDefault="00813C3F" w:rsidP="008C6258">
      <w:pPr>
        <w:bidi w:val="0"/>
        <w:spacing w:after="0" w:line="240" w:lineRule="auto"/>
        <w:jc w:val="center"/>
        <w:rPr>
          <w:rStyle w:val="Bodytext8pt"/>
          <w:bCs w:val="0"/>
          <w:sz w:val="12"/>
          <w:szCs w:val="12"/>
          <w:lang w:val="en-US"/>
        </w:rPr>
      </w:pPr>
    </w:p>
    <w:tbl>
      <w:tblPr>
        <w:tblpPr w:leftFromText="180" w:rightFromText="180" w:vertAnchor="text" w:horzAnchor="margin" w:tblpY="1"/>
        <w:tblOverlap w:val="never"/>
        <w:tblW w:w="5242" w:type="pct"/>
        <w:tblLook w:val="04A0" w:firstRow="1" w:lastRow="0" w:firstColumn="1" w:lastColumn="0" w:noHBand="0" w:noVBand="1"/>
      </w:tblPr>
      <w:tblGrid>
        <w:gridCol w:w="6407"/>
        <w:gridCol w:w="3092"/>
      </w:tblGrid>
      <w:tr w:rsidR="00813C3F" w:rsidRPr="000D2E4D" w14:paraId="108E5748" w14:textId="77777777" w:rsidTr="005B6322">
        <w:trPr>
          <w:trHeight w:val="340"/>
        </w:trPr>
        <w:tc>
          <w:tcPr>
            <w:tcW w:w="64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32D0C" w14:textId="77777777" w:rsidR="00813C3F" w:rsidRPr="00A16230" w:rsidRDefault="00813C3F" w:rsidP="005B6322">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3092" w:type="dxa"/>
            <w:tcBorders>
              <w:top w:val="single" w:sz="4" w:space="0" w:color="auto"/>
              <w:left w:val="nil"/>
              <w:bottom w:val="single" w:sz="4" w:space="0" w:color="auto"/>
              <w:right w:val="single" w:sz="4" w:space="0" w:color="auto"/>
            </w:tcBorders>
            <w:vAlign w:val="center"/>
          </w:tcPr>
          <w:p w14:paraId="2ED3DB3C" w14:textId="77777777" w:rsidR="00813C3F" w:rsidRPr="001D5BA6" w:rsidRDefault="00813C3F" w:rsidP="005B6322">
            <w:pPr>
              <w:bidi w:val="0"/>
              <w:spacing w:after="0" w:line="240" w:lineRule="auto"/>
              <w:jc w:val="center"/>
            </w:pPr>
            <w:r w:rsidRPr="001D5BA6">
              <w:rPr>
                <w:rFonts w:ascii="Arial" w:hAnsi="Arial"/>
                <w:b/>
                <w:bCs/>
                <w:sz w:val="18"/>
                <w:szCs w:val="18"/>
              </w:rPr>
              <w:t>Most Recent Year</w:t>
            </w:r>
          </w:p>
        </w:tc>
      </w:tr>
      <w:tr w:rsidR="00813C3F" w:rsidRPr="000D2E4D" w14:paraId="3FD257A7" w14:textId="77777777" w:rsidTr="005B6322">
        <w:trPr>
          <w:trHeight w:val="510"/>
        </w:trPr>
        <w:tc>
          <w:tcPr>
            <w:tcW w:w="64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71E67" w14:textId="77777777" w:rsidR="00813C3F" w:rsidRPr="00267BC4" w:rsidRDefault="00813C3F" w:rsidP="005B6322">
            <w:pPr>
              <w:tabs>
                <w:tab w:val="left" w:pos="9072"/>
              </w:tabs>
              <w:bidi w:val="0"/>
              <w:spacing w:after="0" w:line="240" w:lineRule="auto"/>
              <w:rPr>
                <w:rFonts w:ascii="Arial" w:hAnsi="Arial"/>
                <w:color w:val="000000"/>
                <w:sz w:val="18"/>
                <w:szCs w:val="18"/>
              </w:rPr>
            </w:pPr>
            <w:r w:rsidRPr="00267BC4">
              <w:rPr>
                <w:rFonts w:ascii="Arial" w:hAnsi="Arial"/>
                <w:b/>
                <w:bCs/>
                <w:sz w:val="18"/>
                <w:szCs w:val="18"/>
              </w:rPr>
              <w:t>Indicator 4.b.1</w:t>
            </w:r>
            <w:r w:rsidRPr="00267BC4">
              <w:rPr>
                <w:rFonts w:ascii="Arial" w:hAnsi="Arial"/>
                <w:sz w:val="18"/>
                <w:szCs w:val="18"/>
              </w:rPr>
              <w:t xml:space="preserve"> Volume of official development assistance flows for scholarships by sector and type of study</w:t>
            </w:r>
          </w:p>
        </w:tc>
        <w:tc>
          <w:tcPr>
            <w:tcW w:w="3092" w:type="dxa"/>
            <w:tcBorders>
              <w:top w:val="single" w:sz="4" w:space="0" w:color="auto"/>
              <w:left w:val="nil"/>
              <w:bottom w:val="single" w:sz="4" w:space="0" w:color="auto"/>
              <w:right w:val="single" w:sz="4" w:space="0" w:color="auto"/>
            </w:tcBorders>
            <w:vAlign w:val="center"/>
          </w:tcPr>
          <w:p w14:paraId="6F162690" w14:textId="77777777" w:rsidR="00813C3F" w:rsidRPr="00267BC4" w:rsidRDefault="008249BE" w:rsidP="00F13199">
            <w:pPr>
              <w:spacing w:after="0" w:line="240" w:lineRule="auto"/>
              <w:ind w:right="57"/>
              <w:jc w:val="center"/>
              <w:rPr>
                <w:rFonts w:ascii="Arial" w:hAnsi="Arial"/>
                <w:color w:val="000000"/>
                <w:sz w:val="18"/>
                <w:szCs w:val="18"/>
                <w:rtl/>
              </w:rPr>
            </w:pPr>
            <w:r w:rsidRPr="00267BC4">
              <w:rPr>
                <w:rFonts w:ascii="Arial" w:hAnsi="Arial"/>
                <w:color w:val="000000"/>
                <w:sz w:val="18"/>
                <w:szCs w:val="18"/>
              </w:rPr>
              <w:t>2020</w:t>
            </w:r>
          </w:p>
        </w:tc>
      </w:tr>
    </w:tbl>
    <w:p w14:paraId="03796688" w14:textId="77777777" w:rsidR="00813C3F" w:rsidRDefault="00813C3F" w:rsidP="008C6258">
      <w:pPr>
        <w:bidi w:val="0"/>
        <w:spacing w:after="0" w:line="240" w:lineRule="auto"/>
        <w:ind w:left="-142" w:right="-285"/>
        <w:jc w:val="both"/>
        <w:rPr>
          <w:rFonts w:ascii="Times New Roman" w:hAnsi="Times New Roman" w:cs="Times New Roman"/>
          <w:b/>
          <w:bCs/>
          <w:i/>
          <w:sz w:val="24"/>
          <w:szCs w:val="24"/>
        </w:rPr>
      </w:pPr>
    </w:p>
    <w:p w14:paraId="635F201C" w14:textId="77777777" w:rsidR="00446CF3" w:rsidRDefault="00446CF3" w:rsidP="008C6258">
      <w:pPr>
        <w:bidi w:val="0"/>
        <w:spacing w:after="0" w:line="240" w:lineRule="auto"/>
        <w:ind w:left="-142" w:right="-285"/>
        <w:jc w:val="both"/>
        <w:rPr>
          <w:rFonts w:ascii="Times New Roman" w:hAnsi="Times New Roman" w:cs="Times New Roman"/>
          <w:b/>
          <w:bCs/>
          <w:i/>
          <w:sz w:val="24"/>
          <w:szCs w:val="24"/>
        </w:rPr>
      </w:pPr>
    </w:p>
    <w:p w14:paraId="535FAE8F" w14:textId="77777777" w:rsidR="00EC0053" w:rsidRPr="00A16230" w:rsidRDefault="00EC0053" w:rsidP="00446CF3">
      <w:pPr>
        <w:bidi w:val="0"/>
        <w:spacing w:after="0" w:line="240" w:lineRule="auto"/>
        <w:ind w:left="-142" w:right="-285"/>
        <w:jc w:val="both"/>
        <w:rPr>
          <w:rFonts w:ascii="Times New Roman" w:hAnsi="Times New Roman" w:cs="Times New Roman"/>
          <w:b/>
          <w:bCs/>
          <w:i/>
          <w:sz w:val="24"/>
          <w:szCs w:val="24"/>
        </w:rPr>
      </w:pPr>
      <w:r w:rsidRPr="00A16230">
        <w:rPr>
          <w:rFonts w:ascii="Times New Roman" w:hAnsi="Times New Roman" w:cs="Times New Roman"/>
          <w:b/>
          <w:bCs/>
          <w:i/>
          <w:sz w:val="24"/>
          <w:szCs w:val="24"/>
        </w:rPr>
        <w:lastRenderedPageBreak/>
        <w:t xml:space="preserve">Indicator </w:t>
      </w:r>
      <w:r w:rsidRPr="00A16230">
        <w:rPr>
          <w:rFonts w:ascii="Times New Roman" w:hAnsi="Times New Roman" w:cs="Times New Roman"/>
          <w:b/>
          <w:bCs/>
          <w:i/>
          <w:sz w:val="24"/>
          <w:szCs w:val="24"/>
          <w:rtl/>
        </w:rPr>
        <w:t>4</w:t>
      </w:r>
      <w:r w:rsidRPr="00A16230">
        <w:rPr>
          <w:rFonts w:ascii="Times New Roman" w:hAnsi="Times New Roman" w:cs="Times New Roman"/>
          <w:b/>
          <w:bCs/>
          <w:i/>
          <w:sz w:val="24"/>
          <w:szCs w:val="24"/>
        </w:rPr>
        <w:t>.1.1 Proportion of children and young people: (a) in grades 2/3; (b) at the end of primary; and (c) at the end of lower secondary achieving at least a minimum proficiency level in reading and mathematics, by sex</w:t>
      </w:r>
    </w:p>
    <w:p w14:paraId="18B87C5E" w14:textId="77777777" w:rsidR="00EC0053" w:rsidRPr="00A16230" w:rsidRDefault="00EC0053" w:rsidP="008C6258">
      <w:pPr>
        <w:bidi w:val="0"/>
        <w:spacing w:after="0" w:line="240" w:lineRule="auto"/>
        <w:jc w:val="both"/>
        <w:rPr>
          <w:rFonts w:ascii="Times New Roman" w:hAnsi="Times New Roman" w:cs="Times New Roman"/>
          <w:b/>
          <w:bCs/>
          <w:i/>
          <w:sz w:val="24"/>
          <w:szCs w:val="24"/>
        </w:rPr>
      </w:pPr>
    </w:p>
    <w:p w14:paraId="7887E282" w14:textId="77777777" w:rsidR="00EC0053" w:rsidRDefault="00EC0053" w:rsidP="008C6258">
      <w:pPr>
        <w:bidi w:val="0"/>
        <w:spacing w:after="0" w:line="240" w:lineRule="auto"/>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Proportion of children and young people: (a) in grades 2/3; (b) at the end of primary; and (c) at the end of lower secondary achieving at least a minimum proficiency level in reading reach</w:t>
      </w:r>
      <w:r w:rsidR="00F801F8">
        <w:rPr>
          <w:rFonts w:ascii="Times New Roman" w:hAnsi="Times New Roman" w:cs="Times New Roman"/>
          <w:sz w:val="24"/>
          <w:szCs w:val="24"/>
          <w:lang w:eastAsia="ar-SA"/>
        </w:rPr>
        <w:t xml:space="preserve">ing </w:t>
      </w:r>
      <w:r w:rsidRPr="00A16230">
        <w:rPr>
          <w:rFonts w:ascii="Times New Roman" w:hAnsi="Times New Roman" w:cs="Times New Roman"/>
          <w:sz w:val="24"/>
          <w:szCs w:val="24"/>
          <w:lang w:eastAsia="ar-SA"/>
        </w:rPr>
        <w:t>52.</w:t>
      </w:r>
      <w:r w:rsidR="0001376A">
        <w:rPr>
          <w:rFonts w:ascii="Times New Roman" w:hAnsi="Times New Roman" w:cs="Times New Roman"/>
          <w:sz w:val="24"/>
          <w:szCs w:val="24"/>
          <w:lang w:eastAsia="ar-SA"/>
        </w:rPr>
        <w:t>7</w:t>
      </w:r>
      <w:r w:rsidRPr="00A16230">
        <w:rPr>
          <w:rFonts w:ascii="Times New Roman" w:hAnsi="Times New Roman" w:cs="Times New Roman"/>
          <w:sz w:val="24"/>
          <w:szCs w:val="24"/>
          <w:lang w:eastAsia="ar-SA"/>
        </w:rPr>
        <w:t>% for  2019 in Palestine</w:t>
      </w:r>
      <w:r>
        <w:rPr>
          <w:rFonts w:ascii="Times New Roman" w:hAnsi="Times New Roman" w:cs="Times New Roman"/>
          <w:sz w:val="24"/>
          <w:szCs w:val="24"/>
          <w:lang w:eastAsia="ar-SA"/>
        </w:rPr>
        <w:t xml:space="preserve">; </w:t>
      </w:r>
      <w:r w:rsidR="0001376A">
        <w:rPr>
          <w:rFonts w:ascii="Times New Roman" w:hAnsi="Times New Roman" w:cs="Times New Roman"/>
          <w:sz w:val="24"/>
          <w:szCs w:val="24"/>
          <w:lang w:eastAsia="ar-SA"/>
        </w:rPr>
        <w:t>47.8</w:t>
      </w:r>
      <w:r w:rsidR="00F801F8">
        <w:rPr>
          <w:rFonts w:ascii="Times New Roman" w:hAnsi="Times New Roman" w:cs="Times New Roman"/>
          <w:sz w:val="24"/>
          <w:szCs w:val="24"/>
          <w:lang w:eastAsia="ar-SA"/>
        </w:rPr>
        <w:t>%</w:t>
      </w:r>
      <w:r>
        <w:rPr>
          <w:rFonts w:ascii="Times New Roman" w:hAnsi="Times New Roman" w:cs="Times New Roman"/>
          <w:sz w:val="24"/>
          <w:szCs w:val="24"/>
          <w:lang w:eastAsia="ar-SA"/>
        </w:rPr>
        <w:t xml:space="preserve"> for male</w:t>
      </w:r>
      <w:r w:rsidR="00F801F8">
        <w:rPr>
          <w:rFonts w:ascii="Times New Roman" w:hAnsi="Times New Roman" w:cs="Times New Roman"/>
          <w:sz w:val="24"/>
          <w:szCs w:val="24"/>
          <w:lang w:eastAsia="ar-SA"/>
        </w:rPr>
        <w:t>s</w:t>
      </w:r>
      <w:r>
        <w:rPr>
          <w:rFonts w:ascii="Times New Roman" w:hAnsi="Times New Roman" w:cs="Times New Roman"/>
          <w:sz w:val="24"/>
          <w:szCs w:val="24"/>
          <w:lang w:eastAsia="ar-SA"/>
        </w:rPr>
        <w:t xml:space="preserve"> and </w:t>
      </w:r>
      <w:r w:rsidR="0001376A">
        <w:rPr>
          <w:rFonts w:ascii="Times New Roman" w:hAnsi="Times New Roman" w:cs="Times New Roman"/>
          <w:sz w:val="24"/>
          <w:szCs w:val="24"/>
          <w:lang w:eastAsia="ar-SA"/>
        </w:rPr>
        <w:t>57.3</w:t>
      </w:r>
      <w:r w:rsidR="00F801F8">
        <w:rPr>
          <w:rFonts w:ascii="Times New Roman" w:hAnsi="Times New Roman" w:cs="Times New Roman"/>
          <w:sz w:val="24"/>
          <w:szCs w:val="24"/>
          <w:lang w:eastAsia="ar-SA"/>
        </w:rPr>
        <w:t>%</w:t>
      </w:r>
      <w:r>
        <w:rPr>
          <w:rFonts w:ascii="Times New Roman" w:hAnsi="Times New Roman" w:cs="Times New Roman"/>
          <w:sz w:val="24"/>
          <w:szCs w:val="24"/>
          <w:lang w:eastAsia="ar-SA"/>
        </w:rPr>
        <w:t xml:space="preserve"> for female</w:t>
      </w:r>
      <w:r w:rsidR="00F801F8">
        <w:rPr>
          <w:rFonts w:ascii="Times New Roman" w:hAnsi="Times New Roman" w:cs="Times New Roman"/>
          <w:sz w:val="24"/>
          <w:szCs w:val="24"/>
          <w:lang w:eastAsia="ar-SA"/>
        </w:rPr>
        <w:t>s</w:t>
      </w:r>
      <w:r>
        <w:rPr>
          <w:rFonts w:ascii="Times New Roman" w:hAnsi="Times New Roman" w:cs="Times New Roman"/>
          <w:sz w:val="24"/>
          <w:szCs w:val="24"/>
          <w:lang w:eastAsia="ar-SA"/>
        </w:rPr>
        <w:t>.</w:t>
      </w:r>
    </w:p>
    <w:p w14:paraId="1009968E" w14:textId="77777777" w:rsidR="00EC0053" w:rsidRPr="00206211" w:rsidRDefault="00460DF0" w:rsidP="008C6258">
      <w:pPr>
        <w:bidi w:val="0"/>
        <w:spacing w:after="0" w:line="240" w:lineRule="auto"/>
        <w:jc w:val="both"/>
        <w:rPr>
          <w:rFonts w:ascii="Times New Roman" w:hAnsi="Times New Roman" w:cs="Times New Roman"/>
          <w:sz w:val="24"/>
          <w:szCs w:val="24"/>
          <w:lang w:eastAsia="ar-SA"/>
        </w:rPr>
      </w:pPr>
      <w:r>
        <w:rPr>
          <w:rFonts w:ascii="Times New Roman" w:hAnsi="Times New Roman" w:cs="Times New Roman"/>
          <w:sz w:val="24"/>
          <w:szCs w:val="24"/>
          <w:lang w:eastAsia="ar-SA"/>
        </w:rPr>
        <w:t>T</w:t>
      </w:r>
      <w:r w:rsidR="00F801F8">
        <w:rPr>
          <w:rFonts w:ascii="Times New Roman" w:hAnsi="Times New Roman" w:cs="Times New Roman"/>
          <w:sz w:val="24"/>
          <w:szCs w:val="24"/>
          <w:lang w:eastAsia="ar-SA"/>
        </w:rPr>
        <w:t>he p</w:t>
      </w:r>
      <w:r w:rsidR="00EC0053" w:rsidRPr="00A16230">
        <w:rPr>
          <w:rFonts w:ascii="Times New Roman" w:hAnsi="Times New Roman" w:cs="Times New Roman"/>
          <w:sz w:val="24"/>
          <w:szCs w:val="24"/>
          <w:lang w:eastAsia="ar-SA"/>
        </w:rPr>
        <w:t>roportion of children and young people: (a) in grades 2/3; (b) at the end of primary; and (c) at the end of lower secondary achieving at least a minimum proficiency level in mathematics reached 45.</w:t>
      </w:r>
      <w:r w:rsidR="00551CB4">
        <w:rPr>
          <w:rFonts w:ascii="Times New Roman" w:hAnsi="Times New Roman" w:cs="Times New Roman"/>
          <w:sz w:val="24"/>
          <w:szCs w:val="24"/>
          <w:lang w:eastAsia="ar-SA"/>
        </w:rPr>
        <w:t>8</w:t>
      </w:r>
      <w:r w:rsidR="00EC0053" w:rsidRPr="00A16230">
        <w:rPr>
          <w:rFonts w:ascii="Times New Roman" w:hAnsi="Times New Roman" w:cs="Times New Roman"/>
          <w:sz w:val="24"/>
          <w:szCs w:val="24"/>
          <w:lang w:eastAsia="ar-SA"/>
        </w:rPr>
        <w:t>% for the same period</w:t>
      </w:r>
      <w:r w:rsidR="00551CB4">
        <w:rPr>
          <w:rFonts w:ascii="Times New Roman" w:hAnsi="Times New Roman" w:cs="Times New Roman"/>
          <w:sz w:val="24"/>
          <w:szCs w:val="24"/>
          <w:lang w:eastAsia="ar-SA"/>
        </w:rPr>
        <w:t>.</w:t>
      </w:r>
    </w:p>
    <w:p w14:paraId="5AE18CD7" w14:textId="77777777" w:rsidR="00B539BF" w:rsidRDefault="00B539BF" w:rsidP="008C6258">
      <w:pPr>
        <w:tabs>
          <w:tab w:val="left" w:pos="9072"/>
        </w:tabs>
        <w:bidi w:val="0"/>
        <w:spacing w:after="0" w:line="240" w:lineRule="auto"/>
        <w:jc w:val="center"/>
        <w:rPr>
          <w:rFonts w:ascii="Arial" w:hAnsi="Arial"/>
          <w:b/>
          <w:bCs/>
        </w:rPr>
      </w:pPr>
    </w:p>
    <w:p w14:paraId="19E50A58" w14:textId="77777777" w:rsidR="00EC0053" w:rsidRPr="00A16230" w:rsidRDefault="00EC0053" w:rsidP="008C6258">
      <w:pPr>
        <w:tabs>
          <w:tab w:val="left" w:pos="9072"/>
        </w:tabs>
        <w:bidi w:val="0"/>
        <w:spacing w:after="0" w:line="240" w:lineRule="auto"/>
        <w:jc w:val="center"/>
        <w:rPr>
          <w:rFonts w:ascii="Arial" w:hAnsi="Arial"/>
          <w:b/>
          <w:bCs/>
        </w:rPr>
      </w:pPr>
      <w:r w:rsidRPr="00BA23CC">
        <w:rPr>
          <w:rFonts w:ascii="Arial" w:hAnsi="Arial"/>
          <w:b/>
          <w:bCs/>
        </w:rPr>
        <w:t>Proportion of</w:t>
      </w:r>
      <w:r w:rsidR="00460DF0">
        <w:rPr>
          <w:rFonts w:ascii="Arial" w:hAnsi="Arial"/>
          <w:b/>
          <w:bCs/>
        </w:rPr>
        <w:t xml:space="preserve"> C</w:t>
      </w:r>
      <w:r w:rsidRPr="00BA23CC">
        <w:rPr>
          <w:rFonts w:ascii="Arial" w:hAnsi="Arial"/>
          <w:b/>
          <w:bCs/>
        </w:rPr>
        <w:t xml:space="preserve">hildren and </w:t>
      </w:r>
      <w:r w:rsidR="00460DF0">
        <w:rPr>
          <w:rFonts w:ascii="Arial" w:hAnsi="Arial"/>
          <w:b/>
          <w:bCs/>
        </w:rPr>
        <w:t>Y</w:t>
      </w:r>
      <w:r w:rsidRPr="00BA23CC">
        <w:rPr>
          <w:rFonts w:ascii="Arial" w:hAnsi="Arial"/>
          <w:b/>
          <w:bCs/>
        </w:rPr>
        <w:t xml:space="preserve">oung </w:t>
      </w:r>
      <w:r w:rsidR="00460DF0">
        <w:rPr>
          <w:rFonts w:ascii="Arial" w:hAnsi="Arial"/>
          <w:b/>
          <w:bCs/>
        </w:rPr>
        <w:t>P</w:t>
      </w:r>
      <w:r w:rsidRPr="00BA23CC">
        <w:rPr>
          <w:rFonts w:ascii="Arial" w:hAnsi="Arial"/>
          <w:b/>
          <w:bCs/>
        </w:rPr>
        <w:t>eople: (a) in grades 2/3; (b) at the end of primary; and (c) at the end of lower secondary achieving at least a minimum proficiency level in reading</w:t>
      </w:r>
      <w:r>
        <w:rPr>
          <w:rFonts w:ascii="Arial" w:hAnsi="Arial"/>
          <w:b/>
          <w:bCs/>
        </w:rPr>
        <w:t xml:space="preserve"> and mathematics </w:t>
      </w:r>
      <w:r w:rsidRPr="00A16230">
        <w:rPr>
          <w:rFonts w:ascii="Arial" w:hAnsi="Arial"/>
          <w:b/>
          <w:bCs/>
        </w:rPr>
        <w:t>by Sex, 2019</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2"/>
      </w:tblGrid>
      <w:tr w:rsidR="00EC0053" w:rsidRPr="00A16230" w14:paraId="320BCE72" w14:textId="77777777" w:rsidTr="00335608">
        <w:tc>
          <w:tcPr>
            <w:tcW w:w="9286" w:type="dxa"/>
            <w:shd w:val="clear" w:color="auto" w:fill="auto"/>
          </w:tcPr>
          <w:p w14:paraId="02CA9D93" w14:textId="77777777" w:rsidR="00EC0053" w:rsidRPr="00A16230" w:rsidRDefault="00EC0053" w:rsidP="008C6258">
            <w:pPr>
              <w:bidi w:val="0"/>
              <w:spacing w:after="0" w:line="240" w:lineRule="auto"/>
              <w:jc w:val="center"/>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14A9D1A4" wp14:editId="51DC4A3B">
                  <wp:extent cx="5653405" cy="1812925"/>
                  <wp:effectExtent l="0" t="0" r="4445" b="0"/>
                  <wp:docPr id="130"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14:paraId="09FBAE2E" w14:textId="77777777" w:rsidR="00604D15" w:rsidRPr="00A16230" w:rsidRDefault="00EC0053" w:rsidP="008B358C">
      <w:pPr>
        <w:bidi w:val="0"/>
        <w:spacing w:after="0" w:line="240" w:lineRule="auto"/>
        <w:ind w:left="540" w:hanging="720"/>
        <w:rPr>
          <w:rFonts w:ascii="Times New Roman" w:hAnsi="Times New Roman" w:cs="Times New Roman"/>
          <w:sz w:val="24"/>
          <w:szCs w:val="24"/>
          <w:lang w:eastAsia="ar-SA"/>
        </w:rPr>
      </w:pPr>
      <w:r w:rsidRPr="00CB7230">
        <w:rPr>
          <w:rFonts w:ascii="Arial" w:hAnsi="Arial"/>
          <w:b/>
          <w:bCs/>
          <w:sz w:val="18"/>
          <w:szCs w:val="18"/>
        </w:rPr>
        <w:t>Source</w:t>
      </w:r>
      <w:r w:rsidR="00604D15">
        <w:rPr>
          <w:rFonts w:ascii="Arial" w:hAnsi="Arial"/>
          <w:b/>
          <w:bCs/>
          <w:sz w:val="18"/>
          <w:szCs w:val="18"/>
        </w:rPr>
        <w:t>:</w:t>
      </w:r>
      <w:r w:rsidR="00604D15" w:rsidRPr="003E7D09">
        <w:rPr>
          <w:rFonts w:ascii="Arial" w:hAnsi="Arial"/>
          <w:b/>
          <w:bCs/>
          <w:sz w:val="18"/>
          <w:szCs w:val="18"/>
        </w:rPr>
        <w:t>Palestinian Central Bureau of Statistics</w:t>
      </w:r>
      <w:r w:rsidRPr="00EC5409">
        <w:rPr>
          <w:rFonts w:ascii="Arial" w:hAnsi="Arial"/>
          <w:sz w:val="18"/>
          <w:szCs w:val="18"/>
        </w:rPr>
        <w:t xml:space="preserve">, </w:t>
      </w:r>
      <w:r w:rsidR="00551CB4">
        <w:rPr>
          <w:rFonts w:ascii="Arial" w:hAnsi="Arial"/>
          <w:sz w:val="18"/>
          <w:szCs w:val="18"/>
        </w:rPr>
        <w:t>2019</w:t>
      </w:r>
      <w:r w:rsidRPr="00EC5409">
        <w:rPr>
          <w:rFonts w:ascii="Arial" w:hAnsi="Arial"/>
          <w:sz w:val="18"/>
          <w:szCs w:val="18"/>
        </w:rPr>
        <w:t>.Multi</w:t>
      </w:r>
      <w:r w:rsidR="00CB7230">
        <w:rPr>
          <w:rFonts w:ascii="Arial" w:hAnsi="Arial"/>
          <w:sz w:val="18"/>
          <w:szCs w:val="18"/>
        </w:rPr>
        <w:t>ple</w:t>
      </w:r>
      <w:r w:rsidRPr="00EC5409">
        <w:rPr>
          <w:rFonts w:ascii="Arial" w:hAnsi="Arial"/>
          <w:sz w:val="18"/>
          <w:szCs w:val="18"/>
        </w:rPr>
        <w:t xml:space="preserve"> indicators cluster survey, 2019- 2020</w:t>
      </w:r>
      <w:r w:rsidR="00604D15">
        <w:rPr>
          <w:rFonts w:ascii="Arial" w:hAnsi="Arial"/>
          <w:sz w:val="18"/>
          <w:szCs w:val="18"/>
        </w:rPr>
        <w:t xml:space="preserve">. </w:t>
      </w:r>
      <w:r w:rsidR="00604D15" w:rsidRPr="00DD0A94">
        <w:rPr>
          <w:rFonts w:ascii="Arial" w:hAnsi="Arial"/>
          <w:sz w:val="18"/>
          <w:szCs w:val="18"/>
        </w:rPr>
        <w:t>Ramallah-Palestine</w:t>
      </w:r>
    </w:p>
    <w:p w14:paraId="1755DF20" w14:textId="77777777" w:rsidR="00EC0053" w:rsidRPr="00EC5409" w:rsidRDefault="00EC0053" w:rsidP="008C6258">
      <w:pPr>
        <w:bidi w:val="0"/>
        <w:spacing w:after="0" w:line="240" w:lineRule="auto"/>
        <w:rPr>
          <w:rFonts w:ascii="Arial" w:hAnsi="Arial"/>
          <w:sz w:val="18"/>
          <w:szCs w:val="18"/>
        </w:rPr>
      </w:pPr>
    </w:p>
    <w:p w14:paraId="545D7BE1" w14:textId="77777777" w:rsidR="00F13199" w:rsidRDefault="00EC0053" w:rsidP="003E7D09">
      <w:pPr>
        <w:bidi w:val="0"/>
        <w:spacing w:after="0" w:line="240" w:lineRule="auto"/>
        <w:ind w:left="-142" w:right="-285"/>
        <w:jc w:val="both"/>
        <w:rPr>
          <w:rFonts w:asciiTheme="majorBidi" w:hAnsiTheme="majorBidi" w:cstheme="majorBidi"/>
          <w:b/>
          <w:bCs/>
          <w:i/>
          <w:sz w:val="24"/>
          <w:szCs w:val="24"/>
        </w:rPr>
      </w:pPr>
      <w:r w:rsidRPr="00802088">
        <w:rPr>
          <w:rFonts w:asciiTheme="majorBidi" w:hAnsiTheme="majorBidi" w:cstheme="majorBidi"/>
          <w:b/>
          <w:bCs/>
          <w:i/>
          <w:sz w:val="24"/>
          <w:szCs w:val="24"/>
        </w:rPr>
        <w:t xml:space="preserve">Indicator </w:t>
      </w:r>
      <w:r w:rsidRPr="00802088">
        <w:rPr>
          <w:rFonts w:asciiTheme="majorBidi" w:hAnsiTheme="majorBidi" w:cstheme="majorBidi"/>
          <w:b/>
          <w:bCs/>
          <w:iCs/>
          <w:sz w:val="24"/>
          <w:szCs w:val="24"/>
          <w:rtl/>
        </w:rPr>
        <w:t>4</w:t>
      </w:r>
      <w:r w:rsidRPr="00802088">
        <w:rPr>
          <w:rFonts w:asciiTheme="majorBidi" w:hAnsiTheme="majorBidi" w:cstheme="majorBidi"/>
          <w:b/>
          <w:bCs/>
          <w:iCs/>
          <w:sz w:val="24"/>
          <w:szCs w:val="24"/>
        </w:rPr>
        <w:t>.</w:t>
      </w:r>
      <w:r w:rsidRPr="00802088">
        <w:rPr>
          <w:rFonts w:asciiTheme="majorBidi" w:hAnsiTheme="majorBidi" w:cstheme="majorBidi"/>
          <w:b/>
          <w:bCs/>
          <w:i/>
          <w:sz w:val="24"/>
          <w:szCs w:val="24"/>
        </w:rPr>
        <w:t xml:space="preserve">1.2 Completion rate (primary education, lower secondary education, upper </w:t>
      </w:r>
      <w:r w:rsidR="003E7D09" w:rsidRPr="00802088">
        <w:rPr>
          <w:rFonts w:asciiTheme="majorBidi" w:hAnsiTheme="majorBidi" w:cstheme="majorBidi"/>
          <w:b/>
          <w:bCs/>
          <w:i/>
          <w:sz w:val="24"/>
          <w:szCs w:val="24"/>
        </w:rPr>
        <w:t xml:space="preserve">secondary education) </w:t>
      </w:r>
    </w:p>
    <w:p w14:paraId="21665BDA" w14:textId="77777777" w:rsidR="00877949" w:rsidRPr="00802088" w:rsidRDefault="00877949" w:rsidP="00877949">
      <w:pPr>
        <w:bidi w:val="0"/>
        <w:spacing w:after="0" w:line="240" w:lineRule="auto"/>
        <w:ind w:left="-142" w:right="-285"/>
        <w:jc w:val="both"/>
        <w:rPr>
          <w:rFonts w:asciiTheme="majorBidi" w:hAnsiTheme="majorBidi" w:cstheme="majorBidi"/>
          <w:b/>
          <w:bCs/>
          <w:i/>
          <w:sz w:val="24"/>
          <w:szCs w:val="24"/>
        </w:rPr>
      </w:pPr>
    </w:p>
    <w:p w14:paraId="6EDE905C" w14:textId="77777777" w:rsidR="009D25D5" w:rsidRPr="00802088" w:rsidRDefault="00EC0053" w:rsidP="00F13199">
      <w:pPr>
        <w:bidi w:val="0"/>
        <w:spacing w:after="0" w:line="240" w:lineRule="auto"/>
        <w:ind w:left="-142" w:right="-285"/>
        <w:jc w:val="both"/>
        <w:rPr>
          <w:rFonts w:asciiTheme="majorBidi" w:hAnsiTheme="majorBidi" w:cstheme="majorBidi"/>
          <w:b/>
          <w:bCs/>
          <w:sz w:val="24"/>
          <w:szCs w:val="24"/>
          <w:rtl/>
        </w:rPr>
      </w:pPr>
      <w:r w:rsidRPr="00802088">
        <w:rPr>
          <w:rFonts w:asciiTheme="majorBidi" w:hAnsiTheme="majorBidi" w:cstheme="majorBidi"/>
          <w:sz w:val="24"/>
          <w:szCs w:val="24"/>
          <w:lang w:eastAsia="ar-SA"/>
        </w:rPr>
        <w:t xml:space="preserve">For </w:t>
      </w:r>
      <w:r w:rsidR="0073453E">
        <w:rPr>
          <w:rFonts w:asciiTheme="majorBidi" w:hAnsiTheme="majorBidi" w:cstheme="majorBidi"/>
          <w:sz w:val="24"/>
          <w:szCs w:val="24"/>
          <w:lang w:eastAsia="ar-SA"/>
        </w:rPr>
        <w:t xml:space="preserve">the </w:t>
      </w:r>
      <w:r w:rsidRPr="00802088">
        <w:rPr>
          <w:rFonts w:asciiTheme="majorBidi" w:hAnsiTheme="majorBidi" w:cstheme="majorBidi"/>
          <w:sz w:val="24"/>
          <w:szCs w:val="24"/>
          <w:lang w:eastAsia="ar-SA"/>
        </w:rPr>
        <w:t>year 202</w:t>
      </w:r>
      <w:r w:rsidR="009E6349" w:rsidRPr="00802088">
        <w:rPr>
          <w:rFonts w:asciiTheme="majorBidi" w:hAnsiTheme="majorBidi" w:cstheme="majorBidi"/>
          <w:sz w:val="24"/>
          <w:szCs w:val="24"/>
          <w:lang w:eastAsia="ar-SA"/>
        </w:rPr>
        <w:t>1</w:t>
      </w:r>
      <w:r w:rsidRPr="00802088">
        <w:rPr>
          <w:rFonts w:asciiTheme="majorBidi" w:hAnsiTheme="majorBidi" w:cstheme="majorBidi"/>
          <w:sz w:val="24"/>
          <w:szCs w:val="24"/>
          <w:lang w:eastAsia="ar-SA"/>
        </w:rPr>
        <w:t xml:space="preserve">, </w:t>
      </w:r>
      <w:r w:rsidR="0073453E">
        <w:rPr>
          <w:rFonts w:asciiTheme="majorBidi" w:hAnsiTheme="majorBidi" w:cstheme="majorBidi"/>
          <w:sz w:val="24"/>
          <w:szCs w:val="24"/>
          <w:lang w:eastAsia="ar-SA"/>
        </w:rPr>
        <w:t xml:space="preserve">the </w:t>
      </w:r>
      <w:r w:rsidR="00C14B10" w:rsidRPr="00802088">
        <w:rPr>
          <w:rFonts w:asciiTheme="majorBidi" w:hAnsiTheme="majorBidi" w:cstheme="majorBidi"/>
          <w:sz w:val="24"/>
          <w:szCs w:val="24"/>
          <w:lang w:eastAsia="ar-SA"/>
        </w:rPr>
        <w:t>c</w:t>
      </w:r>
      <w:r w:rsidRPr="00802088">
        <w:rPr>
          <w:rFonts w:asciiTheme="majorBidi" w:hAnsiTheme="majorBidi" w:cstheme="majorBidi"/>
          <w:sz w:val="24"/>
          <w:szCs w:val="24"/>
          <w:lang w:eastAsia="ar-SA"/>
        </w:rPr>
        <w:t xml:space="preserve">ompletion rate </w:t>
      </w:r>
      <w:r w:rsidR="00C14B10" w:rsidRPr="00802088">
        <w:rPr>
          <w:rFonts w:asciiTheme="majorBidi" w:hAnsiTheme="majorBidi" w:cstheme="majorBidi"/>
          <w:sz w:val="24"/>
          <w:szCs w:val="24"/>
          <w:lang w:eastAsia="ar-SA"/>
        </w:rPr>
        <w:t xml:space="preserve">in primary education </w:t>
      </w:r>
      <w:r w:rsidR="0073453E">
        <w:rPr>
          <w:rFonts w:asciiTheme="majorBidi" w:hAnsiTheme="majorBidi" w:cstheme="majorBidi"/>
          <w:sz w:val="24"/>
          <w:szCs w:val="24"/>
          <w:lang w:eastAsia="ar-SA"/>
        </w:rPr>
        <w:t>reached</w:t>
      </w:r>
      <w:r w:rsidRPr="00802088">
        <w:rPr>
          <w:rFonts w:asciiTheme="majorBidi" w:hAnsiTheme="majorBidi" w:cstheme="majorBidi"/>
          <w:sz w:val="24"/>
          <w:szCs w:val="24"/>
          <w:lang w:eastAsia="ar-SA"/>
        </w:rPr>
        <w:t xml:space="preserve"> 99.2% in Palestine; 98.</w:t>
      </w:r>
      <w:r w:rsidR="009E6349" w:rsidRPr="00802088">
        <w:rPr>
          <w:rFonts w:asciiTheme="majorBidi" w:hAnsiTheme="majorBidi" w:cstheme="majorBidi"/>
          <w:sz w:val="24"/>
          <w:szCs w:val="24"/>
          <w:lang w:eastAsia="ar-SA"/>
        </w:rPr>
        <w:t xml:space="preserve">9% </w:t>
      </w:r>
      <w:r w:rsidRPr="00802088">
        <w:rPr>
          <w:rFonts w:asciiTheme="majorBidi" w:hAnsiTheme="majorBidi" w:cstheme="majorBidi"/>
          <w:sz w:val="24"/>
          <w:szCs w:val="24"/>
          <w:lang w:eastAsia="ar-SA"/>
        </w:rPr>
        <w:t>for 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 and 99.</w:t>
      </w:r>
      <w:r w:rsidR="009E6349" w:rsidRPr="00802088">
        <w:rPr>
          <w:rFonts w:asciiTheme="majorBidi" w:hAnsiTheme="majorBidi" w:cstheme="majorBidi"/>
          <w:sz w:val="24"/>
          <w:szCs w:val="24"/>
          <w:lang w:eastAsia="ar-SA"/>
        </w:rPr>
        <w:t>5%</w:t>
      </w:r>
      <w:r w:rsidRPr="00802088">
        <w:rPr>
          <w:rFonts w:asciiTheme="majorBidi" w:hAnsiTheme="majorBidi" w:cstheme="majorBidi"/>
          <w:sz w:val="24"/>
          <w:szCs w:val="24"/>
          <w:lang w:eastAsia="ar-SA"/>
        </w:rPr>
        <w:t xml:space="preserve"> for female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 while </w:t>
      </w:r>
      <w:r w:rsidR="00C14B10" w:rsidRPr="00802088">
        <w:rPr>
          <w:rFonts w:asciiTheme="majorBidi" w:hAnsiTheme="majorBidi" w:cstheme="majorBidi"/>
          <w:sz w:val="24"/>
          <w:szCs w:val="24"/>
          <w:lang w:eastAsia="ar-SA"/>
        </w:rPr>
        <w:t>c</w:t>
      </w:r>
      <w:r w:rsidRPr="00802088">
        <w:rPr>
          <w:rFonts w:asciiTheme="majorBidi" w:hAnsiTheme="majorBidi" w:cstheme="majorBidi"/>
          <w:sz w:val="24"/>
          <w:szCs w:val="24"/>
          <w:lang w:eastAsia="ar-SA"/>
        </w:rPr>
        <w:t xml:space="preserve">ompletion rate </w:t>
      </w:r>
      <w:r w:rsidR="001579EF" w:rsidRPr="00802088">
        <w:rPr>
          <w:rFonts w:asciiTheme="majorBidi" w:hAnsiTheme="majorBidi" w:cstheme="majorBidi"/>
          <w:sz w:val="24"/>
          <w:szCs w:val="24"/>
          <w:lang w:eastAsia="ar-SA"/>
        </w:rPr>
        <w:t xml:space="preserve">in lower secondary education </w:t>
      </w:r>
      <w:r w:rsidRPr="00802088">
        <w:rPr>
          <w:rFonts w:asciiTheme="majorBidi" w:hAnsiTheme="majorBidi" w:cstheme="majorBidi"/>
          <w:sz w:val="24"/>
          <w:szCs w:val="24"/>
          <w:lang w:eastAsia="ar-SA"/>
        </w:rPr>
        <w:t xml:space="preserve">was </w:t>
      </w:r>
      <w:r w:rsidR="009E6349" w:rsidRPr="00802088">
        <w:rPr>
          <w:rFonts w:asciiTheme="majorBidi" w:hAnsiTheme="majorBidi" w:cstheme="majorBidi"/>
          <w:sz w:val="24"/>
          <w:szCs w:val="24"/>
          <w:lang w:eastAsia="ar-SA"/>
        </w:rPr>
        <w:t>93.3</w:t>
      </w:r>
      <w:r w:rsidRPr="00802088">
        <w:rPr>
          <w:rFonts w:asciiTheme="majorBidi" w:hAnsiTheme="majorBidi" w:cstheme="majorBidi"/>
          <w:sz w:val="24"/>
          <w:szCs w:val="24"/>
          <w:lang w:eastAsia="ar-SA"/>
        </w:rPr>
        <w:t xml:space="preserve">%; </w:t>
      </w:r>
      <w:r w:rsidR="009E6349" w:rsidRPr="00802088">
        <w:rPr>
          <w:rFonts w:asciiTheme="majorBidi" w:hAnsiTheme="majorBidi" w:cstheme="majorBidi"/>
          <w:sz w:val="24"/>
          <w:szCs w:val="24"/>
          <w:lang w:eastAsia="ar-SA"/>
        </w:rPr>
        <w:t>89.5%</w:t>
      </w:r>
      <w:r w:rsidRPr="00802088">
        <w:rPr>
          <w:rFonts w:asciiTheme="majorBidi" w:hAnsiTheme="majorBidi" w:cstheme="majorBidi"/>
          <w:sz w:val="24"/>
          <w:szCs w:val="24"/>
          <w:lang w:eastAsia="ar-SA"/>
        </w:rPr>
        <w:t xml:space="preserve"> for 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 and </w:t>
      </w:r>
      <w:r w:rsidR="009E6349" w:rsidRPr="00802088">
        <w:rPr>
          <w:rFonts w:asciiTheme="majorBidi" w:hAnsiTheme="majorBidi" w:cstheme="majorBidi"/>
          <w:sz w:val="24"/>
          <w:szCs w:val="24"/>
          <w:lang w:eastAsia="ar-SA"/>
        </w:rPr>
        <w:t xml:space="preserve">97.5% </w:t>
      </w:r>
      <w:r w:rsidRPr="00802088">
        <w:rPr>
          <w:rFonts w:asciiTheme="majorBidi" w:hAnsiTheme="majorBidi" w:cstheme="majorBidi"/>
          <w:sz w:val="24"/>
          <w:szCs w:val="24"/>
          <w:lang w:eastAsia="ar-SA"/>
        </w:rPr>
        <w:t>for female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and 63.3% for upper secondary education</w:t>
      </w:r>
      <w:r w:rsidR="0073453E">
        <w:rPr>
          <w:rFonts w:asciiTheme="majorBidi" w:hAnsiTheme="majorBidi" w:cstheme="majorBidi"/>
          <w:sz w:val="24"/>
          <w:szCs w:val="24"/>
          <w:lang w:eastAsia="ar-SA"/>
        </w:rPr>
        <w:t xml:space="preserve"> with</w:t>
      </w:r>
      <w:r w:rsidR="009E6349" w:rsidRPr="00802088">
        <w:rPr>
          <w:rFonts w:asciiTheme="majorBidi" w:hAnsiTheme="majorBidi" w:cstheme="majorBidi"/>
          <w:sz w:val="24"/>
          <w:szCs w:val="24"/>
          <w:lang w:eastAsia="ar-SA"/>
        </w:rPr>
        <w:t>52.2%</w:t>
      </w:r>
      <w:r w:rsidRPr="00802088">
        <w:rPr>
          <w:rFonts w:asciiTheme="majorBidi" w:hAnsiTheme="majorBidi" w:cstheme="majorBidi"/>
          <w:sz w:val="24"/>
          <w:szCs w:val="24"/>
          <w:lang w:eastAsia="ar-SA"/>
        </w:rPr>
        <w:t xml:space="preserve"> for 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 and </w:t>
      </w:r>
      <w:r w:rsidR="009E6349" w:rsidRPr="00802088">
        <w:rPr>
          <w:rFonts w:asciiTheme="majorBidi" w:hAnsiTheme="majorBidi" w:cstheme="majorBidi"/>
          <w:sz w:val="24"/>
          <w:szCs w:val="24"/>
          <w:lang w:eastAsia="ar-SA"/>
        </w:rPr>
        <w:t>75.3%</w:t>
      </w:r>
      <w:r w:rsidRPr="00802088">
        <w:rPr>
          <w:rFonts w:asciiTheme="majorBidi" w:hAnsiTheme="majorBidi" w:cstheme="majorBidi"/>
          <w:sz w:val="24"/>
          <w:szCs w:val="24"/>
          <w:lang w:eastAsia="ar-SA"/>
        </w:rPr>
        <w:t xml:space="preserve"> for female</w:t>
      </w:r>
      <w:r w:rsidR="0073453E">
        <w:rPr>
          <w:rFonts w:asciiTheme="majorBidi" w:hAnsiTheme="majorBidi" w:cstheme="majorBidi"/>
          <w:sz w:val="24"/>
          <w:szCs w:val="24"/>
          <w:lang w:eastAsia="ar-SA"/>
        </w:rPr>
        <w:t>s</w:t>
      </w:r>
      <w:r w:rsidRPr="00802088">
        <w:rPr>
          <w:rFonts w:asciiTheme="majorBidi" w:hAnsiTheme="majorBidi" w:cstheme="majorBidi"/>
          <w:b/>
          <w:bCs/>
          <w:sz w:val="24"/>
          <w:szCs w:val="24"/>
        </w:rPr>
        <w:t>.</w:t>
      </w:r>
    </w:p>
    <w:p w14:paraId="6B551547" w14:textId="77777777" w:rsidR="00AF0C00" w:rsidRPr="00802088" w:rsidRDefault="00AF0C00" w:rsidP="00AF0C00">
      <w:pPr>
        <w:bidi w:val="0"/>
        <w:spacing w:after="0" w:line="240" w:lineRule="auto"/>
        <w:ind w:left="-142" w:right="-285"/>
        <w:jc w:val="both"/>
        <w:rPr>
          <w:rFonts w:asciiTheme="majorBidi" w:hAnsiTheme="majorBidi" w:cstheme="majorBidi"/>
          <w:b/>
          <w:bCs/>
          <w:sz w:val="24"/>
          <w:szCs w:val="24"/>
        </w:rPr>
      </w:pPr>
    </w:p>
    <w:p w14:paraId="3A1E2860" w14:textId="77777777" w:rsidR="003E7D09" w:rsidRDefault="003E7D09" w:rsidP="003E7D09">
      <w:pPr>
        <w:bidi w:val="0"/>
        <w:spacing w:after="0" w:line="240" w:lineRule="auto"/>
        <w:ind w:left="-142" w:right="-285"/>
        <w:jc w:val="both"/>
        <w:rPr>
          <w:rFonts w:ascii="Arial" w:hAnsi="Arial"/>
          <w:b/>
          <w:bCs/>
        </w:rPr>
      </w:pPr>
    </w:p>
    <w:p w14:paraId="31FFADCA" w14:textId="77777777" w:rsidR="004970D6" w:rsidRPr="00A16230" w:rsidRDefault="00EC0053" w:rsidP="009D25D5">
      <w:pPr>
        <w:bidi w:val="0"/>
        <w:spacing w:after="0" w:line="240" w:lineRule="auto"/>
        <w:ind w:left="-142" w:right="-285"/>
        <w:jc w:val="center"/>
        <w:rPr>
          <w:rFonts w:ascii="Arial" w:hAnsi="Arial"/>
          <w:b/>
          <w:bCs/>
        </w:rPr>
      </w:pPr>
      <w:r w:rsidRPr="00DD0A94">
        <w:rPr>
          <w:rFonts w:ascii="Arial" w:hAnsi="Arial"/>
          <w:b/>
          <w:bCs/>
        </w:rPr>
        <w:t xml:space="preserve">Completion </w:t>
      </w:r>
      <w:r w:rsidR="0073453E">
        <w:rPr>
          <w:rFonts w:ascii="Arial" w:hAnsi="Arial"/>
          <w:b/>
          <w:bCs/>
        </w:rPr>
        <w:t>R</w:t>
      </w:r>
      <w:r w:rsidRPr="00DD0A94">
        <w:rPr>
          <w:rFonts w:ascii="Arial" w:hAnsi="Arial"/>
          <w:b/>
          <w:bCs/>
        </w:rPr>
        <w:t>ate (primary education, lower secondary education, upper secondary education)</w:t>
      </w:r>
      <w:r w:rsidRPr="00A16230">
        <w:rPr>
          <w:rFonts w:ascii="Arial" w:hAnsi="Arial"/>
          <w:b/>
          <w:bCs/>
        </w:rPr>
        <w:t>by Sex, 202</w:t>
      </w:r>
      <w:r w:rsidR="009E6349">
        <w:rPr>
          <w:rFonts w:ascii="Arial" w:hAnsi="Arial"/>
          <w:b/>
          <w:bCs/>
        </w:rPr>
        <w:t>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7"/>
      </w:tblGrid>
      <w:tr w:rsidR="00EC0053" w:rsidRPr="00A16230" w14:paraId="733F8903" w14:textId="77777777" w:rsidTr="00957126">
        <w:trPr>
          <w:jc w:val="center"/>
        </w:trPr>
        <w:tc>
          <w:tcPr>
            <w:tcW w:w="9067" w:type="dxa"/>
            <w:shd w:val="clear" w:color="auto" w:fill="auto"/>
          </w:tcPr>
          <w:p w14:paraId="38BAD9BA" w14:textId="77777777" w:rsidR="00EC0053" w:rsidRPr="00A16230" w:rsidRDefault="00EC0053" w:rsidP="008C6258">
            <w:pPr>
              <w:bidi w:val="0"/>
              <w:spacing w:after="0" w:line="240" w:lineRule="auto"/>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0B18A87B" wp14:editId="4C043180">
                  <wp:extent cx="5962650" cy="1812925"/>
                  <wp:effectExtent l="0" t="0" r="0" b="0"/>
                  <wp:docPr id="13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67782D20" w14:textId="77777777" w:rsidR="00EC0053" w:rsidRPr="00A16230" w:rsidRDefault="00EC0053" w:rsidP="008B358C">
      <w:pPr>
        <w:tabs>
          <w:tab w:val="left" w:pos="810"/>
        </w:tabs>
        <w:bidi w:val="0"/>
        <w:spacing w:after="0" w:line="240" w:lineRule="auto"/>
        <w:ind w:left="720" w:hanging="720"/>
        <w:rPr>
          <w:rFonts w:ascii="Times New Roman" w:hAnsi="Times New Roman" w:cs="Times New Roman"/>
          <w:sz w:val="24"/>
          <w:szCs w:val="24"/>
          <w:lang w:eastAsia="ar-SA"/>
        </w:rPr>
      </w:pPr>
      <w:r w:rsidRPr="00CB7230">
        <w:rPr>
          <w:rFonts w:ascii="Arial" w:hAnsi="Arial"/>
          <w:b/>
          <w:bCs/>
          <w:sz w:val="18"/>
          <w:szCs w:val="18"/>
        </w:rPr>
        <w:t>Source:</w:t>
      </w:r>
      <w:r w:rsidRPr="00E6392C">
        <w:rPr>
          <w:rFonts w:ascii="Arial" w:hAnsi="Arial"/>
          <w:b/>
          <w:sz w:val="18"/>
        </w:rPr>
        <w:t>Palestinian Central Bureau of Statistics</w:t>
      </w:r>
      <w:r w:rsidRPr="00DD0A94">
        <w:rPr>
          <w:rFonts w:ascii="Arial" w:hAnsi="Arial"/>
          <w:sz w:val="18"/>
          <w:szCs w:val="18"/>
        </w:rPr>
        <w:t>, 202</w:t>
      </w:r>
      <w:r w:rsidR="009E6349">
        <w:rPr>
          <w:rFonts w:ascii="Arial" w:hAnsi="Arial"/>
          <w:sz w:val="18"/>
          <w:szCs w:val="18"/>
        </w:rPr>
        <w:t>2</w:t>
      </w:r>
      <w:r w:rsidRPr="00DD0A94">
        <w:rPr>
          <w:rFonts w:ascii="Arial" w:hAnsi="Arial"/>
          <w:sz w:val="18"/>
          <w:szCs w:val="18"/>
        </w:rPr>
        <w:t xml:space="preserve">. </w:t>
      </w:r>
      <w:r w:rsidR="00604D15">
        <w:rPr>
          <w:rFonts w:ascii="Arial" w:hAnsi="Arial"/>
          <w:sz w:val="18"/>
          <w:szCs w:val="18"/>
        </w:rPr>
        <w:t>Labor Force S</w:t>
      </w:r>
      <w:r w:rsidRPr="00DD0A94">
        <w:rPr>
          <w:rFonts w:ascii="Arial" w:hAnsi="Arial"/>
          <w:sz w:val="18"/>
          <w:szCs w:val="18"/>
        </w:rPr>
        <w:t>urvey</w:t>
      </w:r>
      <w:r w:rsidR="00604D15">
        <w:rPr>
          <w:rFonts w:ascii="Arial" w:hAnsi="Arial"/>
          <w:sz w:val="18"/>
          <w:szCs w:val="18"/>
        </w:rPr>
        <w:t>Data</w:t>
      </w:r>
      <w:r w:rsidR="00604D15" w:rsidRPr="00DD0A94">
        <w:rPr>
          <w:rFonts w:ascii="Arial" w:hAnsi="Arial"/>
          <w:sz w:val="18"/>
          <w:szCs w:val="18"/>
        </w:rPr>
        <w:t>base</w:t>
      </w:r>
      <w:r w:rsidRPr="00DD0A94">
        <w:rPr>
          <w:rFonts w:ascii="Arial" w:hAnsi="Arial"/>
          <w:sz w:val="18"/>
          <w:szCs w:val="18"/>
        </w:rPr>
        <w:t>, 202</w:t>
      </w:r>
      <w:r w:rsidR="009E6349">
        <w:rPr>
          <w:rFonts w:ascii="Arial" w:hAnsi="Arial"/>
          <w:sz w:val="18"/>
          <w:szCs w:val="18"/>
        </w:rPr>
        <w:t>1</w:t>
      </w:r>
      <w:r w:rsidRPr="00DD0A94">
        <w:rPr>
          <w:rFonts w:ascii="Arial" w:hAnsi="Arial"/>
          <w:sz w:val="18"/>
          <w:szCs w:val="18"/>
        </w:rPr>
        <w:t>. Ramallah-Palestine</w:t>
      </w:r>
    </w:p>
    <w:p w14:paraId="08681A57" w14:textId="77777777" w:rsidR="003E7D09" w:rsidRDefault="003E7D09" w:rsidP="003E7D09">
      <w:pPr>
        <w:bidi w:val="0"/>
        <w:spacing w:after="0" w:line="240" w:lineRule="auto"/>
        <w:jc w:val="both"/>
        <w:rPr>
          <w:rFonts w:ascii="Times New Roman" w:hAnsi="Times New Roman" w:cs="Times New Roman"/>
          <w:b/>
          <w:bCs/>
          <w:i/>
          <w:sz w:val="24"/>
          <w:szCs w:val="24"/>
        </w:rPr>
      </w:pPr>
    </w:p>
    <w:p w14:paraId="1CC73CCC" w14:textId="77777777" w:rsidR="00F13199" w:rsidRDefault="00EC0053" w:rsidP="003E7D09">
      <w:pPr>
        <w:bidi w:val="0"/>
        <w:spacing w:after="0" w:line="240" w:lineRule="auto"/>
        <w:jc w:val="both"/>
        <w:rPr>
          <w:rFonts w:ascii="Times New Roman" w:hAnsi="Times New Roman" w:cs="Times New Roman"/>
          <w:b/>
          <w:bCs/>
          <w:i/>
          <w:sz w:val="24"/>
          <w:szCs w:val="24"/>
        </w:rPr>
      </w:pPr>
      <w:r w:rsidRPr="00A16230">
        <w:rPr>
          <w:rFonts w:ascii="Times New Roman" w:hAnsi="Times New Roman" w:cs="Times New Roman"/>
          <w:b/>
          <w:bCs/>
          <w:i/>
          <w:sz w:val="24"/>
          <w:szCs w:val="24"/>
        </w:rPr>
        <w:lastRenderedPageBreak/>
        <w:t xml:space="preserve">Indicator 4.2.1 Proportion of children aged 24-59 months who are developmentally on track in health, learning and psychosocial well-being, by sex </w:t>
      </w:r>
    </w:p>
    <w:p w14:paraId="227412A3" w14:textId="77777777" w:rsidR="00877949" w:rsidRPr="00A16230" w:rsidRDefault="00877949" w:rsidP="00877949">
      <w:pPr>
        <w:bidi w:val="0"/>
        <w:spacing w:after="0" w:line="240" w:lineRule="auto"/>
        <w:jc w:val="both"/>
        <w:rPr>
          <w:rFonts w:ascii="Times New Roman" w:hAnsi="Times New Roman" w:cs="Times New Roman"/>
          <w:b/>
          <w:bCs/>
          <w:i/>
          <w:sz w:val="24"/>
          <w:szCs w:val="24"/>
        </w:rPr>
      </w:pPr>
    </w:p>
    <w:p w14:paraId="59FBB75A" w14:textId="77777777" w:rsidR="00EC0053" w:rsidRDefault="00EC0053" w:rsidP="00903782">
      <w:pPr>
        <w:bidi w:val="0"/>
        <w:spacing w:after="0" w:line="240" w:lineRule="auto"/>
        <w:jc w:val="both"/>
        <w:rPr>
          <w:rFonts w:ascii="Times New Roman" w:hAnsi="Times New Roman" w:cs="Times New Roman"/>
          <w:sz w:val="24"/>
          <w:szCs w:val="24"/>
          <w:lang w:eastAsia="ar-SA"/>
        </w:rPr>
      </w:pPr>
      <w:r w:rsidRPr="00CD0C41">
        <w:rPr>
          <w:rFonts w:ascii="Times New Roman" w:hAnsi="Times New Roman" w:cs="Times New Roman"/>
          <w:sz w:val="24"/>
          <w:szCs w:val="24"/>
          <w:lang w:eastAsia="ar-SA"/>
        </w:rPr>
        <w:t>Percentage of children age</w:t>
      </w:r>
      <w:r w:rsidR="0073453E">
        <w:rPr>
          <w:rFonts w:ascii="Times New Roman" w:hAnsi="Times New Roman" w:cs="Times New Roman"/>
          <w:sz w:val="24"/>
          <w:szCs w:val="24"/>
          <w:lang w:eastAsia="ar-SA"/>
        </w:rPr>
        <w:t>s</w:t>
      </w:r>
      <w:r w:rsidRPr="00CD0C41">
        <w:rPr>
          <w:rFonts w:ascii="Times New Roman" w:hAnsi="Times New Roman" w:cs="Times New Roman"/>
          <w:sz w:val="24"/>
          <w:szCs w:val="24"/>
          <w:lang w:eastAsia="ar-SA"/>
        </w:rPr>
        <w:t xml:space="preserve"> 3-4 </w:t>
      </w:r>
      <w:r w:rsidR="0073453E">
        <w:rPr>
          <w:rFonts w:ascii="Times New Roman" w:hAnsi="Times New Roman" w:cs="Times New Roman"/>
          <w:sz w:val="24"/>
          <w:szCs w:val="24"/>
          <w:lang w:eastAsia="ar-SA"/>
        </w:rPr>
        <w:t>that</w:t>
      </w:r>
      <w:r w:rsidRPr="00CD0C41">
        <w:rPr>
          <w:rFonts w:ascii="Times New Roman" w:hAnsi="Times New Roman" w:cs="Times New Roman"/>
          <w:sz w:val="24"/>
          <w:szCs w:val="24"/>
          <w:lang w:eastAsia="ar-SA"/>
        </w:rPr>
        <w:t xml:space="preserve"> are developmentally on track in literacy-numeracy, physical, social-emotional, and learning </w:t>
      </w:r>
      <w:r w:rsidR="00AC2E62" w:rsidRPr="00CD0C41">
        <w:rPr>
          <w:rFonts w:ascii="Times New Roman" w:hAnsi="Times New Roman" w:cs="Times New Roman"/>
          <w:sz w:val="24"/>
          <w:szCs w:val="24"/>
          <w:lang w:eastAsia="ar-SA"/>
        </w:rPr>
        <w:t>domains</w:t>
      </w:r>
      <w:r w:rsidR="00AC2E62" w:rsidRPr="00A16230">
        <w:rPr>
          <w:rFonts w:ascii="Times New Roman" w:hAnsi="Times New Roman" w:cs="Times New Roman"/>
          <w:sz w:val="24"/>
          <w:szCs w:val="24"/>
          <w:lang w:eastAsia="ar-SA"/>
        </w:rPr>
        <w:t xml:space="preserve"> reached</w:t>
      </w:r>
      <w:r w:rsidRPr="00A16230">
        <w:rPr>
          <w:rFonts w:ascii="Times New Roman" w:hAnsi="Times New Roman" w:cs="Times New Roman"/>
          <w:sz w:val="24"/>
          <w:szCs w:val="24"/>
          <w:lang w:eastAsia="ar-SA"/>
        </w:rPr>
        <w:t xml:space="preserve"> 83.9% in Palestine </w:t>
      </w:r>
      <w:r w:rsidR="0073453E">
        <w:rPr>
          <w:rFonts w:ascii="Times New Roman" w:hAnsi="Times New Roman" w:cs="Times New Roman"/>
          <w:sz w:val="24"/>
          <w:szCs w:val="24"/>
          <w:lang w:eastAsia="ar-SA"/>
        </w:rPr>
        <w:t>in</w:t>
      </w:r>
      <w:r w:rsidRPr="00A16230">
        <w:rPr>
          <w:rFonts w:ascii="Times New Roman" w:hAnsi="Times New Roman" w:cs="Times New Roman"/>
          <w:sz w:val="24"/>
          <w:szCs w:val="24"/>
          <w:lang w:eastAsia="ar-SA"/>
        </w:rPr>
        <w:t xml:space="preserve">  2019. </w:t>
      </w:r>
      <w:r w:rsidR="00CC605A">
        <w:rPr>
          <w:rFonts w:ascii="Times New Roman" w:hAnsi="Times New Roman" w:cs="Times New Roman"/>
          <w:sz w:val="24"/>
          <w:szCs w:val="24"/>
          <w:lang w:eastAsia="ar-SA"/>
        </w:rPr>
        <w:t>In</w:t>
      </w:r>
      <w:r w:rsidRPr="00A16230">
        <w:rPr>
          <w:rFonts w:ascii="Times New Roman" w:hAnsi="Times New Roman" w:cs="Times New Roman"/>
          <w:sz w:val="24"/>
          <w:szCs w:val="24"/>
          <w:lang w:eastAsia="ar-SA"/>
        </w:rPr>
        <w:t xml:space="preserve"> distribution</w:t>
      </w:r>
      <w:r w:rsidR="00CC605A">
        <w:rPr>
          <w:rFonts w:ascii="Times New Roman" w:hAnsi="Times New Roman" w:cs="Times New Roman"/>
          <w:sz w:val="24"/>
          <w:szCs w:val="24"/>
          <w:lang w:eastAsia="ar-SA"/>
        </w:rPr>
        <w:t xml:space="preserve"> by region</w:t>
      </w:r>
      <w:r w:rsidRPr="00A16230">
        <w:rPr>
          <w:rFonts w:ascii="Times New Roman" w:hAnsi="Times New Roman" w:cs="Times New Roman"/>
          <w:sz w:val="24"/>
          <w:szCs w:val="24"/>
          <w:lang w:eastAsia="ar-SA"/>
        </w:rPr>
        <w:t xml:space="preserve">, </w:t>
      </w:r>
      <w:r w:rsidR="0073453E">
        <w:rPr>
          <w:rFonts w:ascii="Times New Roman" w:hAnsi="Times New Roman" w:cs="Times New Roman"/>
          <w:sz w:val="24"/>
          <w:szCs w:val="24"/>
          <w:lang w:eastAsia="ar-SA"/>
        </w:rPr>
        <w:t xml:space="preserve">this figure reached </w:t>
      </w:r>
      <w:r w:rsidRPr="00A16230">
        <w:rPr>
          <w:rFonts w:ascii="Times New Roman" w:hAnsi="Times New Roman" w:cs="Times New Roman"/>
          <w:sz w:val="24"/>
          <w:szCs w:val="24"/>
          <w:lang w:eastAsia="ar-SA"/>
        </w:rPr>
        <w:t xml:space="preserve">84.2% </w:t>
      </w:r>
      <w:r w:rsidR="0073453E">
        <w:rPr>
          <w:rFonts w:ascii="Times New Roman" w:hAnsi="Times New Roman" w:cs="Times New Roman"/>
          <w:sz w:val="24"/>
          <w:szCs w:val="24"/>
          <w:lang w:eastAsia="ar-SA"/>
        </w:rPr>
        <w:t xml:space="preserve">in the West Bank </w:t>
      </w:r>
      <w:r w:rsidRPr="00A16230">
        <w:rPr>
          <w:rFonts w:ascii="Times New Roman" w:hAnsi="Times New Roman" w:cs="Times New Roman"/>
          <w:sz w:val="24"/>
          <w:szCs w:val="24"/>
          <w:lang w:eastAsia="ar-SA"/>
        </w:rPr>
        <w:t>and 83.4</w:t>
      </w:r>
      <w:r w:rsidR="0073453E">
        <w:rPr>
          <w:rFonts w:ascii="Times New Roman" w:hAnsi="Times New Roman" w:cs="Times New Roman"/>
          <w:sz w:val="24"/>
          <w:szCs w:val="24"/>
          <w:lang w:eastAsia="ar-SA"/>
        </w:rPr>
        <w:t>% in the Gaza Strip</w:t>
      </w:r>
      <w:r w:rsidRPr="00A16230">
        <w:rPr>
          <w:rFonts w:ascii="Times New Roman" w:hAnsi="Times New Roman" w:cs="Times New Roman"/>
          <w:sz w:val="24"/>
          <w:szCs w:val="24"/>
          <w:lang w:eastAsia="ar-SA"/>
        </w:rPr>
        <w:t xml:space="preserve"> for the same period.</w:t>
      </w:r>
    </w:p>
    <w:p w14:paraId="28B5E41E" w14:textId="77777777" w:rsidR="00E02452" w:rsidRDefault="00E02452" w:rsidP="00E6392C">
      <w:pPr>
        <w:tabs>
          <w:tab w:val="left" w:pos="9072"/>
        </w:tabs>
        <w:bidi w:val="0"/>
        <w:spacing w:after="0" w:line="240" w:lineRule="auto"/>
        <w:rPr>
          <w:rFonts w:ascii="Arial" w:hAnsi="Arial"/>
          <w:b/>
          <w:bCs/>
        </w:rPr>
      </w:pPr>
    </w:p>
    <w:p w14:paraId="64FD265E" w14:textId="77777777" w:rsidR="004970D6" w:rsidRPr="00A16230" w:rsidRDefault="00EC0053" w:rsidP="006456A7">
      <w:pPr>
        <w:tabs>
          <w:tab w:val="left" w:pos="9072"/>
        </w:tabs>
        <w:bidi w:val="0"/>
        <w:spacing w:after="0" w:line="240" w:lineRule="auto"/>
        <w:jc w:val="center"/>
        <w:rPr>
          <w:rFonts w:ascii="Arial" w:hAnsi="Arial"/>
          <w:b/>
          <w:bCs/>
        </w:rPr>
      </w:pPr>
      <w:r w:rsidRPr="00CD0C41">
        <w:rPr>
          <w:rFonts w:ascii="Arial" w:hAnsi="Arial"/>
          <w:b/>
          <w:bCs/>
        </w:rPr>
        <w:t xml:space="preserve">Percentage of </w:t>
      </w:r>
      <w:r w:rsidR="0073453E">
        <w:rPr>
          <w:rFonts w:ascii="Arial" w:hAnsi="Arial"/>
          <w:b/>
          <w:bCs/>
        </w:rPr>
        <w:t>C</w:t>
      </w:r>
      <w:r w:rsidRPr="00CD0C41">
        <w:rPr>
          <w:rFonts w:ascii="Arial" w:hAnsi="Arial"/>
          <w:b/>
          <w:bCs/>
        </w:rPr>
        <w:t xml:space="preserve">hildren </w:t>
      </w:r>
      <w:r w:rsidR="0073453E">
        <w:rPr>
          <w:rFonts w:ascii="Arial" w:hAnsi="Arial"/>
          <w:b/>
          <w:bCs/>
        </w:rPr>
        <w:t>A</w:t>
      </w:r>
      <w:r w:rsidRPr="00CD0C41">
        <w:rPr>
          <w:rFonts w:ascii="Arial" w:hAnsi="Arial"/>
          <w:b/>
          <w:bCs/>
        </w:rPr>
        <w:t>ge</w:t>
      </w:r>
      <w:r w:rsidR="006456A7">
        <w:rPr>
          <w:rFonts w:ascii="Arial" w:hAnsi="Arial"/>
          <w:b/>
          <w:bCs/>
        </w:rPr>
        <w:t>d</w:t>
      </w:r>
      <w:r w:rsidRPr="00CD0C41">
        <w:rPr>
          <w:rFonts w:ascii="Arial" w:hAnsi="Arial"/>
          <w:b/>
          <w:bCs/>
        </w:rPr>
        <w:t xml:space="preserve"> 3-4 </w:t>
      </w:r>
      <w:r w:rsidR="0073453E">
        <w:rPr>
          <w:rFonts w:ascii="Arial" w:hAnsi="Arial"/>
          <w:b/>
          <w:bCs/>
        </w:rPr>
        <w:t>that</w:t>
      </w:r>
      <w:r w:rsidRPr="00CD0C41">
        <w:rPr>
          <w:rFonts w:ascii="Arial" w:hAnsi="Arial"/>
          <w:b/>
          <w:bCs/>
        </w:rPr>
        <w:t xml:space="preserve"> are </w:t>
      </w:r>
      <w:r w:rsidR="0073453E">
        <w:rPr>
          <w:rFonts w:ascii="Arial" w:hAnsi="Arial"/>
          <w:b/>
          <w:bCs/>
        </w:rPr>
        <w:t>D</w:t>
      </w:r>
      <w:r w:rsidRPr="00CD0C41">
        <w:rPr>
          <w:rFonts w:ascii="Arial" w:hAnsi="Arial"/>
          <w:b/>
          <w:bCs/>
        </w:rPr>
        <w:t xml:space="preserve">evelopmentally on </w:t>
      </w:r>
      <w:r w:rsidR="0073453E">
        <w:rPr>
          <w:rFonts w:ascii="Arial" w:hAnsi="Arial"/>
          <w:b/>
          <w:bCs/>
        </w:rPr>
        <w:t>T</w:t>
      </w:r>
      <w:r w:rsidRPr="00CD0C41">
        <w:rPr>
          <w:rFonts w:ascii="Arial" w:hAnsi="Arial"/>
          <w:b/>
          <w:bCs/>
        </w:rPr>
        <w:t xml:space="preserve">rack in </w:t>
      </w:r>
      <w:r w:rsidR="0073453E">
        <w:rPr>
          <w:rFonts w:ascii="Arial" w:hAnsi="Arial"/>
          <w:b/>
          <w:bCs/>
        </w:rPr>
        <w:t>L</w:t>
      </w:r>
      <w:r w:rsidRPr="00CD0C41">
        <w:rPr>
          <w:rFonts w:ascii="Arial" w:hAnsi="Arial"/>
          <w:b/>
          <w:bCs/>
        </w:rPr>
        <w:t xml:space="preserve">iteracy-numeracy, </w:t>
      </w:r>
      <w:r w:rsidR="0073453E">
        <w:rPr>
          <w:rFonts w:ascii="Arial" w:hAnsi="Arial"/>
          <w:b/>
          <w:bCs/>
        </w:rPr>
        <w:t>P</w:t>
      </w:r>
      <w:r w:rsidRPr="00CD0C41">
        <w:rPr>
          <w:rFonts w:ascii="Arial" w:hAnsi="Arial"/>
          <w:b/>
          <w:bCs/>
        </w:rPr>
        <w:t xml:space="preserve">hysical, </w:t>
      </w:r>
      <w:r w:rsidR="0073453E">
        <w:rPr>
          <w:rFonts w:ascii="Arial" w:hAnsi="Arial"/>
          <w:b/>
          <w:bCs/>
        </w:rPr>
        <w:t>S</w:t>
      </w:r>
      <w:r w:rsidRPr="00CD0C41">
        <w:rPr>
          <w:rFonts w:ascii="Arial" w:hAnsi="Arial"/>
          <w:b/>
          <w:bCs/>
        </w:rPr>
        <w:t xml:space="preserve">ocial-emotional, and </w:t>
      </w:r>
      <w:r w:rsidR="0073453E">
        <w:rPr>
          <w:rFonts w:ascii="Arial" w:hAnsi="Arial"/>
          <w:b/>
          <w:bCs/>
        </w:rPr>
        <w:t>L</w:t>
      </w:r>
      <w:r w:rsidRPr="00CD0C41">
        <w:rPr>
          <w:rFonts w:ascii="Arial" w:hAnsi="Arial"/>
          <w:b/>
          <w:bCs/>
        </w:rPr>
        <w:t xml:space="preserve">earning </w:t>
      </w:r>
      <w:r w:rsidR="0073453E">
        <w:rPr>
          <w:rFonts w:ascii="Arial" w:hAnsi="Arial"/>
          <w:b/>
          <w:bCs/>
        </w:rPr>
        <w:t>D</w:t>
      </w:r>
      <w:r w:rsidR="00AC2E62" w:rsidRPr="00CD0C41">
        <w:rPr>
          <w:rFonts w:ascii="Arial" w:hAnsi="Arial"/>
          <w:b/>
          <w:bCs/>
        </w:rPr>
        <w:t>omains</w:t>
      </w:r>
      <w:r w:rsidR="00AC2E62" w:rsidRPr="00A16230">
        <w:rPr>
          <w:rFonts w:ascii="Arial" w:hAnsi="Arial"/>
          <w:b/>
          <w:bCs/>
        </w:rPr>
        <w:t xml:space="preserve"> by</w:t>
      </w:r>
      <w:r w:rsidR="0073453E">
        <w:rPr>
          <w:rFonts w:ascii="Arial" w:hAnsi="Arial"/>
          <w:b/>
          <w:bCs/>
        </w:rPr>
        <w:t>R</w:t>
      </w:r>
      <w:r>
        <w:rPr>
          <w:rFonts w:ascii="Arial" w:hAnsi="Arial"/>
          <w:b/>
          <w:bCs/>
        </w:rPr>
        <w:t>egion</w:t>
      </w:r>
      <w:r w:rsidRPr="00A16230">
        <w:rPr>
          <w:rFonts w:ascii="Arial" w:hAnsi="Arial"/>
          <w:b/>
          <w:bCs/>
        </w:rPr>
        <w:t>, 2019/2020 (%)</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2"/>
      </w:tblGrid>
      <w:tr w:rsidR="00EC0053" w:rsidRPr="00A16230" w14:paraId="7F460D8F" w14:textId="77777777" w:rsidTr="00335608">
        <w:tc>
          <w:tcPr>
            <w:tcW w:w="9286" w:type="dxa"/>
            <w:shd w:val="clear" w:color="auto" w:fill="auto"/>
          </w:tcPr>
          <w:p w14:paraId="5EB5CB53" w14:textId="77777777" w:rsidR="00EC0053" w:rsidRPr="00A16230" w:rsidRDefault="00EC0053" w:rsidP="00CC605A">
            <w:pPr>
              <w:bidi w:val="0"/>
              <w:spacing w:after="0" w:line="240" w:lineRule="auto"/>
              <w:jc w:val="center"/>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57EBEBE4" wp14:editId="10C5755A">
                  <wp:extent cx="5653405" cy="1812925"/>
                  <wp:effectExtent l="0" t="0" r="0" b="0"/>
                  <wp:docPr id="134"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14:paraId="3D83220F" w14:textId="77777777" w:rsidR="00EC0053" w:rsidRPr="00802088" w:rsidRDefault="00EC0053" w:rsidP="008B358C">
      <w:pPr>
        <w:bidi w:val="0"/>
        <w:spacing w:after="0" w:line="240" w:lineRule="auto"/>
        <w:ind w:left="630" w:hanging="720"/>
        <w:rPr>
          <w:rFonts w:asciiTheme="minorBidi" w:hAnsiTheme="minorBidi" w:cstheme="minorBidi"/>
          <w:sz w:val="18"/>
          <w:szCs w:val="18"/>
          <w:lang w:eastAsia="ar-SA"/>
        </w:rPr>
      </w:pPr>
      <w:r w:rsidRPr="00802088">
        <w:rPr>
          <w:rFonts w:asciiTheme="minorBidi" w:hAnsiTheme="minorBidi" w:cstheme="minorBidi"/>
          <w:b/>
          <w:bCs/>
          <w:sz w:val="18"/>
          <w:szCs w:val="18"/>
        </w:rPr>
        <w:t xml:space="preserve">Source: </w:t>
      </w:r>
      <w:r w:rsidR="00BA65A8" w:rsidRPr="00802088">
        <w:rPr>
          <w:rFonts w:asciiTheme="minorBidi" w:hAnsiTheme="minorBidi" w:cstheme="minorBidi"/>
          <w:b/>
          <w:bCs/>
          <w:sz w:val="18"/>
          <w:szCs w:val="18"/>
        </w:rPr>
        <w:t>Palestinian Central Bureau of Statistics</w:t>
      </w:r>
      <w:r w:rsidRPr="00802088">
        <w:rPr>
          <w:rFonts w:asciiTheme="minorBidi" w:hAnsiTheme="minorBidi" w:cstheme="minorBidi"/>
          <w:sz w:val="18"/>
          <w:szCs w:val="18"/>
        </w:rPr>
        <w:t>, 2020.Multi</w:t>
      </w:r>
      <w:r w:rsidR="00CB7230" w:rsidRPr="00802088">
        <w:rPr>
          <w:rFonts w:asciiTheme="minorBidi" w:hAnsiTheme="minorBidi" w:cstheme="minorBidi"/>
          <w:sz w:val="18"/>
          <w:szCs w:val="18"/>
        </w:rPr>
        <w:t>ple</w:t>
      </w:r>
      <w:r w:rsidRPr="00802088">
        <w:rPr>
          <w:rFonts w:asciiTheme="minorBidi" w:hAnsiTheme="minorBidi" w:cstheme="minorBidi"/>
          <w:sz w:val="18"/>
          <w:szCs w:val="18"/>
        </w:rPr>
        <w:t xml:space="preserve"> indicators cluster survey, 2019- 2020</w:t>
      </w:r>
      <w:r w:rsidR="00BA65A8" w:rsidRPr="00802088">
        <w:rPr>
          <w:rFonts w:asciiTheme="minorBidi" w:hAnsiTheme="minorBidi" w:cstheme="minorBidi"/>
          <w:sz w:val="18"/>
          <w:szCs w:val="18"/>
          <w:lang w:eastAsia="ar-SA"/>
        </w:rPr>
        <w:t>.</w:t>
      </w:r>
      <w:r w:rsidR="00BA65A8" w:rsidRPr="00802088">
        <w:rPr>
          <w:rFonts w:asciiTheme="minorBidi" w:hAnsiTheme="minorBidi" w:cstheme="minorBidi"/>
          <w:sz w:val="18"/>
          <w:szCs w:val="18"/>
        </w:rPr>
        <w:t>Ramallah-Palestine</w:t>
      </w:r>
    </w:p>
    <w:p w14:paraId="6ABE5DB5" w14:textId="77777777" w:rsidR="00EC0053" w:rsidRPr="00E6392C" w:rsidRDefault="00EC0053" w:rsidP="00E6392C">
      <w:pPr>
        <w:bidi w:val="0"/>
        <w:spacing w:after="0" w:line="240" w:lineRule="auto"/>
        <w:rPr>
          <w:rFonts w:ascii="Times New Roman" w:hAnsi="Times New Roman"/>
          <w:b/>
          <w:i/>
          <w:sz w:val="24"/>
        </w:rPr>
      </w:pPr>
    </w:p>
    <w:p w14:paraId="241DD4CD" w14:textId="77777777" w:rsidR="00F13199" w:rsidRDefault="00EC0053" w:rsidP="003E7D09">
      <w:pPr>
        <w:bidi w:val="0"/>
        <w:spacing w:after="0" w:line="240" w:lineRule="auto"/>
        <w:ind w:left="-142" w:right="-285"/>
        <w:jc w:val="both"/>
        <w:rPr>
          <w:rFonts w:ascii="Times New Roman" w:hAnsi="Times New Roman" w:cs="Times New Roman"/>
          <w:b/>
          <w:bCs/>
          <w:i/>
          <w:sz w:val="24"/>
          <w:szCs w:val="24"/>
        </w:rPr>
      </w:pPr>
      <w:r w:rsidRPr="00A16230">
        <w:rPr>
          <w:rFonts w:ascii="Times New Roman" w:hAnsi="Times New Roman" w:cs="Times New Roman"/>
          <w:b/>
          <w:bCs/>
          <w:i/>
          <w:sz w:val="24"/>
          <w:szCs w:val="24"/>
        </w:rPr>
        <w:t xml:space="preserve">Indicator 4.2.2 Participation rate in organized learning (one year </w:t>
      </w:r>
      <w:r w:rsidR="0073453E">
        <w:rPr>
          <w:rFonts w:ascii="Times New Roman" w:hAnsi="Times New Roman" w:cs="Times New Roman"/>
          <w:b/>
          <w:bCs/>
          <w:i/>
          <w:sz w:val="24"/>
          <w:szCs w:val="24"/>
        </w:rPr>
        <w:t>prior to</w:t>
      </w:r>
      <w:r w:rsidRPr="00A16230">
        <w:rPr>
          <w:rFonts w:ascii="Times New Roman" w:hAnsi="Times New Roman" w:cs="Times New Roman"/>
          <w:b/>
          <w:bCs/>
          <w:i/>
          <w:sz w:val="24"/>
          <w:szCs w:val="24"/>
        </w:rPr>
        <w:t xml:space="preserve"> official primary entry age), by sex</w:t>
      </w:r>
      <w:r w:rsidR="00F13199">
        <w:rPr>
          <w:rFonts w:ascii="Times New Roman" w:hAnsi="Times New Roman" w:cs="Times New Roman"/>
          <w:b/>
          <w:bCs/>
          <w:i/>
          <w:sz w:val="24"/>
          <w:szCs w:val="24"/>
        </w:rPr>
        <w:t>.</w:t>
      </w:r>
    </w:p>
    <w:p w14:paraId="27799377" w14:textId="77777777" w:rsidR="00877949" w:rsidRPr="00A16230" w:rsidRDefault="00877949" w:rsidP="00877949">
      <w:pPr>
        <w:bidi w:val="0"/>
        <w:spacing w:after="0" w:line="240" w:lineRule="auto"/>
        <w:ind w:left="-142" w:right="-285"/>
        <w:jc w:val="both"/>
        <w:rPr>
          <w:rFonts w:ascii="Times New Roman" w:hAnsi="Times New Roman" w:cs="Times New Roman"/>
          <w:b/>
          <w:bCs/>
          <w:i/>
          <w:sz w:val="24"/>
          <w:szCs w:val="24"/>
        </w:rPr>
      </w:pPr>
    </w:p>
    <w:p w14:paraId="7E1B11A5" w14:textId="77777777" w:rsidR="00EC0053" w:rsidRPr="00267BC4" w:rsidRDefault="00EC0053" w:rsidP="003418CB">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In </w:t>
      </w:r>
      <w:r w:rsidR="00903782">
        <w:rPr>
          <w:rFonts w:ascii="Times New Roman" w:hAnsi="Times New Roman" w:cs="Times New Roman"/>
          <w:sz w:val="24"/>
          <w:szCs w:val="24"/>
          <w:lang w:eastAsia="ar-SA"/>
        </w:rPr>
        <w:t xml:space="preserve">the </w:t>
      </w:r>
      <w:r w:rsidR="0031185D">
        <w:rPr>
          <w:rFonts w:ascii="Times New Roman" w:hAnsi="Times New Roman" w:cs="Times New Roman"/>
          <w:sz w:val="24"/>
          <w:szCs w:val="24"/>
          <w:lang w:eastAsia="ar-SA"/>
        </w:rPr>
        <w:t>2021</w:t>
      </w:r>
      <w:r w:rsidR="0073453E" w:rsidRPr="00A16230">
        <w:rPr>
          <w:rFonts w:ascii="Times New Roman" w:hAnsi="Times New Roman" w:cs="Times New Roman"/>
          <w:sz w:val="24"/>
          <w:szCs w:val="24"/>
          <w:lang w:eastAsia="ar-SA"/>
        </w:rPr>
        <w:t>/</w:t>
      </w:r>
      <w:r w:rsidR="0031185D" w:rsidRPr="00267BC4">
        <w:rPr>
          <w:rFonts w:ascii="Times New Roman" w:hAnsi="Times New Roman" w:cs="Times New Roman"/>
          <w:sz w:val="24"/>
          <w:szCs w:val="24"/>
          <w:lang w:eastAsia="ar-SA"/>
        </w:rPr>
        <w:t xml:space="preserve">2022scholastic </w:t>
      </w:r>
      <w:r w:rsidR="00903782" w:rsidRPr="00267BC4">
        <w:rPr>
          <w:rFonts w:ascii="Times New Roman" w:hAnsi="Times New Roman" w:cs="Times New Roman"/>
          <w:sz w:val="24"/>
          <w:szCs w:val="24"/>
          <w:lang w:eastAsia="ar-SA"/>
        </w:rPr>
        <w:t>year</w:t>
      </w:r>
      <w:r w:rsidRPr="00267BC4">
        <w:rPr>
          <w:rFonts w:ascii="Times New Roman" w:hAnsi="Times New Roman" w:cs="Times New Roman"/>
          <w:sz w:val="24"/>
          <w:szCs w:val="24"/>
          <w:lang w:eastAsia="ar-SA"/>
        </w:rPr>
        <w:t xml:space="preserve">, the participation rate in organized learning (one year </w:t>
      </w:r>
      <w:r w:rsidR="0073453E" w:rsidRPr="00267BC4">
        <w:rPr>
          <w:rFonts w:ascii="Times New Roman" w:hAnsi="Times New Roman" w:cs="Times New Roman"/>
          <w:sz w:val="24"/>
          <w:szCs w:val="24"/>
          <w:lang w:eastAsia="ar-SA"/>
        </w:rPr>
        <w:t>prior to</w:t>
      </w:r>
      <w:r w:rsidRPr="00267BC4">
        <w:rPr>
          <w:rFonts w:ascii="Times New Roman" w:hAnsi="Times New Roman" w:cs="Times New Roman"/>
          <w:sz w:val="24"/>
          <w:szCs w:val="24"/>
          <w:lang w:eastAsia="ar-SA"/>
        </w:rPr>
        <w:t xml:space="preserve"> official primary entry age, which is 6 years) </w:t>
      </w:r>
      <w:r w:rsidR="0073453E" w:rsidRPr="00267BC4">
        <w:rPr>
          <w:rFonts w:ascii="Times New Roman" w:hAnsi="Times New Roman" w:cs="Times New Roman"/>
          <w:sz w:val="24"/>
          <w:szCs w:val="24"/>
          <w:lang w:eastAsia="ar-SA"/>
        </w:rPr>
        <w:t>reached</w:t>
      </w:r>
      <w:r w:rsidR="0031185D" w:rsidRPr="00267BC4">
        <w:rPr>
          <w:rFonts w:ascii="Times New Roman" w:hAnsi="Times New Roman" w:cs="Times New Roman"/>
          <w:sz w:val="24"/>
          <w:szCs w:val="24"/>
          <w:lang w:eastAsia="ar-SA"/>
        </w:rPr>
        <w:t>72.9</w:t>
      </w:r>
      <w:r w:rsidRPr="00267BC4">
        <w:rPr>
          <w:rFonts w:ascii="Times New Roman" w:hAnsi="Times New Roman" w:cs="Times New Roman"/>
          <w:sz w:val="24"/>
          <w:szCs w:val="24"/>
          <w:lang w:eastAsia="ar-SA"/>
        </w:rPr>
        <w:t xml:space="preserve">%: </w:t>
      </w:r>
      <w:r w:rsidR="003418CB" w:rsidRPr="00267BC4">
        <w:rPr>
          <w:rFonts w:ascii="Times New Roman" w:hAnsi="Times New Roman" w:cs="Times New Roman"/>
          <w:sz w:val="24"/>
          <w:szCs w:val="24"/>
          <w:lang w:eastAsia="ar-SA"/>
        </w:rPr>
        <w:t>67.7</w:t>
      </w:r>
      <w:r w:rsidR="004A40F1" w:rsidRPr="00267BC4">
        <w:rPr>
          <w:rFonts w:ascii="Times New Roman" w:hAnsi="Times New Roman" w:cs="Times New Roman"/>
          <w:sz w:val="24"/>
          <w:szCs w:val="24"/>
          <w:lang w:eastAsia="ar-SA"/>
        </w:rPr>
        <w:t xml:space="preserve">% for males and </w:t>
      </w:r>
      <w:r w:rsidR="003418CB" w:rsidRPr="00267BC4">
        <w:rPr>
          <w:rFonts w:ascii="Times New Roman" w:hAnsi="Times New Roman" w:cs="Times New Roman"/>
          <w:sz w:val="24"/>
          <w:szCs w:val="24"/>
          <w:lang w:eastAsia="ar-SA"/>
        </w:rPr>
        <w:t>78.3</w:t>
      </w:r>
      <w:r w:rsidR="004A40F1" w:rsidRPr="00267BC4">
        <w:rPr>
          <w:rFonts w:ascii="Times New Roman" w:hAnsi="Times New Roman" w:cs="Times New Roman"/>
          <w:sz w:val="24"/>
          <w:szCs w:val="24"/>
          <w:lang w:eastAsia="ar-SA"/>
        </w:rPr>
        <w:t>% for females.</w:t>
      </w:r>
    </w:p>
    <w:p w14:paraId="6F80E9D7" w14:textId="77777777" w:rsidR="00444566" w:rsidRPr="00267BC4" w:rsidRDefault="00444566" w:rsidP="00DD0DC4">
      <w:pPr>
        <w:tabs>
          <w:tab w:val="left" w:pos="9072"/>
        </w:tabs>
        <w:bidi w:val="0"/>
        <w:spacing w:after="0" w:line="240" w:lineRule="auto"/>
        <w:jc w:val="center"/>
        <w:rPr>
          <w:rFonts w:ascii="Arial" w:hAnsi="Arial"/>
          <w:b/>
          <w:bCs/>
        </w:rPr>
      </w:pPr>
    </w:p>
    <w:p w14:paraId="3F97C388" w14:textId="77777777" w:rsidR="00EC0053" w:rsidRPr="00A16230" w:rsidRDefault="004A40F1" w:rsidP="0031185D">
      <w:pPr>
        <w:tabs>
          <w:tab w:val="left" w:pos="9072"/>
        </w:tabs>
        <w:bidi w:val="0"/>
        <w:spacing w:after="0" w:line="240" w:lineRule="auto"/>
        <w:jc w:val="center"/>
        <w:rPr>
          <w:rFonts w:ascii="Arial" w:hAnsi="Arial"/>
          <w:b/>
          <w:bCs/>
        </w:rPr>
      </w:pPr>
      <w:r w:rsidRPr="00267BC4">
        <w:rPr>
          <w:rFonts w:ascii="Arial" w:hAnsi="Arial"/>
          <w:b/>
          <w:bCs/>
        </w:rPr>
        <w:t xml:space="preserve">Participation Rate in Organized Learning (one year prior toofficial primary entry age) by Sex, </w:t>
      </w:r>
      <w:r w:rsidR="0031185D" w:rsidRPr="00267BC4">
        <w:rPr>
          <w:rFonts w:ascii="Arial" w:hAnsi="Arial"/>
          <w:b/>
          <w:bCs/>
        </w:rPr>
        <w:t>2021</w:t>
      </w:r>
      <w:r w:rsidRPr="00267BC4">
        <w:rPr>
          <w:rFonts w:ascii="Arial" w:hAnsi="Arial"/>
          <w:b/>
          <w:bCs/>
        </w:rPr>
        <w:t>/</w:t>
      </w:r>
      <w:r w:rsidR="0031185D" w:rsidRPr="00267BC4">
        <w:rPr>
          <w:rFonts w:ascii="Arial" w:hAnsi="Arial"/>
          <w:b/>
          <w:bCs/>
        </w:rPr>
        <w:t>2022</w:t>
      </w:r>
      <w:r w:rsidRPr="00267BC4">
        <w:rPr>
          <w:rFonts w:ascii="Arial" w:hAnsi="Arial"/>
          <w:b/>
          <w:bCs/>
        </w:rPr>
        <w:t>(%)</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2"/>
      </w:tblGrid>
      <w:tr w:rsidR="00EC0053" w:rsidRPr="00A16230" w14:paraId="5CCA3862" w14:textId="77777777" w:rsidTr="00335608">
        <w:tc>
          <w:tcPr>
            <w:tcW w:w="9286" w:type="dxa"/>
            <w:shd w:val="clear" w:color="auto" w:fill="auto"/>
          </w:tcPr>
          <w:p w14:paraId="3C351DEF" w14:textId="77777777" w:rsidR="00EC0053" w:rsidRPr="00A16230" w:rsidRDefault="00EC0053" w:rsidP="008C6258">
            <w:pPr>
              <w:bidi w:val="0"/>
              <w:spacing w:after="0" w:line="240" w:lineRule="auto"/>
              <w:jc w:val="center"/>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0233CA47" wp14:editId="17E3AB56">
                  <wp:extent cx="5653405" cy="1812925"/>
                  <wp:effectExtent l="0" t="0" r="0" b="0"/>
                  <wp:docPr id="94"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p w14:paraId="54E1EA48" w14:textId="77777777" w:rsidR="00EC0053" w:rsidRDefault="00EC0053" w:rsidP="003418CB">
      <w:pPr>
        <w:bidi w:val="0"/>
        <w:spacing w:after="0" w:line="240" w:lineRule="auto"/>
        <w:ind w:hanging="180"/>
        <w:rPr>
          <w:rFonts w:ascii="Arial" w:hAnsi="Arial"/>
          <w:sz w:val="18"/>
          <w:szCs w:val="18"/>
        </w:rPr>
      </w:pPr>
      <w:r w:rsidRPr="00A16230">
        <w:rPr>
          <w:rFonts w:ascii="Arial" w:hAnsi="Arial"/>
          <w:b/>
          <w:bCs/>
          <w:sz w:val="18"/>
          <w:szCs w:val="18"/>
        </w:rPr>
        <w:t xml:space="preserve">Source: Ministry of Education, </w:t>
      </w:r>
      <w:r w:rsidRPr="00A16230">
        <w:rPr>
          <w:rFonts w:ascii="Arial" w:hAnsi="Arial"/>
          <w:sz w:val="18"/>
          <w:szCs w:val="18"/>
        </w:rPr>
        <w:t xml:space="preserve">Data Base of Education Survey for </w:t>
      </w:r>
      <w:r w:rsidR="0073453E">
        <w:rPr>
          <w:rFonts w:ascii="Arial" w:hAnsi="Arial"/>
          <w:sz w:val="18"/>
          <w:szCs w:val="18"/>
        </w:rPr>
        <w:t xml:space="preserve">the </w:t>
      </w:r>
      <w:r w:rsidR="003418CB">
        <w:rPr>
          <w:rFonts w:ascii="Arial" w:hAnsi="Arial"/>
          <w:sz w:val="18"/>
          <w:szCs w:val="18"/>
        </w:rPr>
        <w:t>2021</w:t>
      </w:r>
      <w:r w:rsidR="0073453E">
        <w:rPr>
          <w:rFonts w:ascii="Arial" w:hAnsi="Arial"/>
          <w:sz w:val="18"/>
          <w:szCs w:val="18"/>
        </w:rPr>
        <w:t>/</w:t>
      </w:r>
      <w:r w:rsidR="003418CB">
        <w:rPr>
          <w:rFonts w:ascii="Arial" w:hAnsi="Arial"/>
          <w:sz w:val="18"/>
          <w:szCs w:val="18"/>
        </w:rPr>
        <w:t xml:space="preserve">2022 </w:t>
      </w:r>
      <w:r w:rsidRPr="00A16230">
        <w:rPr>
          <w:rFonts w:ascii="Arial" w:hAnsi="Arial"/>
          <w:sz w:val="18"/>
          <w:szCs w:val="18"/>
        </w:rPr>
        <w:t xml:space="preserve">scholastic </w:t>
      </w:r>
      <w:r w:rsidR="0073453E">
        <w:rPr>
          <w:rFonts w:ascii="Arial" w:hAnsi="Arial"/>
          <w:sz w:val="18"/>
          <w:szCs w:val="18"/>
        </w:rPr>
        <w:t>y</w:t>
      </w:r>
      <w:r w:rsidRPr="00A16230">
        <w:rPr>
          <w:rFonts w:ascii="Arial" w:hAnsi="Arial"/>
          <w:sz w:val="18"/>
          <w:szCs w:val="18"/>
        </w:rPr>
        <w:t>ea</w:t>
      </w:r>
      <w:r w:rsidR="00206211">
        <w:rPr>
          <w:rFonts w:ascii="Arial" w:hAnsi="Arial"/>
          <w:sz w:val="18"/>
          <w:szCs w:val="18"/>
        </w:rPr>
        <w:t>r. Ramallah-Palestine</w:t>
      </w:r>
    </w:p>
    <w:p w14:paraId="79E5AE75" w14:textId="77777777" w:rsidR="003E7D09" w:rsidRDefault="003E7D09" w:rsidP="00E6392C">
      <w:pPr>
        <w:autoSpaceDE w:val="0"/>
        <w:autoSpaceDN w:val="0"/>
        <w:bidi w:val="0"/>
        <w:adjustRightInd w:val="0"/>
        <w:spacing w:after="0" w:line="240" w:lineRule="auto"/>
        <w:jc w:val="both"/>
        <w:rPr>
          <w:rFonts w:ascii="Arial" w:hAnsi="Arial"/>
          <w:sz w:val="18"/>
          <w:szCs w:val="18"/>
        </w:rPr>
      </w:pPr>
    </w:p>
    <w:p w14:paraId="7B62CAB1" w14:textId="77777777" w:rsidR="00EC0053" w:rsidRDefault="00EC0053" w:rsidP="003E7D09">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4.3.1 Participation rate of youth and adults in formal and non-formal education and training in the previous 12 months, by sex</w:t>
      </w:r>
    </w:p>
    <w:p w14:paraId="1806E2D0" w14:textId="77777777" w:rsidR="001F12C6" w:rsidRDefault="001F12C6" w:rsidP="003E7D09">
      <w:pPr>
        <w:bidi w:val="0"/>
        <w:spacing w:after="0" w:line="240" w:lineRule="auto"/>
        <w:ind w:right="-334"/>
        <w:jc w:val="both"/>
        <w:rPr>
          <w:rFonts w:ascii="Times New Roman" w:hAnsi="Times New Roman" w:cs="Times New Roman"/>
          <w:sz w:val="24"/>
          <w:szCs w:val="24"/>
          <w:lang w:eastAsia="ar-SA"/>
        </w:rPr>
      </w:pPr>
    </w:p>
    <w:p w14:paraId="5B37F870" w14:textId="77777777" w:rsidR="00EC0053" w:rsidRPr="00A16230" w:rsidRDefault="00EC0053" w:rsidP="001F12C6">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In 202</w:t>
      </w:r>
      <w:r w:rsidR="00706FF5">
        <w:rPr>
          <w:rFonts w:ascii="Times New Roman" w:hAnsi="Times New Roman" w:cs="Times New Roman"/>
          <w:sz w:val="24"/>
          <w:szCs w:val="24"/>
          <w:lang w:eastAsia="ar-SA"/>
        </w:rPr>
        <w:t>1</w:t>
      </w:r>
      <w:r w:rsidRPr="00A16230">
        <w:rPr>
          <w:rFonts w:ascii="Times New Roman" w:hAnsi="Times New Roman" w:cs="Times New Roman"/>
          <w:sz w:val="24"/>
          <w:szCs w:val="24"/>
          <w:lang w:eastAsia="ar-SA"/>
        </w:rPr>
        <w:t xml:space="preserve">, the participation rate of youth and adults in formal and non-formal education and training </w:t>
      </w:r>
      <w:r w:rsidR="0073453E">
        <w:rPr>
          <w:rFonts w:ascii="Times New Roman" w:hAnsi="Times New Roman" w:cs="Times New Roman"/>
          <w:sz w:val="24"/>
          <w:szCs w:val="24"/>
          <w:lang w:eastAsia="ar-SA"/>
        </w:rPr>
        <w:t>reached</w:t>
      </w:r>
      <w:r w:rsidR="00706FF5">
        <w:rPr>
          <w:rFonts w:ascii="Times New Roman" w:hAnsi="Times New Roman" w:cs="Times New Roman"/>
          <w:sz w:val="24"/>
          <w:szCs w:val="24"/>
          <w:lang w:eastAsia="ar-SA"/>
        </w:rPr>
        <w:t>18.9</w:t>
      </w:r>
      <w:r w:rsidRPr="00A16230">
        <w:rPr>
          <w:rFonts w:ascii="Times New Roman" w:hAnsi="Times New Roman" w:cs="Times New Roman"/>
          <w:sz w:val="24"/>
          <w:szCs w:val="24"/>
          <w:lang w:eastAsia="ar-SA"/>
        </w:rPr>
        <w:t>% and the rate among females (</w:t>
      </w:r>
      <w:r w:rsidR="00706FF5">
        <w:rPr>
          <w:rFonts w:ascii="Times New Roman" w:hAnsi="Times New Roman" w:cs="Times New Roman"/>
          <w:sz w:val="24"/>
          <w:szCs w:val="24"/>
          <w:lang w:eastAsia="ar-SA"/>
        </w:rPr>
        <w:t>20.9</w:t>
      </w:r>
      <w:r w:rsidR="003E7D09">
        <w:rPr>
          <w:rFonts w:ascii="Times New Roman" w:hAnsi="Times New Roman" w:cs="Times New Roman"/>
          <w:sz w:val="24"/>
          <w:szCs w:val="24"/>
          <w:lang w:eastAsia="ar-SA"/>
        </w:rPr>
        <w:t xml:space="preserve">%) was </w:t>
      </w:r>
      <w:r w:rsidRPr="00A16230">
        <w:rPr>
          <w:rFonts w:ascii="Times New Roman" w:hAnsi="Times New Roman" w:cs="Times New Roman"/>
          <w:sz w:val="24"/>
          <w:szCs w:val="24"/>
          <w:lang w:eastAsia="ar-SA"/>
        </w:rPr>
        <w:t xml:space="preserve"> greater than </w:t>
      </w:r>
      <w:r w:rsidR="0073453E">
        <w:rPr>
          <w:rFonts w:ascii="Times New Roman" w:hAnsi="Times New Roman" w:cs="Times New Roman"/>
          <w:sz w:val="24"/>
          <w:szCs w:val="24"/>
          <w:lang w:eastAsia="ar-SA"/>
        </w:rPr>
        <w:t xml:space="preserve">that </w:t>
      </w:r>
      <w:r w:rsidRPr="00A16230">
        <w:rPr>
          <w:rFonts w:ascii="Times New Roman" w:hAnsi="Times New Roman" w:cs="Times New Roman"/>
          <w:sz w:val="24"/>
          <w:szCs w:val="24"/>
          <w:lang w:eastAsia="ar-SA"/>
        </w:rPr>
        <w:t>among males (17.</w:t>
      </w:r>
      <w:r w:rsidR="00706FF5">
        <w:rPr>
          <w:rFonts w:ascii="Times New Roman" w:hAnsi="Times New Roman" w:cs="Times New Roman"/>
          <w:sz w:val="24"/>
          <w:szCs w:val="24"/>
          <w:lang w:eastAsia="ar-SA"/>
        </w:rPr>
        <w:t>0</w:t>
      </w:r>
      <w:r w:rsidRPr="00A16230">
        <w:rPr>
          <w:rFonts w:ascii="Times New Roman" w:hAnsi="Times New Roman" w:cs="Times New Roman"/>
          <w:sz w:val="24"/>
          <w:szCs w:val="24"/>
          <w:lang w:eastAsia="ar-SA"/>
        </w:rPr>
        <w:t>%).</w:t>
      </w:r>
    </w:p>
    <w:p w14:paraId="0D42C758" w14:textId="77777777" w:rsidR="004970D6"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rPr>
        <w:lastRenderedPageBreak/>
        <w:t>Participation Rate of Youth and Adults in Formal and Non-Formal Education and Training</w:t>
      </w:r>
      <w:r w:rsidRPr="00A16230">
        <w:rPr>
          <w:rFonts w:ascii="Arial" w:hAnsi="Arial"/>
          <w:b/>
          <w:bCs/>
          <w:vertAlign w:val="superscript"/>
        </w:rPr>
        <w:footnoteReference w:id="3"/>
      </w:r>
      <w:r w:rsidRPr="00A16230">
        <w:rPr>
          <w:rFonts w:ascii="Arial" w:hAnsi="Arial"/>
          <w:b/>
          <w:bCs/>
        </w:rPr>
        <w:t>by Sex, 202</w:t>
      </w:r>
      <w:r w:rsidR="000B58CE">
        <w:rPr>
          <w:rFonts w:ascii="Arial" w:hAnsi="Arial"/>
          <w:b/>
          <w:bCs/>
        </w:rPr>
        <w:t>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79B0672C" w14:textId="77777777" w:rsidTr="00335608">
        <w:tc>
          <w:tcPr>
            <w:tcW w:w="9286" w:type="dxa"/>
            <w:shd w:val="clear" w:color="auto" w:fill="auto"/>
          </w:tcPr>
          <w:p w14:paraId="55E62899"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Times New Roman" w:hAnsi="Times New Roman" w:cs="Times New Roman"/>
                <w:b/>
                <w:bCs/>
                <w:i/>
                <w:iCs/>
                <w:noProof/>
                <w:sz w:val="28"/>
                <w:szCs w:val="28"/>
              </w:rPr>
              <w:drawing>
                <wp:inline distT="0" distB="0" distL="0" distR="0" wp14:anchorId="1430B5CC" wp14:editId="2BBB1C64">
                  <wp:extent cx="5653405" cy="1812925"/>
                  <wp:effectExtent l="0" t="0" r="0" b="0"/>
                  <wp:docPr id="15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14:paraId="7F72EAE8" w14:textId="77777777" w:rsidR="00EC0053" w:rsidRPr="00A16230" w:rsidRDefault="00EC0053" w:rsidP="008B358C">
      <w:pPr>
        <w:bidi w:val="0"/>
        <w:spacing w:after="0" w:line="240" w:lineRule="auto"/>
        <w:ind w:left="-142" w:firstLine="142"/>
        <w:jc w:val="both"/>
        <w:rPr>
          <w:rFonts w:ascii="Arial" w:hAnsi="Arial"/>
          <w:sz w:val="23"/>
          <w:szCs w:val="23"/>
          <w:rtl/>
        </w:rPr>
      </w:pPr>
      <w:r w:rsidRPr="00A16230">
        <w:rPr>
          <w:rFonts w:ascii="Arial" w:hAnsi="Arial"/>
          <w:b/>
          <w:bCs/>
          <w:sz w:val="18"/>
          <w:szCs w:val="18"/>
        </w:rPr>
        <w:t xml:space="preserve">Source: Palestinian Central </w:t>
      </w:r>
      <w:r w:rsidR="000B58CE" w:rsidRPr="00A16230">
        <w:rPr>
          <w:rFonts w:ascii="Arial" w:hAnsi="Arial"/>
          <w:b/>
          <w:bCs/>
          <w:sz w:val="18"/>
          <w:szCs w:val="18"/>
        </w:rPr>
        <w:t>Bureau of</w:t>
      </w:r>
      <w:r w:rsidRPr="00A16230">
        <w:rPr>
          <w:rFonts w:ascii="Arial" w:hAnsi="Arial"/>
          <w:b/>
          <w:bCs/>
          <w:sz w:val="18"/>
          <w:szCs w:val="18"/>
        </w:rPr>
        <w:t xml:space="preserve"> Statistics, </w:t>
      </w:r>
      <w:r w:rsidR="00854E26">
        <w:rPr>
          <w:rFonts w:ascii="Arial" w:hAnsi="Arial"/>
          <w:sz w:val="18"/>
          <w:szCs w:val="18"/>
        </w:rPr>
        <w:t>Labour F</w:t>
      </w:r>
      <w:r w:rsidRPr="00A16230">
        <w:rPr>
          <w:rFonts w:ascii="Arial" w:hAnsi="Arial"/>
          <w:sz w:val="18"/>
          <w:szCs w:val="18"/>
        </w:rPr>
        <w:t xml:space="preserve">orce </w:t>
      </w:r>
      <w:r w:rsidR="00AC2E62" w:rsidRPr="00A16230">
        <w:rPr>
          <w:rFonts w:ascii="Arial" w:hAnsi="Arial"/>
          <w:sz w:val="18"/>
          <w:szCs w:val="18"/>
        </w:rPr>
        <w:t>surve</w:t>
      </w:r>
      <w:r w:rsidR="00AC2E62">
        <w:rPr>
          <w:rFonts w:ascii="Arial" w:hAnsi="Arial"/>
          <w:sz w:val="18"/>
          <w:szCs w:val="18"/>
        </w:rPr>
        <w:t>y</w:t>
      </w:r>
      <w:r w:rsidR="00AC2E62" w:rsidRPr="00A16230">
        <w:rPr>
          <w:rFonts w:ascii="Arial" w:hAnsi="Arial"/>
          <w:sz w:val="18"/>
          <w:szCs w:val="18"/>
        </w:rPr>
        <w:t xml:space="preserve"> Database</w:t>
      </w:r>
      <w:r w:rsidRPr="00A16230">
        <w:rPr>
          <w:rFonts w:ascii="Arial" w:hAnsi="Arial"/>
          <w:sz w:val="18"/>
          <w:szCs w:val="18"/>
        </w:rPr>
        <w:t>, 202</w:t>
      </w:r>
      <w:r w:rsidR="000B58CE">
        <w:rPr>
          <w:rFonts w:ascii="Arial" w:hAnsi="Arial"/>
          <w:sz w:val="18"/>
          <w:szCs w:val="18"/>
        </w:rPr>
        <w:t>1</w:t>
      </w:r>
      <w:r w:rsidRPr="00A16230">
        <w:rPr>
          <w:rFonts w:ascii="Arial" w:hAnsi="Arial"/>
          <w:sz w:val="18"/>
          <w:szCs w:val="18"/>
        </w:rPr>
        <w:t>. Ramallah-Palestine</w:t>
      </w:r>
    </w:p>
    <w:p w14:paraId="76AAC415" w14:textId="77777777" w:rsidR="00EC0053" w:rsidRPr="00A16230"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103158EF" w14:textId="77777777" w:rsidR="009D25D5" w:rsidRDefault="00EC0053" w:rsidP="00AF0C00">
      <w:pPr>
        <w:autoSpaceDE w:val="0"/>
        <w:autoSpaceDN w:val="0"/>
        <w:bidi w:val="0"/>
        <w:adjustRightInd w:val="0"/>
        <w:spacing w:after="0" w:line="240" w:lineRule="auto"/>
        <w:jc w:val="both"/>
        <w:rPr>
          <w:rFonts w:ascii="Times New Roman" w:hAnsi="Times New Roman" w:cs="Times New Roman"/>
          <w:sz w:val="16"/>
          <w:szCs w:val="16"/>
        </w:rPr>
      </w:pPr>
      <w:r w:rsidRPr="00A16230">
        <w:rPr>
          <w:rFonts w:ascii="Times New Roman" w:hAnsi="Times New Roman" w:cs="Times New Roman"/>
          <w:sz w:val="24"/>
          <w:szCs w:val="24"/>
        </w:rPr>
        <w:t xml:space="preserve">The participation rate in formal and non-formal education and training varies considerably between age groups; 15-24 years </w:t>
      </w:r>
      <w:r w:rsidR="0073453E">
        <w:rPr>
          <w:rFonts w:ascii="Times New Roman" w:hAnsi="Times New Roman" w:cs="Times New Roman"/>
          <w:sz w:val="24"/>
          <w:szCs w:val="24"/>
        </w:rPr>
        <w:t>demonstrates</w:t>
      </w:r>
      <w:r w:rsidRPr="00A16230">
        <w:rPr>
          <w:rFonts w:ascii="Times New Roman" w:hAnsi="Times New Roman" w:cs="Times New Roman"/>
          <w:sz w:val="24"/>
          <w:szCs w:val="24"/>
        </w:rPr>
        <w:t xml:space="preserve"> the highest rate, with 5</w:t>
      </w:r>
      <w:r w:rsidR="000B58CE">
        <w:rPr>
          <w:rFonts w:ascii="Times New Roman" w:hAnsi="Times New Roman" w:cs="Times New Roman"/>
          <w:sz w:val="24"/>
          <w:szCs w:val="24"/>
        </w:rPr>
        <w:t>5.1</w:t>
      </w:r>
      <w:r w:rsidRPr="00A16230">
        <w:rPr>
          <w:rFonts w:ascii="Times New Roman" w:hAnsi="Times New Roman" w:cs="Times New Roman"/>
          <w:sz w:val="24"/>
          <w:szCs w:val="24"/>
        </w:rPr>
        <w:t xml:space="preserve">%. It drops down at </w:t>
      </w:r>
      <w:r w:rsidR="000B58CE">
        <w:rPr>
          <w:rFonts w:ascii="Times New Roman" w:hAnsi="Times New Roman" w:cs="Times New Roman"/>
          <w:sz w:val="24"/>
          <w:szCs w:val="24"/>
        </w:rPr>
        <w:t>3.8</w:t>
      </w:r>
      <w:r w:rsidRPr="00A16230">
        <w:rPr>
          <w:rFonts w:ascii="Times New Roman" w:hAnsi="Times New Roman" w:cs="Times New Roman"/>
          <w:sz w:val="24"/>
          <w:szCs w:val="24"/>
        </w:rPr>
        <w:t>% in the age group 25-35.</w:t>
      </w:r>
    </w:p>
    <w:p w14:paraId="502D93AD" w14:textId="77777777" w:rsidR="00E02452" w:rsidRDefault="00E02452" w:rsidP="008C6258">
      <w:pPr>
        <w:tabs>
          <w:tab w:val="left" w:pos="9072"/>
        </w:tabs>
        <w:bidi w:val="0"/>
        <w:spacing w:after="0" w:line="240" w:lineRule="auto"/>
        <w:jc w:val="center"/>
        <w:rPr>
          <w:rFonts w:ascii="Arial" w:hAnsi="Arial"/>
          <w:b/>
          <w:bCs/>
        </w:rPr>
      </w:pPr>
    </w:p>
    <w:p w14:paraId="7F873F4B" w14:textId="77777777" w:rsidR="00EC0053" w:rsidRPr="00A16230" w:rsidRDefault="00EC0053" w:rsidP="00E02452">
      <w:pPr>
        <w:tabs>
          <w:tab w:val="left" w:pos="9072"/>
        </w:tabs>
        <w:bidi w:val="0"/>
        <w:spacing w:after="0" w:line="240" w:lineRule="auto"/>
        <w:jc w:val="center"/>
        <w:rPr>
          <w:rFonts w:ascii="Arial" w:hAnsi="Arial"/>
          <w:b/>
          <w:bCs/>
        </w:rPr>
      </w:pPr>
      <w:r w:rsidRPr="00A16230">
        <w:rPr>
          <w:rFonts w:ascii="Arial" w:hAnsi="Arial"/>
          <w:b/>
          <w:bCs/>
        </w:rPr>
        <w:t>Participation Rate of Youth and Adults in Formal and Non-Formal Education and Training</w:t>
      </w:r>
      <w:r w:rsidRPr="00A16230">
        <w:rPr>
          <w:rFonts w:ascii="Arial" w:hAnsi="Arial"/>
          <w:b/>
          <w:bCs/>
          <w:vertAlign w:val="superscript"/>
        </w:rPr>
        <w:footnoteReference w:id="4"/>
      </w:r>
      <w:r w:rsidRPr="00A16230">
        <w:rPr>
          <w:rFonts w:ascii="Arial" w:hAnsi="Arial"/>
          <w:b/>
          <w:bCs/>
        </w:rPr>
        <w:t xml:space="preserve"> by Age Group, 202</w:t>
      </w:r>
      <w:r w:rsidR="000B58CE">
        <w:rPr>
          <w:rFonts w:ascii="Arial" w:hAnsi="Arial"/>
          <w:b/>
          <w:bCs/>
        </w:rPr>
        <w:t>1</w:t>
      </w:r>
      <w:r w:rsidRPr="00A16230">
        <w:rPr>
          <w:rFonts w:ascii="Arial" w:hAnsi="Arial"/>
          <w:b/>
          <w:bCs/>
        </w:rPr>
        <w:t xml:space="preserve"> (%)</w:t>
      </w:r>
    </w:p>
    <w:tbl>
      <w:tblPr>
        <w:tblW w:w="9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4"/>
      </w:tblGrid>
      <w:tr w:rsidR="00EC0053" w:rsidRPr="00A16230" w14:paraId="04A59072" w14:textId="77777777" w:rsidTr="00957126">
        <w:trPr>
          <w:trHeight w:val="3464"/>
        </w:trPr>
        <w:tc>
          <w:tcPr>
            <w:tcW w:w="9134" w:type="dxa"/>
            <w:shd w:val="clear" w:color="auto" w:fill="auto"/>
          </w:tcPr>
          <w:p w14:paraId="02940C39"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Times New Roman" w:hAnsi="Times New Roman" w:cs="Times New Roman"/>
                <w:b/>
                <w:bCs/>
                <w:noProof/>
                <w:sz w:val="24"/>
                <w:szCs w:val="24"/>
              </w:rPr>
              <w:drawing>
                <wp:inline distT="0" distB="0" distL="0" distR="0" wp14:anchorId="443CF488" wp14:editId="717DD4D4">
                  <wp:extent cx="5521325" cy="2066925"/>
                  <wp:effectExtent l="0" t="0" r="3175" b="0"/>
                  <wp:docPr id="15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p w14:paraId="5EA31F8F" w14:textId="77777777" w:rsidR="00EC0053" w:rsidRPr="00A16230" w:rsidRDefault="00EC0053" w:rsidP="003B4FB7">
      <w:pPr>
        <w:bidi w:val="0"/>
        <w:spacing w:after="0" w:line="240" w:lineRule="auto"/>
        <w:jc w:val="both"/>
        <w:rPr>
          <w:rFonts w:ascii="Arial" w:hAnsi="Arial"/>
          <w:b/>
          <w:bCs/>
          <w:sz w:val="18"/>
          <w:szCs w:val="18"/>
        </w:rPr>
      </w:pPr>
      <w:r w:rsidRPr="00A16230">
        <w:rPr>
          <w:rFonts w:ascii="Arial" w:hAnsi="Arial"/>
          <w:b/>
          <w:bCs/>
          <w:sz w:val="18"/>
          <w:szCs w:val="18"/>
        </w:rPr>
        <w:t xml:space="preserve">Source: Palestinian Central Bureau of Statistics, </w:t>
      </w:r>
      <w:r w:rsidR="003B4FB7">
        <w:rPr>
          <w:rFonts w:ascii="Arial" w:hAnsi="Arial"/>
          <w:sz w:val="18"/>
          <w:szCs w:val="18"/>
        </w:rPr>
        <w:t>Labour F</w:t>
      </w:r>
      <w:r w:rsidR="003B4FB7" w:rsidRPr="00A16230">
        <w:rPr>
          <w:rFonts w:ascii="Arial" w:hAnsi="Arial"/>
          <w:sz w:val="18"/>
          <w:szCs w:val="18"/>
        </w:rPr>
        <w:t xml:space="preserve">orce </w:t>
      </w:r>
      <w:r w:rsidR="00AC2E62" w:rsidRPr="00A16230">
        <w:rPr>
          <w:rFonts w:ascii="Arial" w:hAnsi="Arial"/>
          <w:sz w:val="18"/>
          <w:szCs w:val="18"/>
        </w:rPr>
        <w:t>surve</w:t>
      </w:r>
      <w:r w:rsidR="00AC2E62">
        <w:rPr>
          <w:rFonts w:ascii="Arial" w:hAnsi="Arial"/>
          <w:sz w:val="18"/>
          <w:szCs w:val="18"/>
        </w:rPr>
        <w:t>y</w:t>
      </w:r>
      <w:r w:rsidR="00AC2E62" w:rsidRPr="00A16230">
        <w:rPr>
          <w:rFonts w:ascii="Arial" w:hAnsi="Arial"/>
          <w:sz w:val="18"/>
          <w:szCs w:val="18"/>
        </w:rPr>
        <w:t xml:space="preserve"> Database</w:t>
      </w:r>
      <w:r w:rsidRPr="00A16230">
        <w:rPr>
          <w:rFonts w:ascii="Arial" w:hAnsi="Arial"/>
          <w:sz w:val="18"/>
          <w:szCs w:val="18"/>
        </w:rPr>
        <w:t>, 202</w:t>
      </w:r>
      <w:r w:rsidR="000B58CE">
        <w:rPr>
          <w:rFonts w:ascii="Arial" w:hAnsi="Arial"/>
          <w:sz w:val="18"/>
          <w:szCs w:val="18"/>
        </w:rPr>
        <w:t>1</w:t>
      </w:r>
      <w:r w:rsidRPr="00A16230">
        <w:rPr>
          <w:rFonts w:ascii="Arial" w:hAnsi="Arial"/>
          <w:sz w:val="18"/>
          <w:szCs w:val="18"/>
        </w:rPr>
        <w:t>. Ramallah-Palestine</w:t>
      </w:r>
    </w:p>
    <w:p w14:paraId="32FE9FFC" w14:textId="77777777" w:rsidR="00EC0053" w:rsidRPr="00A16230" w:rsidRDefault="00EC0053" w:rsidP="008C6258">
      <w:pPr>
        <w:bidi w:val="0"/>
        <w:spacing w:after="0" w:line="240" w:lineRule="auto"/>
        <w:jc w:val="both"/>
        <w:rPr>
          <w:rFonts w:ascii="Times New Roman" w:hAnsi="Times New Roman" w:cs="Times New Roman"/>
          <w:b/>
          <w:bCs/>
          <w:sz w:val="24"/>
          <w:szCs w:val="24"/>
        </w:rPr>
      </w:pPr>
    </w:p>
    <w:p w14:paraId="6D4C5871" w14:textId="77777777" w:rsidR="003B4FB7" w:rsidRDefault="00EC0053" w:rsidP="003E7D09">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4.4.1 Proportion of youth and adults with information and communications technology</w:t>
      </w:r>
      <w:r w:rsidR="003E7D09">
        <w:rPr>
          <w:rFonts w:ascii="Times New Roman" w:hAnsi="Times New Roman" w:cs="Times New Roman"/>
          <w:b/>
          <w:bCs/>
          <w:i/>
          <w:iCs/>
          <w:sz w:val="24"/>
          <w:szCs w:val="24"/>
        </w:rPr>
        <w:t xml:space="preserve"> (ICT) skills, by type of skill</w:t>
      </w:r>
    </w:p>
    <w:p w14:paraId="24E9D559" w14:textId="77777777" w:rsidR="0080485F" w:rsidRPr="003E7D09" w:rsidRDefault="0080485F" w:rsidP="0080485F">
      <w:pPr>
        <w:autoSpaceDE w:val="0"/>
        <w:autoSpaceDN w:val="0"/>
        <w:bidi w:val="0"/>
        <w:adjustRightInd w:val="0"/>
        <w:spacing w:after="0" w:line="240" w:lineRule="auto"/>
        <w:jc w:val="both"/>
        <w:rPr>
          <w:rFonts w:ascii="Times New Roman" w:hAnsi="Times New Roman" w:cs="Times New Roman"/>
          <w:b/>
          <w:bCs/>
          <w:i/>
          <w:iCs/>
          <w:sz w:val="24"/>
          <w:szCs w:val="24"/>
        </w:rPr>
      </w:pPr>
    </w:p>
    <w:p w14:paraId="39AA7932" w14:textId="77777777" w:rsidR="00EC0053" w:rsidRPr="00A16230" w:rsidRDefault="00EC0053" w:rsidP="003B4FB7">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In 201</w:t>
      </w:r>
      <w:r w:rsidRPr="00A16230">
        <w:rPr>
          <w:rFonts w:ascii="Times New Roman" w:hAnsi="Times New Roman" w:cs="Times New Roman" w:hint="cs"/>
          <w:sz w:val="24"/>
          <w:szCs w:val="24"/>
          <w:rtl/>
        </w:rPr>
        <w:t>9</w:t>
      </w:r>
      <w:r w:rsidRPr="00A16230">
        <w:rPr>
          <w:rFonts w:ascii="Times New Roman" w:hAnsi="Times New Roman" w:cs="Times New Roman"/>
          <w:sz w:val="24"/>
          <w:szCs w:val="24"/>
        </w:rPr>
        <w:t xml:space="preserve">, the highest ICT </w:t>
      </w:r>
      <w:r w:rsidR="000B58CE" w:rsidRPr="00A16230">
        <w:rPr>
          <w:rFonts w:ascii="Times New Roman" w:hAnsi="Times New Roman" w:cs="Times New Roman"/>
          <w:sz w:val="24"/>
          <w:szCs w:val="24"/>
        </w:rPr>
        <w:t>skill, which</w:t>
      </w:r>
      <w:r w:rsidRPr="00A16230">
        <w:rPr>
          <w:rFonts w:ascii="Times New Roman" w:hAnsi="Times New Roman" w:cs="Times New Roman"/>
          <w:sz w:val="24"/>
          <w:szCs w:val="24"/>
        </w:rPr>
        <w:t xml:space="preserve"> youth and adults had, was "</w:t>
      </w:r>
      <w:r w:rsidR="00CC605A">
        <w:rPr>
          <w:rFonts w:ascii="Times New Roman" w:hAnsi="Times New Roman" w:cs="Times New Roman"/>
          <w:sz w:val="24"/>
          <w:szCs w:val="24"/>
        </w:rPr>
        <w:t>c</w:t>
      </w:r>
      <w:r w:rsidRPr="00A16230">
        <w:rPr>
          <w:rFonts w:ascii="Times New Roman" w:hAnsi="Times New Roman" w:cs="Times New Roman"/>
          <w:sz w:val="24"/>
          <w:szCs w:val="24"/>
        </w:rPr>
        <w:t>op</w:t>
      </w:r>
      <w:r w:rsidR="00664619">
        <w:rPr>
          <w:rFonts w:ascii="Times New Roman" w:hAnsi="Times New Roman" w:cs="Times New Roman"/>
          <w:sz w:val="24"/>
          <w:szCs w:val="24"/>
        </w:rPr>
        <w:t>y</w:t>
      </w:r>
      <w:r w:rsidRPr="00A16230">
        <w:rPr>
          <w:rFonts w:ascii="Times New Roman" w:hAnsi="Times New Roman" w:cs="Times New Roman"/>
          <w:sz w:val="24"/>
          <w:szCs w:val="24"/>
        </w:rPr>
        <w:t>ing and moving a file or folder</w:t>
      </w:r>
      <w:r w:rsidR="00664619">
        <w:rPr>
          <w:rFonts w:ascii="Times New Roman" w:hAnsi="Times New Roman" w:cs="Times New Roman"/>
          <w:sz w:val="24"/>
          <w:szCs w:val="24"/>
        </w:rPr>
        <w:t>,</w:t>
      </w:r>
      <w:r w:rsidRPr="00A16230">
        <w:rPr>
          <w:rFonts w:ascii="Times New Roman" w:hAnsi="Times New Roman" w:cs="Times New Roman"/>
          <w:sz w:val="24"/>
          <w:szCs w:val="24"/>
        </w:rPr>
        <w:t xml:space="preserve">" scoring 70.9% followed by </w:t>
      </w:r>
      <w:r w:rsidR="00664619">
        <w:rPr>
          <w:rFonts w:ascii="Times New Roman" w:hAnsi="Times New Roman" w:cs="Times New Roman"/>
          <w:sz w:val="24"/>
          <w:szCs w:val="24"/>
        </w:rPr>
        <w:t>the</w:t>
      </w:r>
      <w:r w:rsidRPr="00A16230">
        <w:rPr>
          <w:rFonts w:ascii="Times New Roman" w:hAnsi="Times New Roman" w:cs="Times New Roman"/>
          <w:sz w:val="24"/>
          <w:szCs w:val="24"/>
        </w:rPr>
        <w:t xml:space="preserve"> "</w:t>
      </w:r>
      <w:r w:rsidR="00664619">
        <w:rPr>
          <w:rFonts w:ascii="Times New Roman" w:hAnsi="Times New Roman" w:cs="Times New Roman"/>
          <w:sz w:val="24"/>
          <w:szCs w:val="24"/>
        </w:rPr>
        <w:t>u</w:t>
      </w:r>
      <w:r w:rsidRPr="00A16230">
        <w:rPr>
          <w:rFonts w:ascii="Times New Roman" w:hAnsi="Times New Roman" w:cs="Times New Roman"/>
          <w:sz w:val="24"/>
          <w:szCs w:val="24"/>
        </w:rPr>
        <w:t>sing copy and paste tools to duplicate or move information within a document" scoring 67.0%. The lowest ICT skill which youth and adults had was "</w:t>
      </w:r>
      <w:r w:rsidR="00DB052B">
        <w:rPr>
          <w:rFonts w:ascii="Times New Roman" w:hAnsi="Times New Roman" w:cs="Times New Roman"/>
          <w:sz w:val="24"/>
          <w:szCs w:val="24"/>
        </w:rPr>
        <w:t>w</w:t>
      </w:r>
      <w:r w:rsidRPr="00A16230">
        <w:rPr>
          <w:rFonts w:ascii="Times New Roman" w:hAnsi="Times New Roman" w:cs="Times New Roman"/>
          <w:sz w:val="24"/>
          <w:szCs w:val="24"/>
        </w:rPr>
        <w:t>riting a computer program using a specialized programming language" scoring 14.6%.</w:t>
      </w:r>
    </w:p>
    <w:p w14:paraId="5BF8400A" w14:textId="77777777" w:rsidR="0022192B" w:rsidRDefault="0022192B" w:rsidP="008C6258">
      <w:pPr>
        <w:tabs>
          <w:tab w:val="left" w:pos="9072"/>
        </w:tabs>
        <w:bidi w:val="0"/>
        <w:spacing w:after="0" w:line="240" w:lineRule="auto"/>
        <w:jc w:val="center"/>
        <w:rPr>
          <w:rFonts w:ascii="Arial" w:hAnsi="Arial"/>
          <w:b/>
          <w:bCs/>
        </w:rPr>
      </w:pPr>
    </w:p>
    <w:p w14:paraId="5DBDA768" w14:textId="77777777" w:rsidR="00E02452" w:rsidRDefault="00E02452" w:rsidP="00E02452">
      <w:pPr>
        <w:tabs>
          <w:tab w:val="left" w:pos="9072"/>
        </w:tabs>
        <w:bidi w:val="0"/>
        <w:spacing w:after="0" w:line="240" w:lineRule="auto"/>
        <w:jc w:val="center"/>
        <w:rPr>
          <w:rFonts w:ascii="Arial" w:hAnsi="Arial"/>
          <w:b/>
          <w:bCs/>
        </w:rPr>
      </w:pPr>
    </w:p>
    <w:p w14:paraId="4FCC3093" w14:textId="77777777" w:rsidR="00E02452" w:rsidRDefault="00E02452" w:rsidP="00E02452">
      <w:pPr>
        <w:tabs>
          <w:tab w:val="left" w:pos="9072"/>
        </w:tabs>
        <w:bidi w:val="0"/>
        <w:spacing w:after="0" w:line="240" w:lineRule="auto"/>
        <w:jc w:val="center"/>
        <w:rPr>
          <w:rFonts w:ascii="Arial" w:hAnsi="Arial"/>
          <w:b/>
          <w:bCs/>
        </w:rPr>
      </w:pPr>
    </w:p>
    <w:p w14:paraId="6770518A" w14:textId="77777777" w:rsidR="00E02452" w:rsidRDefault="00E02452" w:rsidP="00E02452">
      <w:pPr>
        <w:tabs>
          <w:tab w:val="left" w:pos="9072"/>
        </w:tabs>
        <w:bidi w:val="0"/>
        <w:spacing w:after="0" w:line="240" w:lineRule="auto"/>
        <w:jc w:val="center"/>
        <w:rPr>
          <w:rFonts w:ascii="Arial" w:hAnsi="Arial"/>
          <w:b/>
          <w:bCs/>
        </w:rPr>
      </w:pPr>
    </w:p>
    <w:p w14:paraId="5AF508AD" w14:textId="77777777" w:rsidR="00E02452" w:rsidRDefault="00E02452" w:rsidP="00E02452">
      <w:pPr>
        <w:tabs>
          <w:tab w:val="left" w:pos="9072"/>
        </w:tabs>
        <w:bidi w:val="0"/>
        <w:spacing w:after="0" w:line="240" w:lineRule="auto"/>
        <w:jc w:val="center"/>
        <w:rPr>
          <w:rFonts w:ascii="Arial" w:hAnsi="Arial"/>
          <w:b/>
          <w:bCs/>
        </w:rPr>
      </w:pPr>
    </w:p>
    <w:p w14:paraId="055AC41F"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rPr>
        <w:lastRenderedPageBreak/>
        <w:t>Proportion of Youth and Adults with Information and Communications Technology (ICT) Skills by Type of Skill, 201</w:t>
      </w:r>
      <w:r w:rsidRPr="00A16230">
        <w:rPr>
          <w:rFonts w:ascii="Arial" w:hAnsi="Arial" w:hint="cs"/>
          <w:b/>
          <w:bCs/>
          <w:rtl/>
        </w:rPr>
        <w:t>9</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74F9F1CA" w14:textId="77777777" w:rsidTr="00335608">
        <w:tc>
          <w:tcPr>
            <w:tcW w:w="9286" w:type="dxa"/>
            <w:shd w:val="clear" w:color="auto" w:fill="auto"/>
          </w:tcPr>
          <w:p w14:paraId="062282A0"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Times New Roman" w:hAnsi="Times New Roman" w:cs="Times New Roman"/>
                <w:noProof/>
                <w:sz w:val="23"/>
                <w:szCs w:val="23"/>
              </w:rPr>
              <w:drawing>
                <wp:inline distT="0" distB="0" distL="0" distR="0" wp14:anchorId="035AB78A" wp14:editId="4A3FD99C">
                  <wp:extent cx="5764530" cy="3100705"/>
                  <wp:effectExtent l="0" t="0" r="0" b="4445"/>
                  <wp:docPr id="4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33BDBF08" w14:textId="77777777" w:rsidR="00EC0053" w:rsidRPr="00A16230" w:rsidRDefault="00EC0053" w:rsidP="008B358C">
      <w:pPr>
        <w:pStyle w:val="BodyText"/>
        <w:bidi w:val="0"/>
        <w:ind w:left="720" w:hanging="720"/>
        <w:rPr>
          <w:rFonts w:ascii="Arial" w:hAnsi="Arial" w:cs="Arial"/>
          <w:i/>
          <w:iCs/>
          <w:szCs w:val="24"/>
        </w:rPr>
      </w:pPr>
      <w:r w:rsidRPr="00A16230">
        <w:rPr>
          <w:rFonts w:ascii="Arial" w:hAnsi="Arial" w:cs="Arial"/>
          <w:b/>
          <w:bCs/>
          <w:sz w:val="18"/>
          <w:szCs w:val="18"/>
        </w:rPr>
        <w:t>Source: Palestinian Central Bureau of Statistics</w:t>
      </w:r>
      <w:r w:rsidRPr="00A16230">
        <w:rPr>
          <w:rFonts w:ascii="Arial" w:hAnsi="Arial" w:cs="Arial"/>
          <w:sz w:val="18"/>
          <w:szCs w:val="18"/>
        </w:rPr>
        <w:t>. Household Survey on Information and Communications Technology, 2019: Main Findings Report.  Ramallah - Palestine.</w:t>
      </w:r>
    </w:p>
    <w:p w14:paraId="11565812" w14:textId="77777777" w:rsidR="00EC0053" w:rsidRPr="00A16230" w:rsidRDefault="00EC0053" w:rsidP="008C6258">
      <w:pPr>
        <w:pStyle w:val="BodyText"/>
        <w:rPr>
          <w:i/>
          <w:iCs/>
        </w:rPr>
      </w:pPr>
    </w:p>
    <w:p w14:paraId="387D6CED" w14:textId="77777777" w:rsidR="00EC0053" w:rsidRDefault="00EC0053" w:rsidP="008C6258">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In all ICT skills, the proportion of males with ICT skill is greater than that of females with the same skill.</w:t>
      </w:r>
    </w:p>
    <w:p w14:paraId="3EC89764" w14:textId="77777777" w:rsidR="00EC0053" w:rsidRPr="00A16230" w:rsidRDefault="00EC0053" w:rsidP="008C6258">
      <w:pPr>
        <w:autoSpaceDE w:val="0"/>
        <w:autoSpaceDN w:val="0"/>
        <w:bidi w:val="0"/>
        <w:adjustRightInd w:val="0"/>
        <w:spacing w:after="0" w:line="240" w:lineRule="auto"/>
        <w:jc w:val="both"/>
        <w:rPr>
          <w:rFonts w:ascii="Times New Roman" w:hAnsi="Times New Roman" w:cs="Times New Roman"/>
          <w:sz w:val="16"/>
          <w:szCs w:val="16"/>
        </w:rPr>
      </w:pPr>
    </w:p>
    <w:p w14:paraId="3064A242"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rPr>
        <w:t>Proportion of Youth and Adults with Information and Communications Technology (ICT) Skills by Type of Skill and Sex, 201</w:t>
      </w:r>
      <w:r w:rsidRPr="00A16230">
        <w:rPr>
          <w:rFonts w:ascii="Arial" w:hAnsi="Arial" w:hint="cs"/>
          <w:b/>
          <w:bCs/>
          <w:rtl/>
        </w:rPr>
        <w:t>9</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79091664" w14:textId="77777777" w:rsidTr="00335608">
        <w:tc>
          <w:tcPr>
            <w:tcW w:w="9286" w:type="dxa"/>
            <w:shd w:val="clear" w:color="auto" w:fill="auto"/>
          </w:tcPr>
          <w:p w14:paraId="1FB18A08" w14:textId="77777777" w:rsidR="00EC0053" w:rsidRPr="00ED650C" w:rsidRDefault="00EC0053" w:rsidP="008C6258">
            <w:pPr>
              <w:bidi w:val="0"/>
              <w:spacing w:after="0" w:line="240" w:lineRule="auto"/>
              <w:jc w:val="center"/>
              <w:rPr>
                <w:rFonts w:ascii="Arial" w:hAnsi="Arial"/>
                <w:b/>
                <w:bCs/>
              </w:rPr>
            </w:pPr>
            <w:r w:rsidRPr="00A16230">
              <w:rPr>
                <w:rFonts w:ascii="Times New Roman" w:hAnsi="Times New Roman" w:cs="Times New Roman"/>
                <w:noProof/>
                <w:sz w:val="23"/>
                <w:szCs w:val="23"/>
              </w:rPr>
              <w:drawing>
                <wp:anchor distT="0" distB="0" distL="114300" distR="114300" simplePos="0" relativeHeight="251662848" behindDoc="0" locked="0" layoutInCell="1" allowOverlap="1" wp14:anchorId="0E8C2385" wp14:editId="313B63BC">
                  <wp:simplePos x="0" y="0"/>
                  <wp:positionH relativeFrom="column">
                    <wp:posOffset>52070</wp:posOffset>
                  </wp:positionH>
                  <wp:positionV relativeFrom="paragraph">
                    <wp:posOffset>0</wp:posOffset>
                  </wp:positionV>
                  <wp:extent cx="5653405" cy="2838450"/>
                  <wp:effectExtent l="0" t="0" r="0" b="0"/>
                  <wp:wrapThrough wrapText="bothSides">
                    <wp:wrapPolygon edited="0">
                      <wp:start x="10627" y="0"/>
                      <wp:lineTo x="2111" y="1595"/>
                      <wp:lineTo x="2111" y="2464"/>
                      <wp:lineTo x="4658" y="2609"/>
                      <wp:lineTo x="801" y="3479"/>
                      <wp:lineTo x="801" y="4784"/>
                      <wp:lineTo x="1383" y="7103"/>
                      <wp:lineTo x="0" y="8263"/>
                      <wp:lineTo x="0" y="12612"/>
                      <wp:lineTo x="146" y="14352"/>
                      <wp:lineTo x="1820" y="16381"/>
                      <wp:lineTo x="2038" y="16961"/>
                      <wp:lineTo x="8734" y="18701"/>
                      <wp:lineTo x="4804" y="18701"/>
                      <wp:lineTo x="4804" y="19570"/>
                      <wp:lineTo x="10699" y="19860"/>
                      <wp:lineTo x="10990" y="19860"/>
                      <wp:lineTo x="21471" y="19136"/>
                      <wp:lineTo x="21471" y="17251"/>
                      <wp:lineTo x="20889" y="16381"/>
                      <wp:lineTo x="19725" y="16381"/>
                      <wp:lineTo x="20525" y="14787"/>
                      <wp:lineTo x="20380" y="14352"/>
                      <wp:lineTo x="18269" y="14062"/>
                      <wp:lineTo x="19797" y="12902"/>
                      <wp:lineTo x="19361" y="11742"/>
                      <wp:lineTo x="10990" y="11742"/>
                      <wp:lineTo x="17468" y="11017"/>
                      <wp:lineTo x="17468" y="9858"/>
                      <wp:lineTo x="17250" y="8553"/>
                      <wp:lineTo x="15940" y="7103"/>
                      <wp:lineTo x="15285" y="4784"/>
                      <wp:lineTo x="20161" y="4784"/>
                      <wp:lineTo x="21471" y="4349"/>
                      <wp:lineTo x="21326" y="0"/>
                      <wp:lineTo x="10627" y="0"/>
                    </wp:wrapPolygon>
                  </wp:wrapThrough>
                  <wp:docPr id="4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anchor>
              </w:drawing>
            </w:r>
          </w:p>
        </w:tc>
      </w:tr>
    </w:tbl>
    <w:p w14:paraId="6CACF116" w14:textId="77777777" w:rsidR="00EC0053" w:rsidRPr="00A16230" w:rsidRDefault="00EC0053" w:rsidP="00E74AED">
      <w:pPr>
        <w:pStyle w:val="BodyText"/>
        <w:bidi w:val="0"/>
        <w:ind w:left="720" w:hanging="720"/>
        <w:rPr>
          <w:rFonts w:ascii="Arial" w:hAnsi="Arial" w:cs="Arial"/>
          <w:i/>
          <w:iCs/>
          <w:szCs w:val="24"/>
        </w:rPr>
      </w:pPr>
      <w:r w:rsidRPr="00A16230">
        <w:rPr>
          <w:rFonts w:ascii="Arial" w:hAnsi="Arial" w:cs="Arial"/>
          <w:b/>
          <w:bCs/>
          <w:sz w:val="18"/>
          <w:szCs w:val="18"/>
        </w:rPr>
        <w:t>Source: Palestinian Central Bureau of Statistics</w:t>
      </w:r>
      <w:r w:rsidRPr="00A16230">
        <w:rPr>
          <w:rFonts w:ascii="Arial" w:hAnsi="Arial" w:cs="Arial"/>
          <w:sz w:val="18"/>
          <w:szCs w:val="18"/>
        </w:rPr>
        <w:t>. Household Survey on Information and Communications Technology, 2019: Main Findings Report.  Ramallah - Palestine.</w:t>
      </w:r>
    </w:p>
    <w:p w14:paraId="41A9D573" w14:textId="77777777" w:rsidR="00877949" w:rsidRDefault="00877949" w:rsidP="00877949">
      <w:pPr>
        <w:bidi w:val="0"/>
        <w:spacing w:after="0" w:line="240" w:lineRule="auto"/>
        <w:jc w:val="both"/>
        <w:rPr>
          <w:rFonts w:ascii="Times New Roman" w:hAnsi="Times New Roman" w:cs="Times New Roman"/>
          <w:sz w:val="24"/>
          <w:szCs w:val="24"/>
        </w:rPr>
      </w:pPr>
    </w:p>
    <w:p w14:paraId="2B6E6B61" w14:textId="77777777" w:rsidR="00E02452" w:rsidRPr="00267BC4" w:rsidRDefault="00704723" w:rsidP="00E02452">
      <w:pPr>
        <w:bidi w:val="0"/>
        <w:spacing w:after="0" w:line="240" w:lineRule="auto"/>
        <w:jc w:val="both"/>
        <w:rPr>
          <w:rFonts w:asciiTheme="majorBidi" w:hAnsiTheme="majorBidi" w:cstheme="majorBidi"/>
          <w:b/>
          <w:bCs/>
          <w:i/>
          <w:iCs/>
          <w:sz w:val="24"/>
          <w:szCs w:val="24"/>
        </w:rPr>
      </w:pPr>
      <w:r w:rsidRPr="00267BC4">
        <w:rPr>
          <w:rFonts w:asciiTheme="majorBidi" w:hAnsiTheme="majorBidi" w:cstheme="majorBidi"/>
          <w:b/>
          <w:bCs/>
          <w:i/>
          <w:iCs/>
          <w:sz w:val="24"/>
          <w:szCs w:val="24"/>
        </w:rPr>
        <w:t>Indicator 4.5.1 Adjusted net attendance ratio by sex, locality type and wealth index quintile</w:t>
      </w:r>
    </w:p>
    <w:p w14:paraId="461A3078" w14:textId="77777777" w:rsidR="00877949" w:rsidRPr="00267BC4" w:rsidRDefault="00877949" w:rsidP="00877949">
      <w:pPr>
        <w:bidi w:val="0"/>
        <w:spacing w:after="0" w:line="240" w:lineRule="auto"/>
        <w:jc w:val="both"/>
        <w:rPr>
          <w:rFonts w:asciiTheme="majorBidi" w:hAnsiTheme="majorBidi" w:cstheme="majorBidi"/>
          <w:b/>
          <w:bCs/>
          <w:i/>
          <w:iCs/>
          <w:sz w:val="24"/>
          <w:szCs w:val="24"/>
        </w:rPr>
      </w:pPr>
    </w:p>
    <w:p w14:paraId="75C24953" w14:textId="77777777" w:rsidR="00E02452" w:rsidRPr="00267BC4" w:rsidRDefault="00704723" w:rsidP="00C73B68">
      <w:pPr>
        <w:bidi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 xml:space="preserve">Adjusted net attendance ratio in basic stage </w:t>
      </w:r>
      <w:r w:rsidR="00C73B68" w:rsidRPr="00267BC4">
        <w:rPr>
          <w:rFonts w:ascii="Times New Roman" w:hAnsi="Times New Roman" w:cs="Times New Roman"/>
          <w:sz w:val="24"/>
          <w:szCs w:val="24"/>
        </w:rPr>
        <w:t>1.03</w:t>
      </w:r>
      <w:r w:rsidRPr="00267BC4">
        <w:rPr>
          <w:rFonts w:ascii="Times New Roman" w:hAnsi="Times New Roman" w:cs="Times New Roman"/>
          <w:sz w:val="24"/>
          <w:szCs w:val="24"/>
        </w:rPr>
        <w:t xml:space="preserve"> in Palestine</w:t>
      </w:r>
      <w:r w:rsidR="00080FA7" w:rsidRPr="00267BC4">
        <w:rPr>
          <w:rFonts w:ascii="Times New Roman" w:hAnsi="Times New Roman" w:cs="Times New Roman"/>
          <w:sz w:val="24"/>
          <w:szCs w:val="24"/>
        </w:rPr>
        <w:t xml:space="preserve"> and adjusted net attendance ratio in secondary stage</w:t>
      </w:r>
      <w:r w:rsidR="00C73B68" w:rsidRPr="00267BC4">
        <w:rPr>
          <w:rFonts w:ascii="Times New Roman" w:hAnsi="Times New Roman" w:cs="Times New Roman"/>
          <w:sz w:val="24"/>
          <w:szCs w:val="24"/>
        </w:rPr>
        <w:t>1.3</w:t>
      </w:r>
      <w:r w:rsidR="00080FA7" w:rsidRPr="00267BC4">
        <w:rPr>
          <w:rFonts w:ascii="Times New Roman" w:hAnsi="Times New Roman" w:cs="Times New Roman"/>
          <w:sz w:val="24"/>
          <w:szCs w:val="24"/>
        </w:rPr>
        <w:t xml:space="preserve"> in the period 2019/2020.</w:t>
      </w:r>
    </w:p>
    <w:p w14:paraId="3983FE46" w14:textId="77777777" w:rsidR="00267BC4" w:rsidRDefault="00267BC4" w:rsidP="00C73B68">
      <w:pPr>
        <w:autoSpaceDE w:val="0"/>
        <w:autoSpaceDN w:val="0"/>
        <w:bidi w:val="0"/>
        <w:adjustRightInd w:val="0"/>
        <w:spacing w:after="0" w:line="240" w:lineRule="auto"/>
        <w:jc w:val="center"/>
        <w:rPr>
          <w:rFonts w:ascii="Times New Roman" w:hAnsi="Times New Roman" w:cs="Times New Roman"/>
          <w:sz w:val="24"/>
          <w:szCs w:val="24"/>
        </w:rPr>
      </w:pPr>
    </w:p>
    <w:p w14:paraId="17BE867E" w14:textId="77777777" w:rsidR="00267BC4" w:rsidRDefault="00267BC4" w:rsidP="00267BC4">
      <w:pPr>
        <w:autoSpaceDE w:val="0"/>
        <w:autoSpaceDN w:val="0"/>
        <w:bidi w:val="0"/>
        <w:adjustRightInd w:val="0"/>
        <w:spacing w:after="0" w:line="240" w:lineRule="auto"/>
        <w:jc w:val="center"/>
        <w:rPr>
          <w:rFonts w:asciiTheme="minorBidi" w:hAnsiTheme="minorBidi" w:cstheme="minorBidi"/>
          <w:b/>
          <w:bCs/>
        </w:rPr>
      </w:pPr>
    </w:p>
    <w:p w14:paraId="033A590F" w14:textId="77777777" w:rsidR="00E41422" w:rsidRPr="00E93C76" w:rsidRDefault="00E41422" w:rsidP="00267BC4">
      <w:pPr>
        <w:autoSpaceDE w:val="0"/>
        <w:autoSpaceDN w:val="0"/>
        <w:bidi w:val="0"/>
        <w:adjustRightInd w:val="0"/>
        <w:spacing w:after="0" w:line="240" w:lineRule="auto"/>
        <w:jc w:val="center"/>
        <w:rPr>
          <w:rFonts w:asciiTheme="minorBidi" w:hAnsiTheme="minorBidi" w:cstheme="minorBidi"/>
          <w:b/>
          <w:bCs/>
        </w:rPr>
      </w:pPr>
      <w:r w:rsidRPr="00267BC4">
        <w:rPr>
          <w:rFonts w:asciiTheme="minorBidi" w:hAnsiTheme="minorBidi" w:cstheme="minorBidi"/>
          <w:b/>
          <w:bCs/>
        </w:rPr>
        <w:lastRenderedPageBreak/>
        <w:t xml:space="preserve">Adjusted </w:t>
      </w:r>
      <w:r w:rsidR="00DB052B" w:rsidRPr="00267BC4">
        <w:rPr>
          <w:rFonts w:asciiTheme="minorBidi" w:hAnsiTheme="minorBidi" w:cstheme="minorBidi"/>
          <w:b/>
          <w:bCs/>
        </w:rPr>
        <w:t>N</w:t>
      </w:r>
      <w:r w:rsidRPr="00267BC4">
        <w:rPr>
          <w:rFonts w:asciiTheme="minorBidi" w:hAnsiTheme="minorBidi" w:cstheme="minorBidi"/>
          <w:b/>
          <w:bCs/>
        </w:rPr>
        <w:t xml:space="preserve">et </w:t>
      </w:r>
      <w:r w:rsidR="00DB052B" w:rsidRPr="00267BC4">
        <w:rPr>
          <w:rFonts w:asciiTheme="minorBidi" w:hAnsiTheme="minorBidi" w:cstheme="minorBidi"/>
          <w:b/>
          <w:bCs/>
        </w:rPr>
        <w:t>A</w:t>
      </w:r>
      <w:r w:rsidRPr="00267BC4">
        <w:rPr>
          <w:rFonts w:asciiTheme="minorBidi" w:hAnsiTheme="minorBidi" w:cstheme="minorBidi"/>
          <w:b/>
          <w:bCs/>
        </w:rPr>
        <w:t xml:space="preserve">ttendance </w:t>
      </w:r>
      <w:r w:rsidR="00DB052B" w:rsidRPr="00267BC4">
        <w:rPr>
          <w:rFonts w:asciiTheme="minorBidi" w:hAnsiTheme="minorBidi" w:cstheme="minorBidi"/>
          <w:b/>
          <w:bCs/>
        </w:rPr>
        <w:t>R</w:t>
      </w:r>
      <w:r w:rsidRPr="00267BC4">
        <w:rPr>
          <w:rFonts w:asciiTheme="minorBidi" w:hAnsiTheme="minorBidi" w:cstheme="minorBidi"/>
          <w:b/>
          <w:bCs/>
        </w:rPr>
        <w:t xml:space="preserve">atio by </w:t>
      </w:r>
      <w:r w:rsidR="00C73B68" w:rsidRPr="00267BC4">
        <w:rPr>
          <w:rFonts w:asciiTheme="minorBidi" w:hAnsiTheme="minorBidi" w:cstheme="minorBidi"/>
          <w:b/>
          <w:bCs/>
        </w:rPr>
        <w:t xml:space="preserve">locality type </w:t>
      </w:r>
      <w:r w:rsidR="00AC2E62" w:rsidRPr="00267BC4">
        <w:rPr>
          <w:rFonts w:asciiTheme="minorBidi" w:hAnsiTheme="minorBidi" w:cstheme="minorBidi"/>
          <w:b/>
          <w:bCs/>
        </w:rPr>
        <w:t xml:space="preserve">and </w:t>
      </w:r>
      <w:r w:rsidR="00DB052B" w:rsidRPr="00267BC4">
        <w:rPr>
          <w:rFonts w:asciiTheme="minorBidi" w:hAnsiTheme="minorBidi" w:cstheme="minorBidi"/>
          <w:b/>
          <w:bCs/>
        </w:rPr>
        <w:t>S</w:t>
      </w:r>
      <w:r w:rsidR="00AC2E62" w:rsidRPr="00267BC4">
        <w:rPr>
          <w:rFonts w:asciiTheme="minorBidi" w:hAnsiTheme="minorBidi" w:cstheme="minorBidi"/>
          <w:b/>
          <w:bCs/>
        </w:rPr>
        <w:t>tages</w:t>
      </w:r>
      <w:r w:rsidR="00704723" w:rsidRPr="00267BC4">
        <w:rPr>
          <w:rFonts w:asciiTheme="minorBidi" w:hAnsiTheme="minorBidi" w:cstheme="minorBidi"/>
          <w:b/>
          <w:bCs/>
        </w:rPr>
        <w:t>, 2019/2020(%)</w:t>
      </w:r>
    </w:p>
    <w:tbl>
      <w:tblPr>
        <w:tblStyle w:val="TableGrid"/>
        <w:tblW w:w="9104" w:type="dxa"/>
        <w:tblLook w:val="04A0" w:firstRow="1" w:lastRow="0" w:firstColumn="1" w:lastColumn="0" w:noHBand="0" w:noVBand="1"/>
      </w:tblPr>
      <w:tblGrid>
        <w:gridCol w:w="9104"/>
      </w:tblGrid>
      <w:tr w:rsidR="00E30712" w14:paraId="2903F850" w14:textId="77777777" w:rsidTr="00506BC0">
        <w:trPr>
          <w:trHeight w:val="3403"/>
        </w:trPr>
        <w:tc>
          <w:tcPr>
            <w:tcW w:w="9104" w:type="dxa"/>
          </w:tcPr>
          <w:p w14:paraId="70773A49" w14:textId="77777777" w:rsidR="00E30712" w:rsidRDefault="00E30712"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0712">
              <w:rPr>
                <w:rFonts w:ascii="Times New Roman" w:hAnsi="Times New Roman" w:cs="Times New Roman"/>
                <w:b/>
                <w:bCs/>
                <w:i/>
                <w:iCs/>
                <w:noProof/>
                <w:sz w:val="28"/>
                <w:szCs w:val="28"/>
              </w:rPr>
              <w:drawing>
                <wp:inline distT="0" distB="0" distL="0" distR="0" wp14:anchorId="4E6DE289" wp14:editId="6898874C">
                  <wp:extent cx="5600700" cy="2000250"/>
                  <wp:effectExtent l="0" t="0" r="0" b="0"/>
                  <wp:docPr id="29"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14:paraId="1859CDF0" w14:textId="77777777" w:rsidR="00996372" w:rsidRPr="00996372" w:rsidRDefault="00B90335" w:rsidP="00E74AED">
      <w:pPr>
        <w:bidi w:val="0"/>
        <w:spacing w:after="0" w:line="240" w:lineRule="auto"/>
        <w:ind w:left="720" w:hanging="720"/>
        <w:jc w:val="both"/>
        <w:rPr>
          <w:rFonts w:asciiTheme="minorBidi" w:hAnsiTheme="minorBidi" w:cstheme="minorBidi"/>
          <w:sz w:val="18"/>
        </w:rPr>
      </w:pPr>
      <w:r w:rsidRPr="00996372">
        <w:rPr>
          <w:rFonts w:asciiTheme="minorBidi" w:hAnsiTheme="minorBidi" w:cstheme="minorBidi"/>
          <w:b/>
          <w:bCs/>
          <w:sz w:val="18"/>
          <w:szCs w:val="18"/>
        </w:rPr>
        <w:t xml:space="preserve">Source: </w:t>
      </w:r>
      <w:r w:rsidR="00996372" w:rsidRPr="00996372">
        <w:rPr>
          <w:rFonts w:asciiTheme="minorBidi" w:hAnsiTheme="minorBidi" w:cstheme="minorBidi"/>
          <w:b/>
          <w:bCs/>
          <w:sz w:val="18"/>
          <w:szCs w:val="18"/>
        </w:rPr>
        <w:t xml:space="preserve">Palestinian Central Bureau of Statistics, </w:t>
      </w:r>
      <w:r w:rsidR="00996372" w:rsidRPr="00996372">
        <w:rPr>
          <w:rFonts w:asciiTheme="minorBidi" w:hAnsiTheme="minorBidi" w:cstheme="minorBidi"/>
          <w:sz w:val="18"/>
          <w:szCs w:val="18"/>
        </w:rPr>
        <w:t xml:space="preserve">Palestinian Multiple Indicator Cluster Survey Database, 2019-2020. </w:t>
      </w:r>
      <w:r w:rsidR="00996372" w:rsidRPr="00996372">
        <w:rPr>
          <w:rFonts w:asciiTheme="minorBidi" w:hAnsiTheme="minorBidi" w:cstheme="minorBidi"/>
          <w:sz w:val="18"/>
        </w:rPr>
        <w:t>Ramallah – Palestine</w:t>
      </w:r>
    </w:p>
    <w:p w14:paraId="483E1E7E" w14:textId="77777777" w:rsidR="00996372" w:rsidRPr="00A16230" w:rsidRDefault="00996372" w:rsidP="00996372">
      <w:pPr>
        <w:bidi w:val="0"/>
        <w:spacing w:after="0" w:line="240" w:lineRule="auto"/>
        <w:jc w:val="both"/>
        <w:rPr>
          <w:rFonts w:ascii="Times New Roman" w:hAnsi="Times New Roman" w:cs="Times New Roman"/>
          <w:sz w:val="18"/>
          <w:szCs w:val="18"/>
        </w:rPr>
      </w:pPr>
    </w:p>
    <w:p w14:paraId="1224AB5B" w14:textId="77777777" w:rsidR="00080FA7" w:rsidRDefault="00080FA7" w:rsidP="00080FA7">
      <w:pPr>
        <w:autoSpaceDE w:val="0"/>
        <w:autoSpaceDN w:val="0"/>
        <w:bidi w:val="0"/>
        <w:adjustRightInd w:val="0"/>
        <w:spacing w:after="0" w:line="240" w:lineRule="auto"/>
        <w:jc w:val="both"/>
        <w:rPr>
          <w:rFonts w:asciiTheme="majorBidi" w:hAnsiTheme="majorBidi" w:cstheme="majorBidi"/>
          <w:b/>
          <w:bCs/>
          <w:i/>
          <w:iCs/>
          <w:sz w:val="24"/>
          <w:szCs w:val="24"/>
        </w:rPr>
      </w:pPr>
      <w:r w:rsidRPr="00080FA7">
        <w:rPr>
          <w:rFonts w:asciiTheme="majorBidi" w:hAnsiTheme="majorBidi" w:cstheme="majorBidi"/>
          <w:b/>
          <w:bCs/>
          <w:i/>
          <w:iCs/>
          <w:sz w:val="24"/>
          <w:szCs w:val="24"/>
        </w:rPr>
        <w:t xml:space="preserve">Indicator 4.7.1 Extent to which (i) global citizenship education and (ii) education for sustainable development (including climate change education) are mainstreamed in (national education policies, curricula policies, teacher education policies, </w:t>
      </w:r>
      <w:r w:rsidR="00B85805">
        <w:rPr>
          <w:rFonts w:asciiTheme="majorBidi" w:hAnsiTheme="majorBidi" w:cstheme="majorBidi"/>
          <w:b/>
          <w:bCs/>
          <w:i/>
          <w:iCs/>
          <w:sz w:val="24"/>
          <w:szCs w:val="24"/>
        </w:rPr>
        <w:t xml:space="preserve">and </w:t>
      </w:r>
      <w:r w:rsidRPr="00080FA7">
        <w:rPr>
          <w:rFonts w:asciiTheme="majorBidi" w:hAnsiTheme="majorBidi" w:cstheme="majorBidi"/>
          <w:b/>
          <w:bCs/>
          <w:i/>
          <w:iCs/>
          <w:sz w:val="24"/>
          <w:szCs w:val="24"/>
        </w:rPr>
        <w:t>student assessment policies)</w:t>
      </w:r>
    </w:p>
    <w:p w14:paraId="23CE84E6" w14:textId="77777777" w:rsidR="00877949" w:rsidRPr="003A32B8" w:rsidRDefault="00877949" w:rsidP="00877949">
      <w:pPr>
        <w:autoSpaceDE w:val="0"/>
        <w:autoSpaceDN w:val="0"/>
        <w:bidi w:val="0"/>
        <w:adjustRightInd w:val="0"/>
        <w:spacing w:after="0" w:line="240" w:lineRule="auto"/>
        <w:jc w:val="both"/>
        <w:rPr>
          <w:rFonts w:asciiTheme="majorBidi" w:hAnsiTheme="majorBidi" w:cstheme="majorBidi"/>
          <w:b/>
          <w:bCs/>
          <w:i/>
          <w:iCs/>
          <w:sz w:val="18"/>
          <w:szCs w:val="18"/>
        </w:rPr>
      </w:pPr>
    </w:p>
    <w:p w14:paraId="44CD1FEE" w14:textId="77777777" w:rsidR="00FC136F" w:rsidRDefault="00FC136F" w:rsidP="00FC136F">
      <w:pPr>
        <w:bidi w:val="0"/>
        <w:spacing w:after="0" w:line="240" w:lineRule="auto"/>
        <w:jc w:val="both"/>
        <w:rPr>
          <w:rFonts w:ascii="Times New Roman" w:hAnsi="Times New Roman" w:cs="Times New Roman"/>
          <w:sz w:val="24"/>
          <w:szCs w:val="24"/>
        </w:rPr>
      </w:pPr>
      <w:r w:rsidRPr="00FC136F">
        <w:rPr>
          <w:rFonts w:asciiTheme="majorBidi" w:hAnsiTheme="majorBidi" w:cstheme="majorBidi"/>
          <w:sz w:val="24"/>
          <w:szCs w:val="24"/>
        </w:rPr>
        <w:t xml:space="preserve">Extent to which (i) global citizenship education and (ii) education for sustainable development (including climate change education) are mainstreamed </w:t>
      </w:r>
      <w:r w:rsidR="00AC2E62" w:rsidRPr="00FC136F">
        <w:rPr>
          <w:rFonts w:asciiTheme="majorBidi" w:hAnsiTheme="majorBidi" w:cstheme="majorBidi"/>
          <w:sz w:val="24"/>
          <w:szCs w:val="24"/>
        </w:rPr>
        <w:t>in</w:t>
      </w:r>
      <w:r w:rsidR="00AC2E62" w:rsidRPr="00FC136F">
        <w:rPr>
          <w:rFonts w:ascii="Times New Roman" w:hAnsi="Times New Roman" w:cs="Times New Roman"/>
          <w:sz w:val="24"/>
          <w:szCs w:val="24"/>
        </w:rPr>
        <w:t xml:space="preserve"> national</w:t>
      </w:r>
      <w:r w:rsidRPr="00FC136F">
        <w:rPr>
          <w:rFonts w:ascii="Times New Roman" w:hAnsi="Times New Roman" w:cs="Times New Roman"/>
          <w:sz w:val="24"/>
          <w:szCs w:val="24"/>
        </w:rPr>
        <w:t xml:space="preserve"> education policies</w:t>
      </w:r>
      <w:r w:rsidR="00B85805">
        <w:rPr>
          <w:rFonts w:ascii="Times New Roman" w:hAnsi="Times New Roman" w:cs="Times New Roman"/>
          <w:sz w:val="24"/>
          <w:szCs w:val="24"/>
        </w:rPr>
        <w:t>reached</w:t>
      </w:r>
      <w:r>
        <w:rPr>
          <w:rFonts w:ascii="Times New Roman" w:hAnsi="Times New Roman" w:cs="Times New Roman"/>
          <w:sz w:val="24"/>
          <w:szCs w:val="24"/>
        </w:rPr>
        <w:t xml:space="preserve"> 0.875, in </w:t>
      </w:r>
      <w:r w:rsidRPr="00FC136F">
        <w:rPr>
          <w:rFonts w:ascii="Times New Roman" w:hAnsi="Times New Roman" w:cs="Times New Roman"/>
          <w:sz w:val="24"/>
          <w:szCs w:val="24"/>
        </w:rPr>
        <w:t>curricula</w:t>
      </w:r>
      <w:r>
        <w:rPr>
          <w:rFonts w:ascii="Times New Roman" w:hAnsi="Times New Roman" w:cs="Times New Roman"/>
          <w:sz w:val="24"/>
          <w:szCs w:val="24"/>
        </w:rPr>
        <w:t xml:space="preserve"> policies 0.708, </w:t>
      </w:r>
      <w:r w:rsidRPr="00FC136F">
        <w:rPr>
          <w:rFonts w:ascii="Times New Roman" w:hAnsi="Times New Roman" w:cs="Times New Roman"/>
          <w:sz w:val="24"/>
          <w:szCs w:val="24"/>
        </w:rPr>
        <w:t>in teacher education</w:t>
      </w:r>
      <w:r>
        <w:rPr>
          <w:rFonts w:ascii="Times New Roman" w:hAnsi="Times New Roman" w:cs="Times New Roman"/>
          <w:sz w:val="24"/>
          <w:szCs w:val="24"/>
        </w:rPr>
        <w:t xml:space="preserve"> 0.800, and </w:t>
      </w:r>
      <w:r w:rsidRPr="00FC136F">
        <w:rPr>
          <w:rFonts w:ascii="Times New Roman" w:hAnsi="Times New Roman" w:cs="Times New Roman"/>
          <w:sz w:val="24"/>
          <w:szCs w:val="24"/>
        </w:rPr>
        <w:t>in student assessment</w:t>
      </w:r>
      <w:r>
        <w:rPr>
          <w:rFonts w:ascii="Times New Roman" w:hAnsi="Times New Roman" w:cs="Times New Roman"/>
          <w:sz w:val="24"/>
          <w:szCs w:val="24"/>
        </w:rPr>
        <w:t xml:space="preserve"> 0.833 in 2020.</w:t>
      </w:r>
    </w:p>
    <w:p w14:paraId="0C4EC608" w14:textId="77777777" w:rsidR="00FC136F" w:rsidRPr="003A32B8" w:rsidRDefault="00FC136F" w:rsidP="00FC136F">
      <w:pPr>
        <w:bidi w:val="0"/>
        <w:spacing w:after="0" w:line="240" w:lineRule="auto"/>
        <w:jc w:val="both"/>
        <w:rPr>
          <w:rFonts w:ascii="Times New Roman" w:hAnsi="Times New Roman" w:cs="Times New Roman"/>
          <w:sz w:val="18"/>
          <w:szCs w:val="18"/>
          <w:rtl/>
        </w:rPr>
      </w:pPr>
    </w:p>
    <w:p w14:paraId="450FC8D8" w14:textId="77777777" w:rsidR="00EC0053" w:rsidRDefault="00EC0053" w:rsidP="00E41422">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4.a.1 Proportion of schools with access to: (a) electricity; (b) the Internet for pedagogical purposes; (c) computers for pedagogical purposes; (d) adapted infrastructure and materials for students with disabilities; (e) basic drinking water; (f) single-sex basic sanitation facilities; and (g) basic hand washing facilities (as per t</w:t>
      </w:r>
      <w:r w:rsidR="00FA742D">
        <w:rPr>
          <w:rFonts w:ascii="Times New Roman" w:hAnsi="Times New Roman" w:cs="Times New Roman"/>
          <w:b/>
          <w:bCs/>
          <w:i/>
          <w:iCs/>
          <w:sz w:val="24"/>
          <w:szCs w:val="24"/>
        </w:rPr>
        <w:t>he WASH indicator definitions).</w:t>
      </w:r>
    </w:p>
    <w:p w14:paraId="0998D931" w14:textId="77777777" w:rsidR="0086098A" w:rsidRPr="003A32B8" w:rsidRDefault="0086098A" w:rsidP="0086098A">
      <w:pPr>
        <w:autoSpaceDE w:val="0"/>
        <w:autoSpaceDN w:val="0"/>
        <w:bidi w:val="0"/>
        <w:adjustRightInd w:val="0"/>
        <w:spacing w:after="0" w:line="240" w:lineRule="auto"/>
        <w:jc w:val="both"/>
        <w:rPr>
          <w:rFonts w:ascii="Times New Roman" w:hAnsi="Times New Roman" w:cs="Times New Roman"/>
          <w:b/>
          <w:bCs/>
          <w:i/>
          <w:iCs/>
          <w:sz w:val="18"/>
          <w:szCs w:val="18"/>
        </w:rPr>
      </w:pPr>
    </w:p>
    <w:p w14:paraId="47D0F4A8" w14:textId="77777777" w:rsidR="00EC0053" w:rsidRDefault="00AC2E62" w:rsidP="0086098A">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Indicator</w:t>
      </w:r>
      <w:r w:rsidR="00EC0053" w:rsidRPr="00A16230">
        <w:rPr>
          <w:rFonts w:ascii="Times New Roman" w:hAnsi="Times New Roman" w:cs="Times New Roman"/>
          <w:b/>
          <w:bCs/>
          <w:i/>
          <w:iCs/>
          <w:sz w:val="24"/>
          <w:szCs w:val="24"/>
        </w:rPr>
        <w:t xml:space="preserve"> 4.a.1.1 Proportion of schools with access to electricity</w:t>
      </w:r>
    </w:p>
    <w:p w14:paraId="3646B24A" w14:textId="77777777" w:rsidR="00877949" w:rsidRPr="003A32B8" w:rsidRDefault="00877949" w:rsidP="00877949">
      <w:pPr>
        <w:autoSpaceDE w:val="0"/>
        <w:autoSpaceDN w:val="0"/>
        <w:bidi w:val="0"/>
        <w:adjustRightInd w:val="0"/>
        <w:spacing w:after="0" w:line="240" w:lineRule="auto"/>
        <w:jc w:val="both"/>
        <w:rPr>
          <w:rFonts w:ascii="Times New Roman" w:hAnsi="Times New Roman" w:cs="Times New Roman"/>
          <w:b/>
          <w:bCs/>
          <w:i/>
          <w:iCs/>
          <w:sz w:val="18"/>
          <w:szCs w:val="18"/>
        </w:rPr>
      </w:pPr>
    </w:p>
    <w:p w14:paraId="513291E1" w14:textId="77777777" w:rsidR="00EC0053" w:rsidRDefault="00EC0053" w:rsidP="00E866B2">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 xml:space="preserve">Since </w:t>
      </w:r>
      <w:r w:rsidR="00E866B2">
        <w:rPr>
          <w:rFonts w:ascii="Times New Roman" w:hAnsi="Times New Roman" w:cs="Times New Roman"/>
          <w:sz w:val="24"/>
          <w:szCs w:val="24"/>
        </w:rPr>
        <w:t>2015/2016</w:t>
      </w:r>
      <w:r w:rsidRPr="00A16230">
        <w:rPr>
          <w:rFonts w:ascii="Times New Roman" w:hAnsi="Times New Roman" w:cs="Times New Roman"/>
          <w:sz w:val="24"/>
          <w:szCs w:val="24"/>
        </w:rPr>
        <w:t xml:space="preserve"> the proportion of schools with access to electricity reached 100%</w:t>
      </w:r>
      <w:r w:rsidR="00B85805">
        <w:rPr>
          <w:rFonts w:ascii="Times New Roman" w:hAnsi="Times New Roman" w:cs="Times New Roman"/>
          <w:sz w:val="24"/>
          <w:szCs w:val="24"/>
        </w:rPr>
        <w:t>,</w:t>
      </w:r>
      <w:r w:rsidRPr="00A16230">
        <w:rPr>
          <w:rFonts w:ascii="Times New Roman" w:hAnsi="Times New Roman" w:cs="Times New Roman"/>
          <w:sz w:val="24"/>
          <w:szCs w:val="24"/>
        </w:rPr>
        <w:t xml:space="preserve"> that is there are no schools in Palestine without access to electricity</w:t>
      </w:r>
      <w:r w:rsidR="002D3531">
        <w:rPr>
          <w:rFonts w:ascii="Times New Roman" w:hAnsi="Times New Roman" w:cs="Times New Roman"/>
          <w:sz w:val="24"/>
          <w:szCs w:val="24"/>
        </w:rPr>
        <w:t xml:space="preserve">, even though these schools are </w:t>
      </w:r>
      <w:r w:rsidRPr="00A16230">
        <w:rPr>
          <w:rFonts w:ascii="Times New Roman" w:hAnsi="Times New Roman" w:cs="Times New Roman"/>
          <w:sz w:val="24"/>
          <w:szCs w:val="24"/>
        </w:rPr>
        <w:t>subjected to possibil</w:t>
      </w:r>
      <w:r w:rsidR="002D3531">
        <w:rPr>
          <w:rFonts w:ascii="Times New Roman" w:hAnsi="Times New Roman" w:cs="Times New Roman"/>
          <w:sz w:val="24"/>
          <w:szCs w:val="24"/>
        </w:rPr>
        <w:t>e</w:t>
      </w:r>
      <w:r w:rsidR="00252306">
        <w:rPr>
          <w:rFonts w:ascii="Times New Roman" w:hAnsi="Times New Roman" w:cs="Times New Roman"/>
          <w:sz w:val="24"/>
          <w:szCs w:val="24"/>
        </w:rPr>
        <w:t xml:space="preserve">power </w:t>
      </w:r>
      <w:r w:rsidRPr="00A16230">
        <w:rPr>
          <w:rFonts w:ascii="Times New Roman" w:hAnsi="Times New Roman" w:cs="Times New Roman"/>
          <w:sz w:val="24"/>
          <w:szCs w:val="24"/>
        </w:rPr>
        <w:t>cut</w:t>
      </w:r>
      <w:r w:rsidR="00CC605A">
        <w:rPr>
          <w:rFonts w:ascii="Times New Roman" w:hAnsi="Times New Roman" w:cs="Times New Roman"/>
          <w:sz w:val="24"/>
          <w:szCs w:val="24"/>
        </w:rPr>
        <w:t>s</w:t>
      </w:r>
      <w:r w:rsidRPr="00A16230">
        <w:rPr>
          <w:rFonts w:ascii="Times New Roman" w:hAnsi="Times New Roman" w:cs="Times New Roman"/>
          <w:sz w:val="24"/>
          <w:szCs w:val="24"/>
        </w:rPr>
        <w:t xml:space="preserve">. </w:t>
      </w:r>
    </w:p>
    <w:p w14:paraId="1C134C24" w14:textId="77777777" w:rsidR="00FC136F" w:rsidRPr="00A16230" w:rsidRDefault="00FC136F" w:rsidP="00FC136F">
      <w:pPr>
        <w:autoSpaceDE w:val="0"/>
        <w:autoSpaceDN w:val="0"/>
        <w:bidi w:val="0"/>
        <w:adjustRightInd w:val="0"/>
        <w:spacing w:after="0" w:line="240" w:lineRule="auto"/>
        <w:jc w:val="both"/>
        <w:rPr>
          <w:rFonts w:ascii="Times New Roman" w:hAnsi="Times New Roman" w:cs="Times New Roman"/>
          <w:sz w:val="16"/>
          <w:szCs w:val="16"/>
          <w:rtl/>
        </w:rPr>
      </w:pPr>
    </w:p>
    <w:p w14:paraId="2B5CCE08" w14:textId="77777777" w:rsidR="004970D6" w:rsidRPr="00A16230" w:rsidRDefault="00EC0053" w:rsidP="0031185D">
      <w:pPr>
        <w:tabs>
          <w:tab w:val="left" w:pos="9072"/>
        </w:tabs>
        <w:bidi w:val="0"/>
        <w:spacing w:after="0" w:line="240" w:lineRule="auto"/>
        <w:jc w:val="center"/>
        <w:rPr>
          <w:rFonts w:ascii="Arial" w:hAnsi="Arial"/>
          <w:b/>
          <w:bCs/>
        </w:rPr>
      </w:pPr>
      <w:r w:rsidRPr="00267BC4">
        <w:rPr>
          <w:rFonts w:ascii="Arial" w:hAnsi="Arial"/>
          <w:b/>
          <w:bCs/>
        </w:rPr>
        <w:t xml:space="preserve">Proportion of Schools with Access to Electricity, </w:t>
      </w:r>
      <w:r w:rsidR="00E866B2" w:rsidRPr="00267BC4">
        <w:rPr>
          <w:rFonts w:ascii="Arial" w:hAnsi="Arial"/>
          <w:b/>
          <w:bCs/>
        </w:rPr>
        <w:t xml:space="preserve">2015/2016 </w:t>
      </w:r>
      <w:r w:rsidRPr="00267BC4">
        <w:rPr>
          <w:rFonts w:ascii="Arial" w:hAnsi="Arial"/>
          <w:b/>
          <w:bCs/>
        </w:rPr>
        <w:t xml:space="preserve">- </w:t>
      </w:r>
      <w:r w:rsidR="0031185D" w:rsidRPr="00267BC4">
        <w:rPr>
          <w:rFonts w:ascii="Arial" w:hAnsi="Arial"/>
          <w:b/>
          <w:bCs/>
        </w:rPr>
        <w:t>2021</w:t>
      </w:r>
      <w:r w:rsidRPr="00267BC4">
        <w:rPr>
          <w:rFonts w:ascii="Arial" w:hAnsi="Arial"/>
          <w:b/>
          <w:bCs/>
        </w:rPr>
        <w:t>/</w:t>
      </w:r>
      <w:r w:rsidR="0031185D" w:rsidRPr="00267BC4">
        <w:rPr>
          <w:rFonts w:ascii="Arial" w:hAnsi="Arial"/>
          <w:b/>
          <w:bCs/>
        </w:rPr>
        <w:t>2022</w:t>
      </w:r>
      <w:r w:rsidRPr="00267BC4">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4461C931" w14:textId="77777777" w:rsidTr="003A30DF">
        <w:trPr>
          <w:trHeight w:val="3054"/>
        </w:trPr>
        <w:tc>
          <w:tcPr>
            <w:tcW w:w="9286" w:type="dxa"/>
            <w:shd w:val="clear" w:color="auto" w:fill="auto"/>
          </w:tcPr>
          <w:p w14:paraId="2258D14A"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noProof/>
              </w:rPr>
              <w:drawing>
                <wp:inline distT="0" distB="0" distL="0" distR="0" wp14:anchorId="3E8B4D2B" wp14:editId="011C4D4E">
                  <wp:extent cx="5486400" cy="1895475"/>
                  <wp:effectExtent l="0" t="0" r="0" b="0"/>
                  <wp:docPr id="4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14:paraId="76703750" w14:textId="784A5AA7" w:rsidR="00EC0053" w:rsidRPr="00E93C76" w:rsidRDefault="00EC0053" w:rsidP="0031185D">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2D3531">
        <w:rPr>
          <w:rFonts w:asciiTheme="minorBidi" w:hAnsiTheme="minorBidi" w:cstheme="minorBidi"/>
          <w:sz w:val="18"/>
          <w:szCs w:val="18"/>
        </w:rPr>
        <w:t xml:space="preserve">the </w:t>
      </w:r>
      <w:r w:rsidR="002D3531" w:rsidRPr="00E93C76">
        <w:rPr>
          <w:rFonts w:asciiTheme="minorBidi" w:hAnsiTheme="minorBidi" w:cstheme="minorBidi"/>
          <w:sz w:val="18"/>
          <w:szCs w:val="18"/>
        </w:rPr>
        <w:t xml:space="preserve">2015/2016 - </w:t>
      </w:r>
      <w:r w:rsidR="0031185D">
        <w:rPr>
          <w:rFonts w:asciiTheme="minorBidi" w:hAnsiTheme="minorBidi" w:cstheme="minorBidi"/>
          <w:sz w:val="18"/>
          <w:szCs w:val="18"/>
        </w:rPr>
        <w:t>2021</w:t>
      </w:r>
      <w:r w:rsidR="002D3531" w:rsidRPr="00E93C76">
        <w:rPr>
          <w:rFonts w:asciiTheme="minorBidi" w:hAnsiTheme="minorBidi" w:cstheme="minorBidi"/>
          <w:sz w:val="18"/>
          <w:szCs w:val="18"/>
        </w:rPr>
        <w:t>/</w:t>
      </w:r>
      <w:r w:rsidR="0031185D">
        <w:rPr>
          <w:rFonts w:asciiTheme="minorBidi" w:hAnsiTheme="minorBidi" w:cstheme="minorBidi"/>
          <w:sz w:val="18"/>
          <w:szCs w:val="18"/>
        </w:rPr>
        <w:t>2022</w:t>
      </w:r>
      <w:r w:rsidR="00624CCE">
        <w:rPr>
          <w:rFonts w:asciiTheme="minorBidi" w:hAnsiTheme="minorBidi" w:cstheme="minorBidi" w:hint="cs"/>
          <w:sz w:val="18"/>
          <w:szCs w:val="18"/>
          <w:rtl/>
        </w:rPr>
        <w:t xml:space="preserve"> </w:t>
      </w:r>
      <w:r w:rsidRPr="00E93C76">
        <w:rPr>
          <w:rFonts w:asciiTheme="minorBidi" w:hAnsiTheme="minorBidi" w:cstheme="minorBidi"/>
          <w:sz w:val="18"/>
          <w:szCs w:val="18"/>
        </w:rPr>
        <w:t xml:space="preserve">scholastic </w:t>
      </w:r>
      <w:r w:rsidR="00CC605A">
        <w:rPr>
          <w:rFonts w:asciiTheme="minorBidi" w:hAnsiTheme="minorBidi" w:cstheme="minorBidi"/>
          <w:sz w:val="18"/>
          <w:szCs w:val="18"/>
        </w:rPr>
        <w:t>y</w:t>
      </w:r>
      <w:r w:rsidRPr="00E93C76">
        <w:rPr>
          <w:rFonts w:asciiTheme="minorBidi" w:hAnsiTheme="minorBidi" w:cstheme="minorBidi"/>
          <w:sz w:val="18"/>
          <w:szCs w:val="18"/>
        </w:rPr>
        <w:t>ears. Ramallah-Palestine</w:t>
      </w:r>
    </w:p>
    <w:p w14:paraId="4A06E216" w14:textId="77777777" w:rsidR="00EC0053" w:rsidRDefault="00EC0053" w:rsidP="00E866B2">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E866B2" w:rsidRPr="00E93C76">
        <w:rPr>
          <w:rFonts w:asciiTheme="minorBidi" w:hAnsiTheme="minorBidi" w:cstheme="minorBidi"/>
          <w:sz w:val="18"/>
          <w:szCs w:val="18"/>
        </w:rPr>
        <w:t>2015</w:t>
      </w:r>
      <w:r w:rsidRPr="00E93C76">
        <w:rPr>
          <w:rFonts w:asciiTheme="minorBidi" w:hAnsiTheme="minorBidi" w:cstheme="minorBidi"/>
          <w:sz w:val="18"/>
          <w:szCs w:val="18"/>
        </w:rPr>
        <w:t xml:space="preserve"> mean</w:t>
      </w:r>
      <w:r w:rsidR="003E6A5C">
        <w:rPr>
          <w:rFonts w:asciiTheme="minorBidi" w:hAnsiTheme="minorBidi" w:cstheme="minorBidi"/>
          <w:sz w:val="18"/>
          <w:szCs w:val="18"/>
        </w:rPr>
        <w:t>s</w:t>
      </w:r>
      <w:r w:rsidRPr="00E93C76">
        <w:rPr>
          <w:rFonts w:asciiTheme="minorBidi" w:hAnsiTheme="minorBidi" w:cstheme="minorBidi"/>
          <w:sz w:val="18"/>
          <w:szCs w:val="18"/>
        </w:rPr>
        <w:t xml:space="preserve"> the scholastic year </w:t>
      </w:r>
      <w:r w:rsidR="00E866B2" w:rsidRPr="00E93C76">
        <w:rPr>
          <w:rFonts w:asciiTheme="minorBidi" w:hAnsiTheme="minorBidi" w:cstheme="minorBidi"/>
          <w:sz w:val="18"/>
          <w:szCs w:val="18"/>
        </w:rPr>
        <w:t>2015/2016</w:t>
      </w:r>
    </w:p>
    <w:p w14:paraId="051C40BC" w14:textId="77777777" w:rsidR="00EC0053" w:rsidRDefault="00EC0053"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lastRenderedPageBreak/>
        <w:t>Indicator 4.a.1</w:t>
      </w:r>
      <w:r w:rsidRPr="00A16230">
        <w:rPr>
          <w:rFonts w:ascii="Times New Roman" w:hAnsi="Times New Roman" w:cs="Times New Roman" w:hint="cs"/>
          <w:b/>
          <w:bCs/>
          <w:i/>
          <w:iCs/>
          <w:sz w:val="24"/>
          <w:szCs w:val="24"/>
          <w:rtl/>
        </w:rPr>
        <w:t>.</w:t>
      </w:r>
      <w:r w:rsidRPr="00A16230">
        <w:rPr>
          <w:rFonts w:ascii="Times New Roman" w:hAnsi="Times New Roman" w:cs="Times New Roman"/>
          <w:b/>
          <w:bCs/>
          <w:i/>
          <w:iCs/>
          <w:sz w:val="24"/>
          <w:szCs w:val="24"/>
        </w:rPr>
        <w:t>2 Proportion of schools with access to the Internet for pedagogical purposes</w:t>
      </w:r>
    </w:p>
    <w:p w14:paraId="27EC1E80" w14:textId="77777777" w:rsidR="00877949" w:rsidRPr="00A16230"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285AE2CD" w14:textId="77777777" w:rsidR="00EC0053" w:rsidRPr="00267BC4" w:rsidRDefault="00EC0053" w:rsidP="0031185D">
      <w:pPr>
        <w:autoSpaceDE w:val="0"/>
        <w:autoSpaceDN w:val="0"/>
        <w:bidi w:val="0"/>
        <w:adjustRightInd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 xml:space="preserve">Proportion of schools with access to internet for pedagogical purposes in Palestine rose in the </w:t>
      </w:r>
      <w:r w:rsidR="00E866B2" w:rsidRPr="00267BC4">
        <w:rPr>
          <w:rFonts w:ascii="Times New Roman" w:hAnsi="Times New Roman" w:cs="Times New Roman"/>
          <w:sz w:val="24"/>
          <w:szCs w:val="24"/>
        </w:rPr>
        <w:t>2015/2016</w:t>
      </w:r>
      <w:r w:rsidRPr="00267BC4">
        <w:rPr>
          <w:rFonts w:ascii="Times New Roman" w:hAnsi="Times New Roman" w:cs="Times New Roman"/>
          <w:sz w:val="24"/>
          <w:szCs w:val="24"/>
        </w:rPr>
        <w:t>-</w:t>
      </w:r>
      <w:r w:rsidR="0031185D" w:rsidRPr="00267BC4">
        <w:rPr>
          <w:rFonts w:ascii="Times New Roman" w:hAnsi="Times New Roman" w:cs="Times New Roman"/>
          <w:sz w:val="24"/>
          <w:szCs w:val="24"/>
        </w:rPr>
        <w:t>2021</w:t>
      </w:r>
      <w:r w:rsidRPr="00267BC4">
        <w:rPr>
          <w:rFonts w:ascii="Times New Roman" w:hAnsi="Times New Roman" w:cs="Times New Roman"/>
          <w:sz w:val="24"/>
          <w:szCs w:val="24"/>
        </w:rPr>
        <w:t>/</w:t>
      </w:r>
      <w:r w:rsidR="0031185D" w:rsidRPr="00267BC4">
        <w:rPr>
          <w:rFonts w:ascii="Times New Roman" w:hAnsi="Times New Roman" w:cs="Times New Roman"/>
          <w:sz w:val="24"/>
          <w:szCs w:val="24"/>
        </w:rPr>
        <w:t>2022</w:t>
      </w:r>
      <w:r w:rsidR="006802E3" w:rsidRPr="00267BC4">
        <w:rPr>
          <w:rFonts w:ascii="Times New Roman" w:hAnsi="Times New Roman" w:cs="Times New Roman"/>
          <w:sz w:val="24"/>
          <w:szCs w:val="24"/>
        </w:rPr>
        <w:t xml:space="preserve"> </w:t>
      </w:r>
      <w:r w:rsidR="002D3531" w:rsidRPr="00267BC4">
        <w:rPr>
          <w:rFonts w:ascii="Times New Roman" w:hAnsi="Times New Roman" w:cs="Times New Roman"/>
          <w:sz w:val="24"/>
          <w:szCs w:val="24"/>
        </w:rPr>
        <w:t xml:space="preserve">period </w:t>
      </w:r>
      <w:r w:rsidRPr="00267BC4">
        <w:rPr>
          <w:rFonts w:ascii="Times New Roman" w:hAnsi="Times New Roman" w:cs="Times New Roman"/>
          <w:sz w:val="24"/>
          <w:szCs w:val="24"/>
        </w:rPr>
        <w:t xml:space="preserve">from </w:t>
      </w:r>
      <w:r w:rsidR="00E866B2" w:rsidRPr="00267BC4">
        <w:rPr>
          <w:rFonts w:ascii="Times New Roman" w:hAnsi="Times New Roman" w:cs="Times New Roman"/>
          <w:sz w:val="24"/>
          <w:szCs w:val="24"/>
        </w:rPr>
        <w:t>79.1</w:t>
      </w:r>
      <w:r w:rsidRPr="00267BC4">
        <w:rPr>
          <w:rFonts w:ascii="Times New Roman" w:hAnsi="Times New Roman" w:cs="Times New Roman"/>
          <w:sz w:val="24"/>
          <w:szCs w:val="24"/>
        </w:rPr>
        <w:t xml:space="preserve">% to </w:t>
      </w:r>
      <w:r w:rsidR="0031185D" w:rsidRPr="00267BC4">
        <w:rPr>
          <w:rFonts w:ascii="Times New Roman" w:hAnsi="Times New Roman" w:cs="Times New Roman"/>
          <w:sz w:val="24"/>
          <w:szCs w:val="24"/>
        </w:rPr>
        <w:t>98</w:t>
      </w:r>
      <w:r w:rsidR="005A1158" w:rsidRPr="00267BC4">
        <w:rPr>
          <w:rFonts w:ascii="Times New Roman" w:hAnsi="Times New Roman" w:cs="Times New Roman"/>
          <w:sz w:val="24"/>
          <w:szCs w:val="24"/>
        </w:rPr>
        <w:t>.8</w:t>
      </w:r>
      <w:r w:rsidRPr="00267BC4">
        <w:rPr>
          <w:rFonts w:ascii="Times New Roman" w:hAnsi="Times New Roman" w:cs="Times New Roman"/>
          <w:sz w:val="24"/>
          <w:szCs w:val="24"/>
        </w:rPr>
        <w:t>%.</w:t>
      </w:r>
    </w:p>
    <w:p w14:paraId="41BBA532" w14:textId="77777777" w:rsidR="00EC0053" w:rsidRPr="00267BC4" w:rsidRDefault="00EC0053" w:rsidP="008C6258">
      <w:pPr>
        <w:autoSpaceDE w:val="0"/>
        <w:autoSpaceDN w:val="0"/>
        <w:bidi w:val="0"/>
        <w:adjustRightInd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ab/>
      </w:r>
    </w:p>
    <w:p w14:paraId="56BD3705" w14:textId="77777777" w:rsidR="00E02452" w:rsidRPr="00267BC4" w:rsidRDefault="00E02452" w:rsidP="00E02452">
      <w:pPr>
        <w:autoSpaceDE w:val="0"/>
        <w:autoSpaceDN w:val="0"/>
        <w:bidi w:val="0"/>
        <w:adjustRightInd w:val="0"/>
        <w:spacing w:after="0" w:line="240" w:lineRule="auto"/>
        <w:jc w:val="both"/>
        <w:rPr>
          <w:rFonts w:ascii="Times New Roman" w:hAnsi="Times New Roman" w:cs="Times New Roman"/>
          <w:sz w:val="16"/>
          <w:szCs w:val="16"/>
        </w:rPr>
      </w:pPr>
    </w:p>
    <w:p w14:paraId="33F49C13" w14:textId="77777777" w:rsidR="00982554" w:rsidRPr="00A16230" w:rsidRDefault="00EC0053" w:rsidP="003418CB">
      <w:pPr>
        <w:tabs>
          <w:tab w:val="left" w:pos="9072"/>
        </w:tabs>
        <w:bidi w:val="0"/>
        <w:spacing w:after="0" w:line="240" w:lineRule="auto"/>
        <w:jc w:val="center"/>
        <w:rPr>
          <w:rFonts w:ascii="Arial" w:hAnsi="Arial"/>
          <w:b/>
          <w:bCs/>
        </w:rPr>
      </w:pPr>
      <w:r w:rsidRPr="00267BC4">
        <w:rPr>
          <w:rFonts w:ascii="Arial" w:hAnsi="Arial"/>
          <w:b/>
          <w:bCs/>
        </w:rPr>
        <w:t xml:space="preserve">Proportion of Schools with Access to Internet for Pedagogical Purposes, </w:t>
      </w:r>
      <w:r w:rsidR="00E866B2" w:rsidRPr="00267BC4">
        <w:rPr>
          <w:rFonts w:ascii="Arial" w:hAnsi="Arial"/>
          <w:b/>
          <w:bCs/>
        </w:rPr>
        <w:t xml:space="preserve">2015/2016 </w:t>
      </w:r>
      <w:r w:rsidRPr="00267BC4">
        <w:rPr>
          <w:rFonts w:ascii="Arial" w:hAnsi="Arial"/>
          <w:b/>
          <w:bCs/>
        </w:rPr>
        <w:t>-</w:t>
      </w:r>
      <w:r w:rsidR="0031185D" w:rsidRPr="00267BC4">
        <w:rPr>
          <w:rFonts w:ascii="Arial" w:hAnsi="Arial"/>
          <w:b/>
          <w:bCs/>
        </w:rPr>
        <w:t>202</w:t>
      </w:r>
      <w:r w:rsidR="003418CB" w:rsidRPr="00267BC4">
        <w:rPr>
          <w:rFonts w:ascii="Arial" w:hAnsi="Arial"/>
          <w:b/>
          <w:bCs/>
        </w:rPr>
        <w:t>1</w:t>
      </w:r>
      <w:r w:rsidRPr="00267BC4">
        <w:rPr>
          <w:rFonts w:ascii="Arial" w:hAnsi="Arial"/>
          <w:b/>
          <w:bCs/>
        </w:rPr>
        <w:t>/</w:t>
      </w:r>
      <w:r w:rsidR="0031185D" w:rsidRPr="00267BC4">
        <w:rPr>
          <w:rFonts w:ascii="Arial" w:hAnsi="Arial"/>
          <w:b/>
          <w:bCs/>
        </w:rPr>
        <w:t>202</w:t>
      </w:r>
      <w:r w:rsidR="003418CB" w:rsidRPr="00267BC4">
        <w:rPr>
          <w:rFonts w:ascii="Arial" w:hAnsi="Arial"/>
          <w:b/>
          <w:bCs/>
        </w:rPr>
        <w:t>2</w:t>
      </w:r>
      <w:r w:rsidRPr="00267BC4">
        <w:rPr>
          <w:rFonts w:ascii="Arial" w:hAnsi="Arial"/>
          <w:b/>
          <w:bCs/>
        </w:rPr>
        <w:t>(%)</w:t>
      </w:r>
    </w:p>
    <w:tbl>
      <w:tblPr>
        <w:tblW w:w="9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8"/>
      </w:tblGrid>
      <w:tr w:rsidR="00EC0053" w:rsidRPr="00A16230" w14:paraId="09303FF6" w14:textId="77777777" w:rsidTr="0087691F">
        <w:trPr>
          <w:trHeight w:val="3104"/>
        </w:trPr>
        <w:tc>
          <w:tcPr>
            <w:tcW w:w="9238" w:type="dxa"/>
            <w:shd w:val="clear" w:color="auto" w:fill="auto"/>
          </w:tcPr>
          <w:p w14:paraId="4A1455E6"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Arial" w:hAnsi="Arial"/>
                <w:b/>
                <w:bCs/>
                <w:noProof/>
              </w:rPr>
              <w:drawing>
                <wp:inline distT="0" distB="0" distL="0" distR="0" wp14:anchorId="35CE6548" wp14:editId="4A103A9F">
                  <wp:extent cx="5486400" cy="1866900"/>
                  <wp:effectExtent l="0" t="0" r="0" b="0"/>
                  <wp:docPr id="45"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14:paraId="1B1266F5" w14:textId="77777777" w:rsidR="00EC0053" w:rsidRPr="00267BC4" w:rsidRDefault="00EC0053" w:rsidP="003418CB">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w:t>
      </w:r>
      <w:r w:rsidRPr="00267BC4">
        <w:rPr>
          <w:rFonts w:asciiTheme="minorBidi" w:hAnsiTheme="minorBidi" w:cstheme="minorBidi"/>
          <w:b/>
          <w:bCs/>
          <w:sz w:val="18"/>
          <w:szCs w:val="18"/>
        </w:rPr>
        <w:t xml:space="preserve">Ministry of Education, </w:t>
      </w:r>
      <w:r w:rsidRPr="00267BC4">
        <w:rPr>
          <w:rFonts w:asciiTheme="minorBidi" w:hAnsiTheme="minorBidi" w:cstheme="minorBidi"/>
          <w:sz w:val="18"/>
          <w:szCs w:val="18"/>
        </w:rPr>
        <w:t xml:space="preserve">Data Base of Education Survey for </w:t>
      </w:r>
      <w:r w:rsidR="002D3531" w:rsidRPr="00267BC4">
        <w:rPr>
          <w:rFonts w:asciiTheme="minorBidi" w:hAnsiTheme="minorBidi" w:cstheme="minorBidi"/>
          <w:sz w:val="18"/>
          <w:szCs w:val="18"/>
        </w:rPr>
        <w:t xml:space="preserve">2015/2016 - </w:t>
      </w:r>
      <w:r w:rsidR="0031185D" w:rsidRPr="00267BC4">
        <w:rPr>
          <w:rFonts w:asciiTheme="minorBidi" w:hAnsiTheme="minorBidi" w:cstheme="minorBidi"/>
          <w:sz w:val="18"/>
          <w:szCs w:val="18"/>
        </w:rPr>
        <w:t>202</w:t>
      </w:r>
      <w:r w:rsidR="003418CB" w:rsidRPr="00267BC4">
        <w:rPr>
          <w:rFonts w:asciiTheme="minorBidi" w:hAnsiTheme="minorBidi" w:cstheme="minorBidi"/>
          <w:sz w:val="18"/>
          <w:szCs w:val="18"/>
        </w:rPr>
        <w:t>1</w:t>
      </w:r>
      <w:r w:rsidR="002D3531" w:rsidRPr="00267BC4">
        <w:rPr>
          <w:rFonts w:asciiTheme="minorBidi" w:hAnsiTheme="minorBidi" w:cstheme="minorBidi"/>
          <w:sz w:val="18"/>
          <w:szCs w:val="18"/>
        </w:rPr>
        <w:t>/</w:t>
      </w:r>
      <w:r w:rsidR="0031185D" w:rsidRPr="00267BC4">
        <w:rPr>
          <w:rFonts w:asciiTheme="minorBidi" w:hAnsiTheme="minorBidi" w:cstheme="minorBidi"/>
          <w:sz w:val="18"/>
          <w:szCs w:val="18"/>
        </w:rPr>
        <w:t>202</w:t>
      </w:r>
      <w:r w:rsidR="003418CB" w:rsidRPr="00267BC4">
        <w:rPr>
          <w:rFonts w:asciiTheme="minorBidi" w:hAnsiTheme="minorBidi" w:cstheme="minorBidi"/>
          <w:sz w:val="18"/>
          <w:szCs w:val="18"/>
        </w:rPr>
        <w:t>2</w:t>
      </w:r>
      <w:r w:rsidR="006802E3" w:rsidRPr="00267BC4">
        <w:rPr>
          <w:rFonts w:asciiTheme="minorBidi" w:hAnsiTheme="minorBidi" w:cstheme="minorBidi"/>
          <w:sz w:val="18"/>
          <w:szCs w:val="18"/>
        </w:rPr>
        <w:t xml:space="preserve"> </w:t>
      </w:r>
      <w:r w:rsidRPr="00267BC4">
        <w:rPr>
          <w:rFonts w:asciiTheme="minorBidi" w:hAnsiTheme="minorBidi" w:cstheme="minorBidi"/>
          <w:sz w:val="18"/>
          <w:szCs w:val="18"/>
        </w:rPr>
        <w:t xml:space="preserve">scholastic </w:t>
      </w:r>
      <w:r w:rsidR="002D3531" w:rsidRPr="00267BC4">
        <w:rPr>
          <w:rFonts w:asciiTheme="minorBidi" w:hAnsiTheme="minorBidi" w:cstheme="minorBidi"/>
          <w:sz w:val="18"/>
          <w:szCs w:val="18"/>
        </w:rPr>
        <w:t>y</w:t>
      </w:r>
      <w:r w:rsidRPr="00267BC4">
        <w:rPr>
          <w:rFonts w:asciiTheme="minorBidi" w:hAnsiTheme="minorBidi" w:cstheme="minorBidi"/>
          <w:sz w:val="18"/>
          <w:szCs w:val="18"/>
        </w:rPr>
        <w:t>ears. Ramallah-Palestine</w:t>
      </w:r>
    </w:p>
    <w:p w14:paraId="2C048D63" w14:textId="77777777" w:rsidR="00EC0053" w:rsidRPr="00267BC4" w:rsidRDefault="00EC0053" w:rsidP="00E866B2">
      <w:pPr>
        <w:bidi w:val="0"/>
        <w:spacing w:after="0" w:line="240" w:lineRule="auto"/>
        <w:jc w:val="both"/>
        <w:rPr>
          <w:rFonts w:asciiTheme="minorBidi" w:hAnsiTheme="minorBidi" w:cstheme="minorBidi"/>
          <w:sz w:val="18"/>
          <w:szCs w:val="18"/>
        </w:rPr>
      </w:pPr>
      <w:r w:rsidRPr="00267BC4">
        <w:rPr>
          <w:rFonts w:asciiTheme="minorBidi" w:hAnsiTheme="minorBidi" w:cstheme="minorBidi"/>
          <w:sz w:val="18"/>
          <w:szCs w:val="18"/>
        </w:rPr>
        <w:t xml:space="preserve">Year </w:t>
      </w:r>
      <w:r w:rsidR="00E866B2" w:rsidRPr="00267BC4">
        <w:rPr>
          <w:rFonts w:asciiTheme="minorBidi" w:hAnsiTheme="minorBidi" w:cstheme="minorBidi"/>
          <w:sz w:val="18"/>
          <w:szCs w:val="18"/>
        </w:rPr>
        <w:t>2015</w:t>
      </w:r>
      <w:r w:rsidR="00CE401B" w:rsidRPr="00267BC4">
        <w:rPr>
          <w:rFonts w:asciiTheme="minorBidi" w:hAnsiTheme="minorBidi" w:cstheme="minorBidi"/>
          <w:sz w:val="18"/>
          <w:szCs w:val="18"/>
        </w:rPr>
        <w:t>,</w:t>
      </w:r>
      <w:r w:rsidRPr="00267BC4">
        <w:rPr>
          <w:rFonts w:asciiTheme="minorBidi" w:hAnsiTheme="minorBidi" w:cstheme="minorBidi"/>
          <w:sz w:val="18"/>
          <w:szCs w:val="18"/>
        </w:rPr>
        <w:t xml:space="preserve"> mean the scholastic year </w:t>
      </w:r>
      <w:r w:rsidR="00E866B2" w:rsidRPr="00267BC4">
        <w:rPr>
          <w:rFonts w:asciiTheme="minorBidi" w:hAnsiTheme="minorBidi" w:cstheme="minorBidi"/>
          <w:sz w:val="18"/>
          <w:szCs w:val="18"/>
        </w:rPr>
        <w:t>2015/2016</w:t>
      </w:r>
    </w:p>
    <w:p w14:paraId="45B0D446" w14:textId="77777777" w:rsidR="00EC0053" w:rsidRPr="00267BC4"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2BCC5BF2" w14:textId="77777777" w:rsidR="00EC0053" w:rsidRPr="00267BC4" w:rsidRDefault="00EC0053" w:rsidP="009A57C1">
      <w:pPr>
        <w:autoSpaceDE w:val="0"/>
        <w:autoSpaceDN w:val="0"/>
        <w:bidi w:val="0"/>
        <w:adjustRightInd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 xml:space="preserve">The proportion of schools with access to internet for pedagogical purposes is </w:t>
      </w:r>
      <w:r w:rsidR="0031185D" w:rsidRPr="00267BC4">
        <w:rPr>
          <w:rFonts w:ascii="Times New Roman" w:hAnsi="Times New Roman" w:cs="Times New Roman"/>
          <w:sz w:val="24"/>
          <w:szCs w:val="24"/>
        </w:rPr>
        <w:t>98</w:t>
      </w:r>
      <w:r w:rsidR="005A1158" w:rsidRPr="00267BC4">
        <w:rPr>
          <w:rFonts w:ascii="Times New Roman" w:hAnsi="Times New Roman" w:cs="Times New Roman"/>
          <w:sz w:val="24"/>
          <w:szCs w:val="24"/>
        </w:rPr>
        <w:t>.</w:t>
      </w:r>
      <w:r w:rsidR="00902738" w:rsidRPr="00267BC4">
        <w:rPr>
          <w:rFonts w:ascii="Times New Roman" w:hAnsi="Times New Roman" w:cs="Times New Roman"/>
          <w:sz w:val="24"/>
          <w:szCs w:val="24"/>
        </w:rPr>
        <w:t>8</w:t>
      </w:r>
      <w:r w:rsidRPr="00267BC4">
        <w:rPr>
          <w:rFonts w:ascii="Times New Roman" w:hAnsi="Times New Roman" w:cs="Times New Roman"/>
          <w:sz w:val="24"/>
          <w:szCs w:val="24"/>
        </w:rPr>
        <w:t xml:space="preserve">% and </w:t>
      </w:r>
      <w:r w:rsidR="000B1B5F" w:rsidRPr="00267BC4">
        <w:rPr>
          <w:rFonts w:ascii="Times New Roman" w:hAnsi="Times New Roman" w:cs="Times New Roman"/>
          <w:sz w:val="24"/>
          <w:szCs w:val="24"/>
        </w:rPr>
        <w:t xml:space="preserve">this figure </w:t>
      </w:r>
      <w:r w:rsidRPr="00267BC4">
        <w:rPr>
          <w:rFonts w:ascii="Times New Roman" w:hAnsi="Times New Roman" w:cs="Times New Roman"/>
          <w:sz w:val="24"/>
          <w:szCs w:val="24"/>
        </w:rPr>
        <w:t xml:space="preserve">varies considerably between educational stages </w:t>
      </w:r>
      <w:r w:rsidR="000B1B5F" w:rsidRPr="00267BC4">
        <w:rPr>
          <w:rFonts w:ascii="Times New Roman" w:hAnsi="Times New Roman" w:cs="Times New Roman"/>
          <w:sz w:val="24"/>
          <w:szCs w:val="24"/>
        </w:rPr>
        <w:t>in</w:t>
      </w:r>
      <w:r w:rsidRPr="00267BC4">
        <w:rPr>
          <w:rFonts w:ascii="Times New Roman" w:hAnsi="Times New Roman" w:cs="Times New Roman"/>
          <w:sz w:val="24"/>
          <w:szCs w:val="24"/>
        </w:rPr>
        <w:t xml:space="preserve"> the period </w:t>
      </w:r>
      <w:r w:rsidR="000B1B5F" w:rsidRPr="00267BC4">
        <w:rPr>
          <w:rFonts w:ascii="Times New Roman" w:hAnsi="Times New Roman" w:cs="Times New Roman"/>
          <w:sz w:val="24"/>
          <w:szCs w:val="24"/>
        </w:rPr>
        <w:t xml:space="preserve">of </w:t>
      </w:r>
      <w:r w:rsidR="009A57C1" w:rsidRPr="00267BC4">
        <w:rPr>
          <w:rFonts w:ascii="Times New Roman" w:hAnsi="Times New Roman" w:cs="Times New Roman"/>
          <w:sz w:val="24"/>
          <w:szCs w:val="24"/>
        </w:rPr>
        <w:t>201</w:t>
      </w:r>
      <w:r w:rsidR="009A57C1" w:rsidRPr="00267BC4">
        <w:rPr>
          <w:rFonts w:ascii="Times New Roman" w:hAnsi="Times New Roman" w:cs="Times New Roman" w:hint="cs"/>
          <w:sz w:val="24"/>
          <w:szCs w:val="24"/>
          <w:rtl/>
        </w:rPr>
        <w:t>6</w:t>
      </w:r>
      <w:r w:rsidR="00A62A92" w:rsidRPr="00267BC4">
        <w:rPr>
          <w:rFonts w:ascii="Times New Roman" w:hAnsi="Times New Roman" w:cs="Times New Roman"/>
          <w:sz w:val="24"/>
          <w:szCs w:val="24"/>
        </w:rPr>
        <w:t>/</w:t>
      </w:r>
      <w:r w:rsidR="009A57C1" w:rsidRPr="00267BC4">
        <w:rPr>
          <w:rFonts w:ascii="Times New Roman" w:hAnsi="Times New Roman" w:cs="Times New Roman"/>
          <w:sz w:val="24"/>
          <w:szCs w:val="24"/>
        </w:rPr>
        <w:t>201</w:t>
      </w:r>
      <w:r w:rsidR="009A57C1" w:rsidRPr="00267BC4">
        <w:rPr>
          <w:rFonts w:ascii="Times New Roman" w:hAnsi="Times New Roman" w:cs="Times New Roman" w:hint="cs"/>
          <w:sz w:val="24"/>
          <w:szCs w:val="24"/>
          <w:rtl/>
        </w:rPr>
        <w:t>7</w:t>
      </w:r>
      <w:r w:rsidRPr="00267BC4">
        <w:rPr>
          <w:rFonts w:ascii="Times New Roman" w:hAnsi="Times New Roman" w:cs="Times New Roman"/>
          <w:sz w:val="24"/>
          <w:szCs w:val="24"/>
        </w:rPr>
        <w:t>-</w:t>
      </w:r>
      <w:r w:rsidR="0031185D" w:rsidRPr="00267BC4">
        <w:rPr>
          <w:rFonts w:ascii="Times New Roman" w:hAnsi="Times New Roman" w:cs="Times New Roman"/>
          <w:sz w:val="24"/>
          <w:szCs w:val="24"/>
        </w:rPr>
        <w:t>2021</w:t>
      </w:r>
      <w:r w:rsidRPr="00267BC4">
        <w:rPr>
          <w:rFonts w:ascii="Times New Roman" w:hAnsi="Times New Roman" w:cs="Times New Roman"/>
          <w:sz w:val="24"/>
          <w:szCs w:val="24"/>
        </w:rPr>
        <w:t>/</w:t>
      </w:r>
      <w:r w:rsidR="0031185D" w:rsidRPr="00267BC4">
        <w:rPr>
          <w:rFonts w:ascii="Times New Roman" w:hAnsi="Times New Roman" w:cs="Times New Roman"/>
          <w:sz w:val="24"/>
          <w:szCs w:val="24"/>
        </w:rPr>
        <w:t>2022</w:t>
      </w:r>
      <w:r w:rsidR="00CE401B" w:rsidRPr="00267BC4">
        <w:rPr>
          <w:rFonts w:ascii="Times New Roman" w:hAnsi="Times New Roman" w:cs="Times New Roman"/>
          <w:sz w:val="24"/>
          <w:szCs w:val="24"/>
        </w:rPr>
        <w:t>,</w:t>
      </w:r>
      <w:r w:rsidR="004A40F1" w:rsidRPr="00267BC4">
        <w:rPr>
          <w:rFonts w:ascii="Times New Roman" w:hAnsi="Times New Roman" w:cs="Times New Roman"/>
          <w:sz w:val="24"/>
          <w:szCs w:val="24"/>
        </w:rPr>
        <w:t>with the upper secondary stage showing the highest proportion and the lowest  is among the primary stage</w:t>
      </w:r>
      <w:r w:rsidRPr="00267BC4">
        <w:rPr>
          <w:rFonts w:ascii="Times New Roman" w:hAnsi="Times New Roman" w:cs="Times New Roman"/>
          <w:sz w:val="24"/>
          <w:szCs w:val="24"/>
        </w:rPr>
        <w:t>.</w:t>
      </w:r>
    </w:p>
    <w:p w14:paraId="59F01693" w14:textId="77777777" w:rsidR="003D4C06" w:rsidRPr="00267BC4" w:rsidRDefault="003D4C06" w:rsidP="003A30DF">
      <w:pPr>
        <w:tabs>
          <w:tab w:val="left" w:pos="9072"/>
        </w:tabs>
        <w:bidi w:val="0"/>
        <w:spacing w:after="0" w:line="240" w:lineRule="auto"/>
        <w:rPr>
          <w:rFonts w:ascii="Arial" w:hAnsi="Arial"/>
          <w:b/>
          <w:bCs/>
        </w:rPr>
      </w:pPr>
    </w:p>
    <w:p w14:paraId="6A9EE010" w14:textId="77777777" w:rsidR="00EC0053" w:rsidRPr="00A16230" w:rsidRDefault="004A40F1" w:rsidP="009A57C1">
      <w:pPr>
        <w:tabs>
          <w:tab w:val="left" w:pos="9072"/>
        </w:tabs>
        <w:bidi w:val="0"/>
        <w:spacing w:after="0" w:line="240" w:lineRule="auto"/>
        <w:jc w:val="center"/>
        <w:rPr>
          <w:rFonts w:ascii="Arial" w:hAnsi="Arial"/>
          <w:b/>
          <w:bCs/>
        </w:rPr>
      </w:pPr>
      <w:r w:rsidRPr="00267BC4">
        <w:rPr>
          <w:rFonts w:ascii="Arial" w:hAnsi="Arial"/>
          <w:b/>
          <w:bCs/>
        </w:rPr>
        <w:t>Proportion of Schools with Access to Internet for Pedagogical Purposes by Stage of Education, 201</w:t>
      </w:r>
      <w:r w:rsidR="009A57C1" w:rsidRPr="00267BC4">
        <w:rPr>
          <w:rFonts w:ascii="Arial" w:hAnsi="Arial" w:hint="cs"/>
          <w:b/>
          <w:bCs/>
          <w:rtl/>
        </w:rPr>
        <w:t>6</w:t>
      </w:r>
      <w:r w:rsidRPr="00267BC4">
        <w:rPr>
          <w:rFonts w:ascii="Arial" w:hAnsi="Arial"/>
          <w:b/>
          <w:bCs/>
        </w:rPr>
        <w:t>/201</w:t>
      </w:r>
      <w:r w:rsidR="009A57C1" w:rsidRPr="00267BC4">
        <w:rPr>
          <w:rFonts w:ascii="Arial" w:hAnsi="Arial" w:hint="cs"/>
          <w:b/>
          <w:bCs/>
          <w:rtl/>
        </w:rPr>
        <w:t>7</w:t>
      </w:r>
      <w:r w:rsidRPr="00267BC4">
        <w:rPr>
          <w:rFonts w:ascii="Arial" w:hAnsi="Arial"/>
          <w:b/>
          <w:bCs/>
        </w:rPr>
        <w:t>-2021/2022(%)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59AB2759" w14:textId="77777777" w:rsidTr="00335608">
        <w:tc>
          <w:tcPr>
            <w:tcW w:w="9286" w:type="dxa"/>
            <w:shd w:val="clear" w:color="auto" w:fill="auto"/>
          </w:tcPr>
          <w:p w14:paraId="6C06BDC5"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noProof/>
              </w:rPr>
              <w:drawing>
                <wp:inline distT="0" distB="0" distL="0" distR="0" wp14:anchorId="6BA5C54B" wp14:editId="518EBECA">
                  <wp:extent cx="5486400" cy="2393315"/>
                  <wp:effectExtent l="0" t="0" r="0" b="6985"/>
                  <wp:docPr id="46"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14:paraId="16117A0B" w14:textId="77777777" w:rsidR="00EC0053" w:rsidRPr="00267BC4" w:rsidRDefault="00EC0053" w:rsidP="009A57C1">
      <w:pPr>
        <w:bidi w:val="0"/>
        <w:spacing w:after="0" w:line="240" w:lineRule="auto"/>
        <w:ind w:left="720" w:hanging="720"/>
        <w:jc w:val="both"/>
        <w:rPr>
          <w:rFonts w:asciiTheme="minorBidi" w:hAnsiTheme="minorBidi" w:cstheme="minorBidi"/>
          <w:b/>
          <w:bCs/>
          <w:sz w:val="18"/>
          <w:szCs w:val="18"/>
        </w:rPr>
      </w:pPr>
      <w:r w:rsidRPr="00E93C76">
        <w:rPr>
          <w:rFonts w:asciiTheme="minorBidi" w:hAnsiTheme="minorBidi" w:cstheme="minorBidi"/>
          <w:b/>
          <w:bCs/>
          <w:sz w:val="18"/>
          <w:szCs w:val="18"/>
        </w:rPr>
        <w:t xml:space="preserve">Source: Ministry of Education, </w:t>
      </w:r>
      <w:r w:rsidRPr="00267BC4">
        <w:rPr>
          <w:rFonts w:asciiTheme="minorBidi" w:hAnsiTheme="minorBidi" w:cstheme="minorBidi"/>
          <w:sz w:val="18"/>
          <w:szCs w:val="18"/>
        </w:rPr>
        <w:t xml:space="preserve">Data Base of Education Survey for </w:t>
      </w:r>
      <w:r w:rsidR="009A57C1" w:rsidRPr="00267BC4">
        <w:rPr>
          <w:rFonts w:asciiTheme="minorBidi" w:hAnsiTheme="minorBidi" w:cstheme="minorBidi"/>
          <w:sz w:val="18"/>
          <w:szCs w:val="18"/>
        </w:rPr>
        <w:t>the 201</w:t>
      </w:r>
      <w:r w:rsidR="009A57C1" w:rsidRPr="00267BC4">
        <w:rPr>
          <w:rFonts w:asciiTheme="minorBidi" w:hAnsiTheme="minorBidi" w:cstheme="minorBidi" w:hint="cs"/>
          <w:sz w:val="18"/>
          <w:szCs w:val="18"/>
          <w:rtl/>
        </w:rPr>
        <w:t>6</w:t>
      </w:r>
      <w:r w:rsidR="00A62A92" w:rsidRPr="00267BC4">
        <w:rPr>
          <w:rFonts w:asciiTheme="minorBidi" w:hAnsiTheme="minorBidi" w:cstheme="minorBidi"/>
          <w:sz w:val="18"/>
          <w:szCs w:val="18"/>
        </w:rPr>
        <w:t>/</w:t>
      </w:r>
      <w:r w:rsidR="009A57C1" w:rsidRPr="00267BC4">
        <w:rPr>
          <w:rFonts w:asciiTheme="minorBidi" w:hAnsiTheme="minorBidi" w:cstheme="minorBidi"/>
          <w:sz w:val="18"/>
          <w:szCs w:val="18"/>
        </w:rPr>
        <w:t>201</w:t>
      </w:r>
      <w:r w:rsidR="009A57C1" w:rsidRPr="00267BC4">
        <w:rPr>
          <w:rFonts w:asciiTheme="minorBidi" w:hAnsiTheme="minorBidi" w:cstheme="minorBidi" w:hint="cs"/>
          <w:sz w:val="18"/>
          <w:szCs w:val="18"/>
          <w:rtl/>
        </w:rPr>
        <w:t>7</w:t>
      </w:r>
      <w:r w:rsidR="009A57C1" w:rsidRPr="00267BC4">
        <w:rPr>
          <w:rFonts w:asciiTheme="minorBidi" w:hAnsiTheme="minorBidi" w:cstheme="minorBidi"/>
          <w:sz w:val="18"/>
          <w:szCs w:val="18"/>
        </w:rPr>
        <w:t xml:space="preserve"> </w:t>
      </w:r>
      <w:r w:rsidRPr="00267BC4">
        <w:rPr>
          <w:rFonts w:asciiTheme="minorBidi" w:hAnsiTheme="minorBidi" w:cstheme="minorBidi"/>
          <w:sz w:val="18"/>
          <w:szCs w:val="18"/>
        </w:rPr>
        <w:t xml:space="preserve">- </w:t>
      </w:r>
      <w:r w:rsidR="0031185D" w:rsidRPr="00267BC4">
        <w:rPr>
          <w:rFonts w:asciiTheme="minorBidi" w:hAnsiTheme="minorBidi" w:cstheme="minorBidi"/>
          <w:sz w:val="18"/>
          <w:szCs w:val="18"/>
        </w:rPr>
        <w:t>2021</w:t>
      </w:r>
      <w:r w:rsidRPr="00267BC4">
        <w:rPr>
          <w:rFonts w:asciiTheme="minorBidi" w:hAnsiTheme="minorBidi" w:cstheme="minorBidi"/>
          <w:sz w:val="18"/>
          <w:szCs w:val="18"/>
        </w:rPr>
        <w:t>/</w:t>
      </w:r>
      <w:r w:rsidR="0031185D" w:rsidRPr="00267BC4">
        <w:rPr>
          <w:rFonts w:asciiTheme="minorBidi" w:hAnsiTheme="minorBidi" w:cstheme="minorBidi"/>
          <w:sz w:val="18"/>
          <w:szCs w:val="18"/>
        </w:rPr>
        <w:t>2022</w:t>
      </w:r>
      <w:r w:rsidR="006802E3" w:rsidRPr="00267BC4">
        <w:rPr>
          <w:rFonts w:asciiTheme="minorBidi" w:hAnsiTheme="minorBidi" w:cstheme="minorBidi"/>
          <w:sz w:val="18"/>
          <w:szCs w:val="18"/>
        </w:rPr>
        <w:t xml:space="preserve"> </w:t>
      </w:r>
      <w:r w:rsidR="000B1B5F" w:rsidRPr="00267BC4">
        <w:rPr>
          <w:rFonts w:asciiTheme="minorBidi" w:hAnsiTheme="minorBidi" w:cstheme="minorBidi"/>
          <w:sz w:val="18"/>
          <w:szCs w:val="18"/>
        </w:rPr>
        <w:t>scholastic years</w:t>
      </w:r>
      <w:r w:rsidRPr="00267BC4">
        <w:rPr>
          <w:rFonts w:asciiTheme="minorBidi" w:hAnsiTheme="minorBidi" w:cstheme="minorBidi"/>
          <w:sz w:val="18"/>
          <w:szCs w:val="18"/>
        </w:rPr>
        <w:t>. Ramallah-Palestine</w:t>
      </w:r>
    </w:p>
    <w:p w14:paraId="3783C360" w14:textId="77777777" w:rsidR="00625A8B" w:rsidRPr="00267BC4" w:rsidRDefault="00EC0053" w:rsidP="009A57C1">
      <w:pPr>
        <w:bidi w:val="0"/>
        <w:spacing w:after="0" w:line="240" w:lineRule="auto"/>
        <w:jc w:val="both"/>
        <w:rPr>
          <w:rFonts w:asciiTheme="minorBidi" w:hAnsiTheme="minorBidi" w:cstheme="minorBidi"/>
          <w:sz w:val="18"/>
          <w:szCs w:val="18"/>
        </w:rPr>
      </w:pPr>
      <w:r w:rsidRPr="00267BC4">
        <w:rPr>
          <w:rFonts w:asciiTheme="minorBidi" w:hAnsiTheme="minorBidi" w:cstheme="minorBidi"/>
          <w:sz w:val="18"/>
          <w:szCs w:val="18"/>
        </w:rPr>
        <w:t xml:space="preserve">Year </w:t>
      </w:r>
      <w:r w:rsidR="009A57C1" w:rsidRPr="00267BC4">
        <w:rPr>
          <w:rFonts w:asciiTheme="minorBidi" w:hAnsiTheme="minorBidi" w:cstheme="minorBidi"/>
          <w:sz w:val="18"/>
          <w:szCs w:val="18"/>
        </w:rPr>
        <w:t>2016</w:t>
      </w:r>
      <w:r w:rsidR="00CE401B" w:rsidRPr="00267BC4">
        <w:rPr>
          <w:rFonts w:asciiTheme="minorBidi" w:hAnsiTheme="minorBidi" w:cstheme="minorBidi"/>
          <w:sz w:val="18"/>
          <w:szCs w:val="18"/>
        </w:rPr>
        <w:t>,</w:t>
      </w:r>
      <w:r w:rsidRPr="00267BC4">
        <w:rPr>
          <w:rFonts w:asciiTheme="minorBidi" w:hAnsiTheme="minorBidi" w:cstheme="minorBidi"/>
          <w:sz w:val="18"/>
          <w:szCs w:val="18"/>
        </w:rPr>
        <w:t xml:space="preserve"> mean</w:t>
      </w:r>
      <w:r w:rsidR="003E6A5C" w:rsidRPr="00267BC4">
        <w:rPr>
          <w:rFonts w:asciiTheme="minorBidi" w:hAnsiTheme="minorBidi" w:cstheme="minorBidi"/>
          <w:sz w:val="18"/>
          <w:szCs w:val="18"/>
        </w:rPr>
        <w:t>s</w:t>
      </w:r>
      <w:r w:rsidRPr="00267BC4">
        <w:rPr>
          <w:rFonts w:asciiTheme="minorBidi" w:hAnsiTheme="minorBidi" w:cstheme="minorBidi"/>
          <w:sz w:val="18"/>
          <w:szCs w:val="18"/>
        </w:rPr>
        <w:t xml:space="preserve"> the scholastic year </w:t>
      </w:r>
      <w:r w:rsidR="009A57C1" w:rsidRPr="00267BC4">
        <w:rPr>
          <w:rFonts w:asciiTheme="minorBidi" w:hAnsiTheme="minorBidi" w:cstheme="minorBidi"/>
          <w:sz w:val="18"/>
          <w:szCs w:val="18"/>
        </w:rPr>
        <w:t>2016</w:t>
      </w:r>
      <w:r w:rsidR="00A62A92" w:rsidRPr="00267BC4">
        <w:rPr>
          <w:rFonts w:asciiTheme="minorBidi" w:hAnsiTheme="minorBidi" w:cstheme="minorBidi"/>
          <w:sz w:val="18"/>
          <w:szCs w:val="18"/>
        </w:rPr>
        <w:t>/</w:t>
      </w:r>
      <w:r w:rsidR="009A57C1" w:rsidRPr="00267BC4">
        <w:rPr>
          <w:rFonts w:asciiTheme="minorBidi" w:hAnsiTheme="minorBidi" w:cstheme="minorBidi"/>
          <w:sz w:val="18"/>
          <w:szCs w:val="18"/>
        </w:rPr>
        <w:t>2017</w:t>
      </w:r>
    </w:p>
    <w:p w14:paraId="54EB095F" w14:textId="77777777" w:rsidR="003A30DF" w:rsidRPr="00267BC4" w:rsidRDefault="003A30DF" w:rsidP="003A30DF">
      <w:pPr>
        <w:bidi w:val="0"/>
        <w:spacing w:after="0" w:line="240" w:lineRule="auto"/>
        <w:jc w:val="both"/>
        <w:rPr>
          <w:rFonts w:ascii="Times New Roman" w:hAnsi="Times New Roman" w:cs="Times New Roman"/>
          <w:sz w:val="18"/>
          <w:szCs w:val="18"/>
        </w:rPr>
      </w:pPr>
    </w:p>
    <w:p w14:paraId="57D37700" w14:textId="77777777" w:rsidR="00902738" w:rsidRPr="00267BC4" w:rsidRDefault="00EC0053" w:rsidP="00EC0A62">
      <w:pPr>
        <w:bidi w:val="0"/>
        <w:spacing w:after="0" w:line="240" w:lineRule="auto"/>
        <w:jc w:val="both"/>
        <w:rPr>
          <w:rFonts w:ascii="Times New Roman" w:hAnsi="Times New Roman" w:cs="Times New Roman"/>
          <w:b/>
          <w:bCs/>
          <w:i/>
          <w:iCs/>
          <w:sz w:val="24"/>
          <w:szCs w:val="24"/>
        </w:rPr>
      </w:pPr>
      <w:r w:rsidRPr="00267BC4">
        <w:rPr>
          <w:rFonts w:ascii="Times New Roman" w:hAnsi="Times New Roman" w:cs="Times New Roman"/>
          <w:b/>
          <w:bCs/>
          <w:i/>
          <w:iCs/>
          <w:sz w:val="24"/>
          <w:szCs w:val="24"/>
        </w:rPr>
        <w:t>Indicator 4.a.1.3 Proportion of schools with access to computers for pedagogical purposes</w:t>
      </w:r>
    </w:p>
    <w:p w14:paraId="66890DA5" w14:textId="77777777" w:rsidR="00877949" w:rsidRPr="00267BC4" w:rsidRDefault="00877949" w:rsidP="00877949">
      <w:pPr>
        <w:bidi w:val="0"/>
        <w:spacing w:after="0" w:line="240" w:lineRule="auto"/>
        <w:jc w:val="both"/>
        <w:rPr>
          <w:rFonts w:ascii="Times New Roman" w:hAnsi="Times New Roman" w:cs="Times New Roman"/>
          <w:sz w:val="18"/>
          <w:szCs w:val="18"/>
        </w:rPr>
      </w:pPr>
    </w:p>
    <w:p w14:paraId="32DD5A32" w14:textId="77777777" w:rsidR="00E02452" w:rsidRPr="00267BC4" w:rsidRDefault="00EC0053" w:rsidP="0031185D">
      <w:pPr>
        <w:autoSpaceDE w:val="0"/>
        <w:autoSpaceDN w:val="0"/>
        <w:bidi w:val="0"/>
        <w:adjustRightInd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Proportion of schools with access to computer</w:t>
      </w:r>
      <w:r w:rsidR="000B1B5F" w:rsidRPr="00267BC4">
        <w:rPr>
          <w:rFonts w:ascii="Times New Roman" w:hAnsi="Times New Roman" w:cs="Times New Roman"/>
          <w:sz w:val="24"/>
          <w:szCs w:val="24"/>
        </w:rPr>
        <w:t>s</w:t>
      </w:r>
      <w:r w:rsidRPr="00267BC4">
        <w:rPr>
          <w:rFonts w:ascii="Times New Roman" w:hAnsi="Times New Roman" w:cs="Times New Roman"/>
          <w:sz w:val="24"/>
          <w:szCs w:val="24"/>
        </w:rPr>
        <w:t xml:space="preserve"> for pedagogical purposes in Palestine </w:t>
      </w:r>
      <w:r w:rsidR="000B1B5F" w:rsidRPr="00267BC4">
        <w:rPr>
          <w:rFonts w:ascii="Times New Roman" w:hAnsi="Times New Roman" w:cs="Times New Roman"/>
          <w:sz w:val="24"/>
          <w:szCs w:val="24"/>
        </w:rPr>
        <w:t>reached</w:t>
      </w:r>
      <w:r w:rsidR="00026C17" w:rsidRPr="00267BC4">
        <w:rPr>
          <w:rFonts w:ascii="Times New Roman" w:hAnsi="Times New Roman" w:cs="Times New Roman"/>
          <w:sz w:val="24"/>
          <w:szCs w:val="24"/>
        </w:rPr>
        <w:t>9</w:t>
      </w:r>
      <w:r w:rsidR="00F4298C" w:rsidRPr="00267BC4">
        <w:rPr>
          <w:rFonts w:ascii="Times New Roman" w:hAnsi="Times New Roman" w:cs="Times New Roman"/>
          <w:sz w:val="24"/>
          <w:szCs w:val="24"/>
        </w:rPr>
        <w:t>8</w:t>
      </w:r>
      <w:r w:rsidR="00026C17" w:rsidRPr="00267BC4">
        <w:rPr>
          <w:rFonts w:ascii="Times New Roman" w:hAnsi="Times New Roman" w:cs="Times New Roman"/>
          <w:sz w:val="24"/>
          <w:szCs w:val="24"/>
        </w:rPr>
        <w:t>.</w:t>
      </w:r>
      <w:r w:rsidR="00F4298C" w:rsidRPr="00267BC4">
        <w:rPr>
          <w:rFonts w:ascii="Times New Roman" w:hAnsi="Times New Roman" w:cs="Times New Roman"/>
          <w:sz w:val="24"/>
          <w:szCs w:val="24"/>
        </w:rPr>
        <w:t>1</w:t>
      </w:r>
      <w:r w:rsidR="00026C17" w:rsidRPr="00267BC4">
        <w:rPr>
          <w:rFonts w:ascii="Times New Roman" w:hAnsi="Times New Roman" w:cs="Times New Roman"/>
          <w:sz w:val="24"/>
          <w:szCs w:val="24"/>
        </w:rPr>
        <w:t>%</w:t>
      </w:r>
      <w:r w:rsidRPr="00267BC4">
        <w:rPr>
          <w:rFonts w:ascii="Times New Roman" w:hAnsi="Times New Roman" w:cs="Times New Roman"/>
          <w:sz w:val="24"/>
          <w:szCs w:val="24"/>
        </w:rPr>
        <w:t>in the 20</w:t>
      </w:r>
      <w:r w:rsidR="00F4298C" w:rsidRPr="00267BC4">
        <w:rPr>
          <w:rFonts w:ascii="Times New Roman" w:hAnsi="Times New Roman" w:cs="Times New Roman"/>
          <w:sz w:val="24"/>
          <w:szCs w:val="24"/>
        </w:rPr>
        <w:t>15</w:t>
      </w:r>
      <w:r w:rsidRPr="00267BC4">
        <w:rPr>
          <w:rFonts w:ascii="Times New Roman" w:hAnsi="Times New Roman" w:cs="Times New Roman"/>
          <w:sz w:val="24"/>
          <w:szCs w:val="24"/>
        </w:rPr>
        <w:t>/201</w:t>
      </w:r>
      <w:r w:rsidR="00F4298C" w:rsidRPr="00267BC4">
        <w:rPr>
          <w:rFonts w:ascii="Times New Roman" w:hAnsi="Times New Roman" w:cs="Times New Roman"/>
          <w:sz w:val="24"/>
          <w:szCs w:val="24"/>
        </w:rPr>
        <w:t>6</w:t>
      </w:r>
      <w:r w:rsidR="006802E3" w:rsidRPr="00267BC4">
        <w:rPr>
          <w:rFonts w:ascii="Times New Roman" w:hAnsi="Times New Roman" w:cs="Times New Roman"/>
          <w:sz w:val="24"/>
          <w:szCs w:val="24"/>
        </w:rPr>
        <w:t xml:space="preserve"> </w:t>
      </w:r>
      <w:r w:rsidR="000B1B5F" w:rsidRPr="00267BC4">
        <w:rPr>
          <w:rFonts w:ascii="Times New Roman" w:hAnsi="Times New Roman" w:cs="Times New Roman"/>
          <w:sz w:val="24"/>
          <w:szCs w:val="24"/>
        </w:rPr>
        <w:t xml:space="preserve">period </w:t>
      </w:r>
      <w:r w:rsidR="00026C17" w:rsidRPr="00267BC4">
        <w:rPr>
          <w:rFonts w:ascii="Times New Roman" w:hAnsi="Times New Roman" w:cs="Times New Roman"/>
          <w:sz w:val="24"/>
          <w:szCs w:val="24"/>
        </w:rPr>
        <w:t xml:space="preserve">and </w:t>
      </w:r>
      <w:r w:rsidR="0031185D" w:rsidRPr="00267BC4">
        <w:rPr>
          <w:rFonts w:ascii="Times New Roman" w:hAnsi="Times New Roman" w:cs="Times New Roman"/>
          <w:sz w:val="24"/>
          <w:szCs w:val="24"/>
        </w:rPr>
        <w:t>91.5</w:t>
      </w:r>
      <w:r w:rsidRPr="00267BC4">
        <w:rPr>
          <w:rFonts w:ascii="Times New Roman" w:hAnsi="Times New Roman" w:cs="Times New Roman"/>
          <w:sz w:val="24"/>
          <w:szCs w:val="24"/>
        </w:rPr>
        <w:t>%</w:t>
      </w:r>
      <w:r w:rsidR="00026C17" w:rsidRPr="00267BC4">
        <w:rPr>
          <w:rFonts w:ascii="Times New Roman" w:hAnsi="Times New Roman" w:cs="Times New Roman"/>
          <w:sz w:val="24"/>
          <w:szCs w:val="24"/>
        </w:rPr>
        <w:t xml:space="preserve"> in </w:t>
      </w:r>
      <w:r w:rsidR="000B1B5F" w:rsidRPr="00267BC4">
        <w:rPr>
          <w:rFonts w:ascii="Times New Roman" w:hAnsi="Times New Roman" w:cs="Times New Roman"/>
          <w:sz w:val="24"/>
          <w:szCs w:val="24"/>
        </w:rPr>
        <w:t xml:space="preserve">the </w:t>
      </w:r>
      <w:r w:rsidR="0031185D" w:rsidRPr="00267BC4">
        <w:rPr>
          <w:rFonts w:ascii="Times New Roman" w:hAnsi="Times New Roman" w:cs="Times New Roman"/>
          <w:sz w:val="24"/>
          <w:szCs w:val="24"/>
        </w:rPr>
        <w:t>2021</w:t>
      </w:r>
      <w:r w:rsidR="00026C17" w:rsidRPr="00267BC4">
        <w:rPr>
          <w:rFonts w:ascii="Times New Roman" w:hAnsi="Times New Roman" w:cs="Times New Roman"/>
          <w:sz w:val="24"/>
          <w:szCs w:val="24"/>
        </w:rPr>
        <w:t>/</w:t>
      </w:r>
      <w:r w:rsidR="0031185D" w:rsidRPr="00267BC4">
        <w:rPr>
          <w:rFonts w:ascii="Times New Roman" w:hAnsi="Times New Roman" w:cs="Times New Roman"/>
          <w:sz w:val="24"/>
          <w:szCs w:val="24"/>
        </w:rPr>
        <w:t>2022</w:t>
      </w:r>
      <w:r w:rsidR="006802E3" w:rsidRPr="00267BC4">
        <w:rPr>
          <w:rFonts w:ascii="Times New Roman" w:hAnsi="Times New Roman" w:cs="Times New Roman"/>
          <w:sz w:val="24"/>
          <w:szCs w:val="24"/>
        </w:rPr>
        <w:t xml:space="preserve"> </w:t>
      </w:r>
      <w:r w:rsidR="000B1B5F" w:rsidRPr="00267BC4">
        <w:rPr>
          <w:rFonts w:ascii="Times New Roman" w:hAnsi="Times New Roman" w:cs="Times New Roman"/>
          <w:sz w:val="24"/>
          <w:szCs w:val="24"/>
        </w:rPr>
        <w:t>period</w:t>
      </w:r>
      <w:r w:rsidR="00026C17" w:rsidRPr="00267BC4">
        <w:rPr>
          <w:rFonts w:ascii="Times New Roman" w:hAnsi="Times New Roman" w:cs="Times New Roman"/>
          <w:sz w:val="24"/>
          <w:szCs w:val="24"/>
        </w:rPr>
        <w:t>, with some variations in the middle years.</w:t>
      </w:r>
    </w:p>
    <w:p w14:paraId="70D9EF2D" w14:textId="77777777" w:rsidR="00982554" w:rsidRPr="00267BC4" w:rsidRDefault="00EC0053" w:rsidP="0031185D">
      <w:pPr>
        <w:tabs>
          <w:tab w:val="left" w:pos="9072"/>
        </w:tabs>
        <w:bidi w:val="0"/>
        <w:spacing w:after="0" w:line="240" w:lineRule="auto"/>
        <w:jc w:val="center"/>
        <w:rPr>
          <w:rFonts w:ascii="Arial" w:hAnsi="Arial"/>
          <w:b/>
          <w:bCs/>
        </w:rPr>
      </w:pPr>
      <w:r w:rsidRPr="00267BC4">
        <w:rPr>
          <w:rFonts w:ascii="Arial" w:hAnsi="Arial"/>
          <w:b/>
          <w:bCs/>
        </w:rPr>
        <w:lastRenderedPageBreak/>
        <w:t>Proportion of Schools with Access to Computers for Pedagogical Purposes, 20</w:t>
      </w:r>
      <w:r w:rsidR="00F4298C" w:rsidRPr="00267BC4">
        <w:rPr>
          <w:rFonts w:ascii="Arial" w:hAnsi="Arial"/>
          <w:b/>
          <w:bCs/>
        </w:rPr>
        <w:t>15</w:t>
      </w:r>
      <w:r w:rsidRPr="00267BC4">
        <w:rPr>
          <w:rFonts w:ascii="Arial" w:hAnsi="Arial"/>
          <w:b/>
          <w:bCs/>
        </w:rPr>
        <w:t>/20</w:t>
      </w:r>
      <w:r w:rsidR="00F4298C" w:rsidRPr="00267BC4">
        <w:rPr>
          <w:rFonts w:ascii="Arial" w:hAnsi="Arial"/>
          <w:b/>
          <w:bCs/>
        </w:rPr>
        <w:t>16</w:t>
      </w:r>
      <w:r w:rsidRPr="00267BC4">
        <w:rPr>
          <w:rFonts w:ascii="Arial" w:hAnsi="Arial"/>
          <w:b/>
          <w:bCs/>
        </w:rPr>
        <w:t>-</w:t>
      </w:r>
      <w:r w:rsidR="0031185D" w:rsidRPr="00267BC4">
        <w:rPr>
          <w:rFonts w:ascii="Arial" w:hAnsi="Arial"/>
          <w:b/>
          <w:bCs/>
        </w:rPr>
        <w:t>2021</w:t>
      </w:r>
      <w:r w:rsidRPr="00267BC4">
        <w:rPr>
          <w:rFonts w:ascii="Arial" w:hAnsi="Arial"/>
          <w:b/>
          <w:bCs/>
        </w:rPr>
        <w:t>/</w:t>
      </w:r>
      <w:r w:rsidR="0031185D" w:rsidRPr="00267BC4">
        <w:rPr>
          <w:rFonts w:ascii="Arial" w:hAnsi="Arial"/>
          <w:b/>
          <w:bCs/>
        </w:rPr>
        <w:t>2022</w:t>
      </w:r>
      <w:r w:rsidRPr="00267BC4">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267BC4" w14:paraId="2FB00FCE" w14:textId="77777777" w:rsidTr="00335608">
        <w:tc>
          <w:tcPr>
            <w:tcW w:w="9286" w:type="dxa"/>
            <w:shd w:val="clear" w:color="auto" w:fill="auto"/>
          </w:tcPr>
          <w:p w14:paraId="73B98855" w14:textId="77777777" w:rsidR="00EC0053" w:rsidRPr="00267BC4" w:rsidRDefault="00EC0053" w:rsidP="008C6258">
            <w:pPr>
              <w:tabs>
                <w:tab w:val="left" w:pos="9072"/>
              </w:tabs>
              <w:bidi w:val="0"/>
              <w:spacing w:after="0" w:line="240" w:lineRule="auto"/>
              <w:jc w:val="center"/>
              <w:rPr>
                <w:rFonts w:ascii="Arial" w:hAnsi="Arial"/>
                <w:b/>
                <w:bCs/>
                <w:lang w:val="it-IT"/>
              </w:rPr>
            </w:pPr>
            <w:r w:rsidRPr="00267BC4">
              <w:rPr>
                <w:rFonts w:ascii="Arial" w:hAnsi="Arial"/>
                <w:b/>
                <w:bCs/>
                <w:noProof/>
              </w:rPr>
              <w:drawing>
                <wp:inline distT="0" distB="0" distL="0" distR="0" wp14:anchorId="6C3A1EA0" wp14:editId="0CB5D8C3">
                  <wp:extent cx="5486400" cy="2076450"/>
                  <wp:effectExtent l="0" t="0" r="0" b="0"/>
                  <wp:docPr id="47"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14:paraId="105B0D1C" w14:textId="77777777" w:rsidR="00EC0053" w:rsidRPr="00267BC4" w:rsidRDefault="00EC0053" w:rsidP="0031185D">
      <w:pPr>
        <w:bidi w:val="0"/>
        <w:spacing w:after="0" w:line="240" w:lineRule="auto"/>
        <w:ind w:left="720" w:hanging="720"/>
        <w:jc w:val="both"/>
        <w:rPr>
          <w:rFonts w:asciiTheme="minorBidi" w:hAnsiTheme="minorBidi" w:cstheme="minorBidi"/>
          <w:b/>
          <w:bCs/>
          <w:sz w:val="18"/>
          <w:szCs w:val="18"/>
        </w:rPr>
      </w:pPr>
      <w:r w:rsidRPr="00267BC4">
        <w:rPr>
          <w:rFonts w:asciiTheme="minorBidi" w:hAnsiTheme="minorBidi" w:cstheme="minorBidi"/>
          <w:b/>
          <w:bCs/>
          <w:sz w:val="18"/>
          <w:szCs w:val="18"/>
        </w:rPr>
        <w:t xml:space="preserve">Source: Ministry of Education, </w:t>
      </w:r>
      <w:r w:rsidRPr="00267BC4">
        <w:rPr>
          <w:rFonts w:asciiTheme="minorBidi" w:hAnsiTheme="minorBidi" w:cstheme="minorBidi"/>
          <w:sz w:val="18"/>
          <w:szCs w:val="18"/>
        </w:rPr>
        <w:t xml:space="preserve">Data Base of Education Survey for </w:t>
      </w:r>
      <w:r w:rsidR="000B1B5F" w:rsidRPr="00267BC4">
        <w:rPr>
          <w:rFonts w:asciiTheme="minorBidi" w:hAnsiTheme="minorBidi" w:cstheme="minorBidi"/>
          <w:sz w:val="18"/>
          <w:szCs w:val="18"/>
        </w:rPr>
        <w:t>the</w:t>
      </w:r>
      <w:r w:rsidRPr="00267BC4">
        <w:rPr>
          <w:rFonts w:asciiTheme="minorBidi" w:hAnsiTheme="minorBidi" w:cstheme="minorBidi"/>
          <w:sz w:val="18"/>
          <w:szCs w:val="18"/>
        </w:rPr>
        <w:t xml:space="preserve"> 20</w:t>
      </w:r>
      <w:r w:rsidR="00F4298C" w:rsidRPr="00267BC4">
        <w:rPr>
          <w:rFonts w:asciiTheme="minorBidi" w:hAnsiTheme="minorBidi" w:cstheme="minorBidi"/>
          <w:sz w:val="18"/>
          <w:szCs w:val="18"/>
        </w:rPr>
        <w:t>15</w:t>
      </w:r>
      <w:r w:rsidRPr="00267BC4">
        <w:rPr>
          <w:rFonts w:asciiTheme="minorBidi" w:hAnsiTheme="minorBidi" w:cstheme="minorBidi"/>
          <w:sz w:val="18"/>
          <w:szCs w:val="18"/>
        </w:rPr>
        <w:t>/20</w:t>
      </w:r>
      <w:r w:rsidR="00F4298C" w:rsidRPr="00267BC4">
        <w:rPr>
          <w:rFonts w:asciiTheme="minorBidi" w:hAnsiTheme="minorBidi" w:cstheme="minorBidi"/>
          <w:sz w:val="18"/>
          <w:szCs w:val="18"/>
        </w:rPr>
        <w:t>16</w:t>
      </w:r>
      <w:r w:rsidRPr="00267BC4">
        <w:rPr>
          <w:rFonts w:asciiTheme="minorBidi" w:hAnsiTheme="minorBidi" w:cstheme="minorBidi"/>
          <w:sz w:val="18"/>
          <w:szCs w:val="18"/>
        </w:rPr>
        <w:t xml:space="preserve"> - </w:t>
      </w:r>
      <w:r w:rsidR="0031185D" w:rsidRPr="00267BC4">
        <w:rPr>
          <w:rFonts w:asciiTheme="minorBidi" w:hAnsiTheme="minorBidi" w:cstheme="minorBidi"/>
          <w:sz w:val="18"/>
          <w:szCs w:val="18"/>
        </w:rPr>
        <w:t>2021</w:t>
      </w:r>
      <w:r w:rsidRPr="00267BC4">
        <w:rPr>
          <w:rFonts w:asciiTheme="minorBidi" w:hAnsiTheme="minorBidi" w:cstheme="minorBidi"/>
          <w:sz w:val="18"/>
          <w:szCs w:val="18"/>
        </w:rPr>
        <w:t>/</w:t>
      </w:r>
      <w:r w:rsidR="0031185D" w:rsidRPr="00267BC4">
        <w:rPr>
          <w:rFonts w:asciiTheme="minorBidi" w:hAnsiTheme="minorBidi" w:cstheme="minorBidi"/>
          <w:sz w:val="18"/>
          <w:szCs w:val="18"/>
        </w:rPr>
        <w:t>2022</w:t>
      </w:r>
      <w:r w:rsidR="006802E3" w:rsidRPr="00267BC4">
        <w:rPr>
          <w:rFonts w:asciiTheme="minorBidi" w:hAnsiTheme="minorBidi" w:cstheme="minorBidi"/>
          <w:sz w:val="18"/>
          <w:szCs w:val="18"/>
        </w:rPr>
        <w:t xml:space="preserve"> </w:t>
      </w:r>
      <w:r w:rsidR="000B1B5F" w:rsidRPr="00267BC4">
        <w:rPr>
          <w:rFonts w:asciiTheme="minorBidi" w:hAnsiTheme="minorBidi" w:cstheme="minorBidi"/>
          <w:sz w:val="18"/>
          <w:szCs w:val="18"/>
        </w:rPr>
        <w:t>scholastic years</w:t>
      </w:r>
      <w:r w:rsidRPr="00267BC4">
        <w:rPr>
          <w:rFonts w:asciiTheme="minorBidi" w:hAnsiTheme="minorBidi" w:cstheme="minorBidi"/>
          <w:sz w:val="18"/>
          <w:szCs w:val="18"/>
        </w:rPr>
        <w:t>. Ramallah-Palestine</w:t>
      </w:r>
    </w:p>
    <w:p w14:paraId="1012924A" w14:textId="77777777" w:rsidR="00EC0053" w:rsidRPr="00267BC4" w:rsidRDefault="00EC0053" w:rsidP="00F4298C">
      <w:pPr>
        <w:bidi w:val="0"/>
        <w:spacing w:after="0" w:line="240" w:lineRule="auto"/>
        <w:jc w:val="both"/>
        <w:rPr>
          <w:rFonts w:asciiTheme="minorBidi" w:hAnsiTheme="minorBidi" w:cstheme="minorBidi"/>
          <w:sz w:val="18"/>
          <w:szCs w:val="18"/>
        </w:rPr>
      </w:pPr>
      <w:r w:rsidRPr="00267BC4">
        <w:rPr>
          <w:rFonts w:asciiTheme="minorBidi" w:hAnsiTheme="minorBidi" w:cstheme="minorBidi"/>
          <w:sz w:val="18"/>
          <w:szCs w:val="18"/>
        </w:rPr>
        <w:t>Year 20</w:t>
      </w:r>
      <w:r w:rsidR="00F4298C" w:rsidRPr="00267BC4">
        <w:rPr>
          <w:rFonts w:asciiTheme="minorBidi" w:hAnsiTheme="minorBidi" w:cstheme="minorBidi"/>
          <w:sz w:val="18"/>
          <w:szCs w:val="18"/>
        </w:rPr>
        <w:t>15</w:t>
      </w:r>
      <w:r w:rsidRPr="00267BC4">
        <w:rPr>
          <w:rFonts w:asciiTheme="minorBidi" w:hAnsiTheme="minorBidi" w:cstheme="minorBidi"/>
          <w:sz w:val="18"/>
          <w:szCs w:val="18"/>
        </w:rPr>
        <w:t xml:space="preserve"> mean the scholastic year 20</w:t>
      </w:r>
      <w:r w:rsidR="00F4298C" w:rsidRPr="00267BC4">
        <w:rPr>
          <w:rFonts w:asciiTheme="minorBidi" w:hAnsiTheme="minorBidi" w:cstheme="minorBidi"/>
          <w:sz w:val="18"/>
          <w:szCs w:val="18"/>
        </w:rPr>
        <w:t>15</w:t>
      </w:r>
      <w:r w:rsidRPr="00267BC4">
        <w:rPr>
          <w:rFonts w:asciiTheme="minorBidi" w:hAnsiTheme="minorBidi" w:cstheme="minorBidi"/>
          <w:sz w:val="18"/>
          <w:szCs w:val="18"/>
        </w:rPr>
        <w:t>/201</w:t>
      </w:r>
      <w:r w:rsidR="00F4298C" w:rsidRPr="00267BC4">
        <w:rPr>
          <w:rFonts w:asciiTheme="minorBidi" w:hAnsiTheme="minorBidi" w:cstheme="minorBidi"/>
          <w:sz w:val="18"/>
          <w:szCs w:val="18"/>
        </w:rPr>
        <w:t>6</w:t>
      </w:r>
    </w:p>
    <w:p w14:paraId="3382CD51" w14:textId="77777777" w:rsidR="00EC0053" w:rsidRPr="00267BC4"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3C0B6B40" w14:textId="77777777" w:rsidR="00EC0053" w:rsidRPr="00267BC4" w:rsidRDefault="00EC0053" w:rsidP="0031185D">
      <w:pPr>
        <w:autoSpaceDE w:val="0"/>
        <w:autoSpaceDN w:val="0"/>
        <w:bidi w:val="0"/>
        <w:adjustRightInd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The proportion of schools with access to computer</w:t>
      </w:r>
      <w:r w:rsidR="000B1B5F" w:rsidRPr="00267BC4">
        <w:rPr>
          <w:rFonts w:ascii="Times New Roman" w:hAnsi="Times New Roman" w:cs="Times New Roman"/>
          <w:sz w:val="24"/>
          <w:szCs w:val="24"/>
        </w:rPr>
        <w:t>s</w:t>
      </w:r>
      <w:r w:rsidRPr="00267BC4">
        <w:rPr>
          <w:rFonts w:ascii="Times New Roman" w:hAnsi="Times New Roman" w:cs="Times New Roman"/>
          <w:sz w:val="24"/>
          <w:szCs w:val="24"/>
        </w:rPr>
        <w:t xml:space="preserve"> for pedagogical purposes varies considerably between educational stages along the 20</w:t>
      </w:r>
      <w:r w:rsidR="006344E2" w:rsidRPr="00267BC4">
        <w:rPr>
          <w:rFonts w:ascii="Times New Roman" w:hAnsi="Times New Roman" w:cs="Times New Roman"/>
          <w:sz w:val="24"/>
          <w:szCs w:val="24"/>
        </w:rPr>
        <w:t>15</w:t>
      </w:r>
      <w:r w:rsidRPr="00267BC4">
        <w:rPr>
          <w:rFonts w:ascii="Times New Roman" w:hAnsi="Times New Roman" w:cs="Times New Roman"/>
          <w:sz w:val="24"/>
          <w:szCs w:val="24"/>
        </w:rPr>
        <w:t>/201</w:t>
      </w:r>
      <w:r w:rsidR="006344E2" w:rsidRPr="00267BC4">
        <w:rPr>
          <w:rFonts w:ascii="Times New Roman" w:hAnsi="Times New Roman" w:cs="Times New Roman"/>
          <w:sz w:val="24"/>
          <w:szCs w:val="24"/>
        </w:rPr>
        <w:t>6</w:t>
      </w:r>
      <w:r w:rsidRPr="00267BC4">
        <w:rPr>
          <w:rFonts w:ascii="Times New Roman" w:hAnsi="Times New Roman" w:cs="Times New Roman"/>
          <w:sz w:val="24"/>
          <w:szCs w:val="24"/>
        </w:rPr>
        <w:t>-</w:t>
      </w:r>
      <w:r w:rsidR="0031185D" w:rsidRPr="00267BC4">
        <w:rPr>
          <w:rFonts w:ascii="Times New Roman" w:hAnsi="Times New Roman" w:cs="Times New Roman"/>
          <w:sz w:val="24"/>
          <w:szCs w:val="24"/>
        </w:rPr>
        <w:t>2021</w:t>
      </w:r>
      <w:r w:rsidRPr="00267BC4">
        <w:rPr>
          <w:rFonts w:ascii="Times New Roman" w:hAnsi="Times New Roman" w:cs="Times New Roman"/>
          <w:sz w:val="24"/>
          <w:szCs w:val="24"/>
        </w:rPr>
        <w:t>/</w:t>
      </w:r>
      <w:r w:rsidR="0031185D" w:rsidRPr="00267BC4">
        <w:rPr>
          <w:rFonts w:ascii="Times New Roman" w:hAnsi="Times New Roman" w:cs="Times New Roman"/>
          <w:sz w:val="24"/>
          <w:szCs w:val="24"/>
        </w:rPr>
        <w:t>2022</w:t>
      </w:r>
      <w:r w:rsidR="006802E3" w:rsidRPr="00267BC4">
        <w:rPr>
          <w:rFonts w:ascii="Times New Roman" w:hAnsi="Times New Roman" w:cs="Times New Roman"/>
          <w:sz w:val="24"/>
          <w:szCs w:val="24"/>
        </w:rPr>
        <w:t xml:space="preserve"> </w:t>
      </w:r>
      <w:r w:rsidR="000B1B5F" w:rsidRPr="00267BC4">
        <w:rPr>
          <w:rFonts w:ascii="Times New Roman" w:hAnsi="Times New Roman" w:cs="Times New Roman"/>
          <w:sz w:val="24"/>
          <w:szCs w:val="24"/>
        </w:rPr>
        <w:t>period</w:t>
      </w:r>
      <w:r w:rsidR="005A1158" w:rsidRPr="00267BC4">
        <w:rPr>
          <w:rFonts w:ascii="Times New Roman" w:hAnsi="Times New Roman" w:cs="Times New Roman"/>
          <w:sz w:val="24"/>
          <w:szCs w:val="24"/>
        </w:rPr>
        <w:t>;</w:t>
      </w:r>
      <w:r w:rsidR="004A40F1" w:rsidRPr="00267BC4">
        <w:rPr>
          <w:rFonts w:ascii="Times New Roman" w:hAnsi="Times New Roman" w:cs="Times New Roman"/>
          <w:sz w:val="24"/>
          <w:szCs w:val="24"/>
        </w:rPr>
        <w:t>the upper secondary stage has the highest proportion, while the lowest proportion is among primary stage</w:t>
      </w:r>
      <w:r w:rsidRPr="00267BC4">
        <w:rPr>
          <w:rFonts w:ascii="Times New Roman" w:hAnsi="Times New Roman" w:cs="Times New Roman"/>
          <w:sz w:val="24"/>
          <w:szCs w:val="24"/>
        </w:rPr>
        <w:t>.</w:t>
      </w:r>
    </w:p>
    <w:p w14:paraId="1D1E5363" w14:textId="77777777" w:rsidR="003D4C06" w:rsidRPr="00267BC4" w:rsidRDefault="003D4C06" w:rsidP="003D4C06">
      <w:pPr>
        <w:tabs>
          <w:tab w:val="left" w:pos="9072"/>
        </w:tabs>
        <w:bidi w:val="0"/>
        <w:spacing w:after="0" w:line="240" w:lineRule="auto"/>
        <w:jc w:val="center"/>
        <w:rPr>
          <w:rFonts w:ascii="Arial" w:hAnsi="Arial"/>
          <w:b/>
          <w:bCs/>
        </w:rPr>
      </w:pPr>
    </w:p>
    <w:p w14:paraId="2F71CE57" w14:textId="77777777" w:rsidR="00EC0053" w:rsidRPr="00267BC4" w:rsidRDefault="004A40F1" w:rsidP="002833DA">
      <w:pPr>
        <w:tabs>
          <w:tab w:val="left" w:pos="9072"/>
        </w:tabs>
        <w:bidi w:val="0"/>
        <w:spacing w:after="0" w:line="240" w:lineRule="auto"/>
        <w:jc w:val="center"/>
        <w:rPr>
          <w:rFonts w:ascii="Arial" w:hAnsi="Arial"/>
          <w:b/>
          <w:bCs/>
        </w:rPr>
      </w:pPr>
      <w:r w:rsidRPr="00267BC4">
        <w:rPr>
          <w:rFonts w:ascii="Arial" w:hAnsi="Arial"/>
          <w:b/>
          <w:bCs/>
        </w:rPr>
        <w:t>Proportion of Schools with Access to Computers for Pedagogical Purposes by Stage of Education, 2015/2016- 2021/2022(%)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267BC4" w14:paraId="3E698CF9" w14:textId="77777777" w:rsidTr="009D25D5">
        <w:trPr>
          <w:trHeight w:val="3913"/>
        </w:trPr>
        <w:tc>
          <w:tcPr>
            <w:tcW w:w="9286" w:type="dxa"/>
            <w:shd w:val="clear" w:color="auto" w:fill="auto"/>
          </w:tcPr>
          <w:p w14:paraId="3C059D1F" w14:textId="77777777" w:rsidR="00EC0053" w:rsidRPr="00267BC4" w:rsidRDefault="00EC0053" w:rsidP="008C6258">
            <w:pPr>
              <w:tabs>
                <w:tab w:val="left" w:pos="9072"/>
              </w:tabs>
              <w:bidi w:val="0"/>
              <w:spacing w:after="0" w:line="240" w:lineRule="auto"/>
              <w:jc w:val="center"/>
              <w:rPr>
                <w:rFonts w:ascii="Arial" w:hAnsi="Arial"/>
                <w:b/>
                <w:bCs/>
                <w:lang w:val="it-IT"/>
              </w:rPr>
            </w:pPr>
            <w:r w:rsidRPr="00267BC4">
              <w:rPr>
                <w:rFonts w:ascii="Arial" w:hAnsi="Arial"/>
                <w:b/>
                <w:bCs/>
                <w:noProof/>
              </w:rPr>
              <w:drawing>
                <wp:inline distT="0" distB="0" distL="0" distR="0" wp14:anchorId="37497566" wp14:editId="1829AB9D">
                  <wp:extent cx="5486400" cy="2393315"/>
                  <wp:effectExtent l="0" t="0" r="0" b="0"/>
                  <wp:docPr id="48" name="Char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14:paraId="7251F6B5" w14:textId="77777777" w:rsidR="00EC0053" w:rsidRPr="00267BC4" w:rsidRDefault="00EC0053" w:rsidP="002833DA">
      <w:pPr>
        <w:bidi w:val="0"/>
        <w:spacing w:after="0" w:line="240" w:lineRule="auto"/>
        <w:ind w:left="720" w:hanging="720"/>
        <w:jc w:val="both"/>
        <w:rPr>
          <w:rFonts w:asciiTheme="minorBidi" w:hAnsiTheme="minorBidi" w:cstheme="minorBidi"/>
          <w:b/>
          <w:bCs/>
          <w:sz w:val="18"/>
          <w:szCs w:val="18"/>
        </w:rPr>
      </w:pPr>
      <w:r w:rsidRPr="00267BC4">
        <w:rPr>
          <w:rFonts w:asciiTheme="minorBidi" w:hAnsiTheme="minorBidi" w:cstheme="minorBidi"/>
          <w:b/>
          <w:bCs/>
          <w:sz w:val="18"/>
          <w:szCs w:val="18"/>
        </w:rPr>
        <w:t xml:space="preserve">Source: Ministry of Education, 2019. </w:t>
      </w:r>
      <w:r w:rsidRPr="00267BC4">
        <w:rPr>
          <w:rFonts w:asciiTheme="minorBidi" w:hAnsiTheme="minorBidi" w:cstheme="minorBidi"/>
          <w:sz w:val="18"/>
          <w:szCs w:val="18"/>
        </w:rPr>
        <w:t xml:space="preserve">Data Base of Education Survey for scholastic </w:t>
      </w:r>
      <w:r w:rsidR="00CC605A" w:rsidRPr="00267BC4">
        <w:rPr>
          <w:rFonts w:asciiTheme="minorBidi" w:hAnsiTheme="minorBidi" w:cstheme="minorBidi"/>
          <w:sz w:val="18"/>
          <w:szCs w:val="18"/>
        </w:rPr>
        <w:t>y</w:t>
      </w:r>
      <w:r w:rsidRPr="00267BC4">
        <w:rPr>
          <w:rFonts w:asciiTheme="minorBidi" w:hAnsiTheme="minorBidi" w:cstheme="minorBidi"/>
          <w:sz w:val="18"/>
          <w:szCs w:val="18"/>
        </w:rPr>
        <w:t>ears 20</w:t>
      </w:r>
      <w:r w:rsidR="006344E2" w:rsidRPr="00267BC4">
        <w:rPr>
          <w:rFonts w:asciiTheme="minorBidi" w:hAnsiTheme="minorBidi" w:cstheme="minorBidi"/>
          <w:sz w:val="18"/>
          <w:szCs w:val="18"/>
        </w:rPr>
        <w:t>15</w:t>
      </w:r>
      <w:r w:rsidRPr="00267BC4">
        <w:rPr>
          <w:rFonts w:asciiTheme="minorBidi" w:hAnsiTheme="minorBidi" w:cstheme="minorBidi"/>
          <w:sz w:val="18"/>
          <w:szCs w:val="18"/>
        </w:rPr>
        <w:t>/201</w:t>
      </w:r>
      <w:r w:rsidR="006344E2" w:rsidRPr="00267BC4">
        <w:rPr>
          <w:rFonts w:asciiTheme="minorBidi" w:hAnsiTheme="minorBidi" w:cstheme="minorBidi"/>
          <w:sz w:val="18"/>
          <w:szCs w:val="18"/>
        </w:rPr>
        <w:t>6</w:t>
      </w:r>
      <w:r w:rsidRPr="00267BC4">
        <w:rPr>
          <w:rFonts w:asciiTheme="minorBidi" w:hAnsiTheme="minorBidi" w:cstheme="minorBidi"/>
          <w:sz w:val="18"/>
          <w:szCs w:val="18"/>
        </w:rPr>
        <w:t xml:space="preserve">- </w:t>
      </w:r>
      <w:r w:rsidR="002833DA" w:rsidRPr="00267BC4">
        <w:rPr>
          <w:rFonts w:asciiTheme="minorBidi" w:hAnsiTheme="minorBidi" w:cstheme="minorBidi"/>
          <w:sz w:val="18"/>
          <w:szCs w:val="18"/>
        </w:rPr>
        <w:t>2021</w:t>
      </w:r>
      <w:r w:rsidRPr="00267BC4">
        <w:rPr>
          <w:rFonts w:asciiTheme="minorBidi" w:hAnsiTheme="minorBidi" w:cstheme="minorBidi"/>
          <w:sz w:val="18"/>
          <w:szCs w:val="18"/>
        </w:rPr>
        <w:t>/</w:t>
      </w:r>
      <w:r w:rsidR="002833DA" w:rsidRPr="00267BC4">
        <w:rPr>
          <w:rFonts w:asciiTheme="minorBidi" w:hAnsiTheme="minorBidi" w:cstheme="minorBidi"/>
          <w:sz w:val="18"/>
          <w:szCs w:val="18"/>
        </w:rPr>
        <w:t>2022</w:t>
      </w:r>
      <w:r w:rsidRPr="00267BC4">
        <w:rPr>
          <w:rFonts w:asciiTheme="minorBidi" w:hAnsiTheme="minorBidi" w:cstheme="minorBidi"/>
          <w:sz w:val="18"/>
          <w:szCs w:val="18"/>
        </w:rPr>
        <w:t>. Ramallah-Palestine</w:t>
      </w:r>
    </w:p>
    <w:p w14:paraId="4D727E2E" w14:textId="77777777" w:rsidR="001A6203" w:rsidRPr="00267BC4" w:rsidRDefault="001A6203" w:rsidP="001A6203">
      <w:pPr>
        <w:bidi w:val="0"/>
        <w:spacing w:after="0" w:line="240" w:lineRule="auto"/>
        <w:jc w:val="both"/>
        <w:rPr>
          <w:rFonts w:asciiTheme="minorBidi" w:hAnsiTheme="minorBidi" w:cstheme="minorBidi"/>
          <w:sz w:val="18"/>
          <w:szCs w:val="18"/>
        </w:rPr>
      </w:pPr>
      <w:r w:rsidRPr="00267BC4">
        <w:rPr>
          <w:rFonts w:asciiTheme="minorBidi" w:hAnsiTheme="minorBidi" w:cstheme="minorBidi"/>
          <w:sz w:val="18"/>
          <w:szCs w:val="18"/>
        </w:rPr>
        <w:t>Year 2015, means the scholastic year 2015/2016</w:t>
      </w:r>
    </w:p>
    <w:p w14:paraId="3C5F9170" w14:textId="77777777" w:rsidR="006D0C5D" w:rsidRPr="00267BC4" w:rsidRDefault="006D0C5D" w:rsidP="006D0C5D">
      <w:pPr>
        <w:autoSpaceDE w:val="0"/>
        <w:autoSpaceDN w:val="0"/>
        <w:bidi w:val="0"/>
        <w:adjustRightInd w:val="0"/>
        <w:spacing w:after="0" w:line="240" w:lineRule="auto"/>
        <w:jc w:val="both"/>
        <w:rPr>
          <w:rFonts w:ascii="Times New Roman" w:hAnsi="Times New Roman" w:cs="Times New Roman"/>
          <w:b/>
          <w:bCs/>
          <w:i/>
          <w:iCs/>
          <w:sz w:val="24"/>
          <w:szCs w:val="24"/>
        </w:rPr>
      </w:pPr>
    </w:p>
    <w:p w14:paraId="395B50A7" w14:textId="77777777" w:rsidR="006D0C5D" w:rsidRPr="00267BC4" w:rsidRDefault="00EC0053" w:rsidP="006D0C5D">
      <w:pPr>
        <w:autoSpaceDE w:val="0"/>
        <w:autoSpaceDN w:val="0"/>
        <w:bidi w:val="0"/>
        <w:adjustRightInd w:val="0"/>
        <w:spacing w:after="0" w:line="240" w:lineRule="auto"/>
        <w:jc w:val="both"/>
        <w:rPr>
          <w:rFonts w:ascii="Times New Roman" w:hAnsi="Times New Roman" w:cs="Times New Roman"/>
          <w:b/>
          <w:bCs/>
          <w:i/>
          <w:iCs/>
          <w:sz w:val="24"/>
          <w:szCs w:val="24"/>
        </w:rPr>
      </w:pPr>
      <w:r w:rsidRPr="00267BC4">
        <w:rPr>
          <w:rFonts w:ascii="Times New Roman" w:hAnsi="Times New Roman" w:cs="Times New Roman"/>
          <w:b/>
          <w:bCs/>
          <w:i/>
          <w:iCs/>
          <w:sz w:val="24"/>
          <w:szCs w:val="24"/>
        </w:rPr>
        <w:t>Indicator 4.a.1.4 Proportion of schools with access to adapted infrastructure and materials for students with disabilities.</w:t>
      </w:r>
    </w:p>
    <w:p w14:paraId="7F31DDC5" w14:textId="77777777" w:rsidR="00EC0053" w:rsidRPr="00267BC4" w:rsidRDefault="00EC0053" w:rsidP="009A57C1">
      <w:pPr>
        <w:autoSpaceDE w:val="0"/>
        <w:autoSpaceDN w:val="0"/>
        <w:bidi w:val="0"/>
        <w:adjustRightInd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Proportion of schools with access to adapted infrastructure and materials for students with disabilities in Palestine rose from 6</w:t>
      </w:r>
      <w:r w:rsidR="0055115C" w:rsidRPr="00267BC4">
        <w:rPr>
          <w:rFonts w:ascii="Times New Roman" w:hAnsi="Times New Roman" w:cs="Times New Roman"/>
          <w:sz w:val="24"/>
          <w:szCs w:val="24"/>
        </w:rPr>
        <w:t>5.4</w:t>
      </w:r>
      <w:r w:rsidRPr="00267BC4">
        <w:rPr>
          <w:rFonts w:ascii="Times New Roman" w:hAnsi="Times New Roman" w:cs="Times New Roman"/>
          <w:sz w:val="24"/>
          <w:szCs w:val="24"/>
        </w:rPr>
        <w:t>% in 201</w:t>
      </w:r>
      <w:r w:rsidR="0055115C" w:rsidRPr="00267BC4">
        <w:rPr>
          <w:rFonts w:ascii="Times New Roman" w:hAnsi="Times New Roman" w:cs="Times New Roman"/>
          <w:sz w:val="24"/>
          <w:szCs w:val="24"/>
        </w:rPr>
        <w:t>5</w:t>
      </w:r>
      <w:r w:rsidRPr="00267BC4">
        <w:rPr>
          <w:rFonts w:ascii="Times New Roman" w:hAnsi="Times New Roman" w:cs="Times New Roman"/>
          <w:sz w:val="24"/>
          <w:szCs w:val="24"/>
        </w:rPr>
        <w:t xml:space="preserve"> to 71.2% in 2016/2017 and then to </w:t>
      </w:r>
      <w:r w:rsidR="009A57C1" w:rsidRPr="00267BC4">
        <w:rPr>
          <w:rFonts w:ascii="Times New Roman" w:hAnsi="Times New Roman" w:cs="Times New Roman"/>
          <w:sz w:val="24"/>
          <w:szCs w:val="24"/>
        </w:rPr>
        <w:t>7</w:t>
      </w:r>
      <w:r w:rsidR="009A57C1" w:rsidRPr="00267BC4">
        <w:rPr>
          <w:rFonts w:ascii="Times New Roman" w:hAnsi="Times New Roman" w:cs="Times New Roman" w:hint="cs"/>
          <w:sz w:val="24"/>
          <w:szCs w:val="24"/>
          <w:rtl/>
        </w:rPr>
        <w:t>1</w:t>
      </w:r>
      <w:r w:rsidR="00E42650" w:rsidRPr="00267BC4">
        <w:rPr>
          <w:rFonts w:ascii="Times New Roman" w:hAnsi="Times New Roman" w:cs="Times New Roman"/>
          <w:sz w:val="24"/>
          <w:szCs w:val="24"/>
        </w:rPr>
        <w:t>.</w:t>
      </w:r>
      <w:r w:rsidR="002833DA" w:rsidRPr="00267BC4">
        <w:rPr>
          <w:rFonts w:ascii="Times New Roman" w:hAnsi="Times New Roman" w:cs="Times New Roman"/>
          <w:sz w:val="24"/>
          <w:szCs w:val="24"/>
        </w:rPr>
        <w:t>2</w:t>
      </w:r>
      <w:r w:rsidRPr="00267BC4">
        <w:rPr>
          <w:rFonts w:ascii="Times New Roman" w:hAnsi="Times New Roman" w:cs="Times New Roman"/>
          <w:sz w:val="24"/>
          <w:szCs w:val="24"/>
        </w:rPr>
        <w:t xml:space="preserve">% in </w:t>
      </w:r>
      <w:r w:rsidR="002833DA" w:rsidRPr="00267BC4">
        <w:rPr>
          <w:rFonts w:ascii="Times New Roman" w:hAnsi="Times New Roman" w:cs="Times New Roman"/>
          <w:sz w:val="24"/>
          <w:szCs w:val="24"/>
        </w:rPr>
        <w:t>2021</w:t>
      </w:r>
      <w:r w:rsidRPr="00267BC4">
        <w:rPr>
          <w:rFonts w:ascii="Times New Roman" w:hAnsi="Times New Roman" w:cs="Times New Roman"/>
          <w:sz w:val="24"/>
          <w:szCs w:val="24"/>
        </w:rPr>
        <w:t>/</w:t>
      </w:r>
      <w:r w:rsidR="002833DA" w:rsidRPr="00267BC4">
        <w:rPr>
          <w:rFonts w:ascii="Times New Roman" w:hAnsi="Times New Roman" w:cs="Times New Roman"/>
          <w:sz w:val="24"/>
          <w:szCs w:val="24"/>
        </w:rPr>
        <w:t>2022</w:t>
      </w:r>
      <w:r w:rsidRPr="00267BC4">
        <w:rPr>
          <w:rFonts w:ascii="Times New Roman" w:hAnsi="Times New Roman" w:cs="Times New Roman"/>
          <w:sz w:val="24"/>
          <w:szCs w:val="24"/>
        </w:rPr>
        <w:t>.</w:t>
      </w:r>
    </w:p>
    <w:p w14:paraId="3715DD3B" w14:textId="77777777" w:rsidR="00E02452" w:rsidRPr="00267BC4" w:rsidRDefault="00E02452" w:rsidP="00E02452">
      <w:pPr>
        <w:tabs>
          <w:tab w:val="left" w:pos="9072"/>
        </w:tabs>
        <w:bidi w:val="0"/>
        <w:spacing w:after="0" w:line="240" w:lineRule="auto"/>
        <w:jc w:val="center"/>
        <w:rPr>
          <w:rFonts w:ascii="Arial" w:hAnsi="Arial"/>
          <w:b/>
          <w:bCs/>
        </w:rPr>
      </w:pPr>
    </w:p>
    <w:p w14:paraId="5CD4F447" w14:textId="77777777" w:rsidR="001F12C6" w:rsidRDefault="001F12C6" w:rsidP="001F12C6">
      <w:pPr>
        <w:tabs>
          <w:tab w:val="left" w:pos="9072"/>
        </w:tabs>
        <w:bidi w:val="0"/>
        <w:spacing w:after="0" w:line="240" w:lineRule="auto"/>
        <w:jc w:val="center"/>
        <w:rPr>
          <w:rFonts w:ascii="Arial" w:hAnsi="Arial"/>
          <w:b/>
          <w:bCs/>
        </w:rPr>
      </w:pPr>
    </w:p>
    <w:p w14:paraId="70AC2B72" w14:textId="77777777" w:rsidR="00446CF3" w:rsidRPr="00267BC4" w:rsidRDefault="00446CF3" w:rsidP="00446CF3">
      <w:pPr>
        <w:tabs>
          <w:tab w:val="left" w:pos="9072"/>
        </w:tabs>
        <w:bidi w:val="0"/>
        <w:spacing w:after="0" w:line="240" w:lineRule="auto"/>
        <w:jc w:val="center"/>
        <w:rPr>
          <w:rFonts w:ascii="Arial" w:hAnsi="Arial"/>
          <w:b/>
          <w:bCs/>
        </w:rPr>
      </w:pPr>
    </w:p>
    <w:p w14:paraId="180BA496" w14:textId="77777777" w:rsidR="001F12C6" w:rsidRPr="00267BC4" w:rsidRDefault="001F12C6" w:rsidP="001F12C6">
      <w:pPr>
        <w:tabs>
          <w:tab w:val="left" w:pos="9072"/>
        </w:tabs>
        <w:bidi w:val="0"/>
        <w:spacing w:after="0" w:line="240" w:lineRule="auto"/>
        <w:jc w:val="center"/>
        <w:rPr>
          <w:rFonts w:ascii="Arial" w:hAnsi="Arial"/>
          <w:b/>
          <w:bCs/>
        </w:rPr>
      </w:pPr>
    </w:p>
    <w:p w14:paraId="11B5BED3" w14:textId="77777777" w:rsidR="00C16C10" w:rsidRPr="00267BC4" w:rsidRDefault="00C16C10" w:rsidP="002833DA">
      <w:pPr>
        <w:tabs>
          <w:tab w:val="left" w:pos="9072"/>
        </w:tabs>
        <w:bidi w:val="0"/>
        <w:spacing w:after="0" w:line="240" w:lineRule="auto"/>
        <w:jc w:val="center"/>
        <w:rPr>
          <w:rFonts w:ascii="Arial" w:hAnsi="Arial"/>
          <w:b/>
          <w:bCs/>
        </w:rPr>
      </w:pPr>
      <w:r w:rsidRPr="00267BC4">
        <w:rPr>
          <w:rFonts w:ascii="Arial" w:hAnsi="Arial"/>
          <w:b/>
          <w:bCs/>
        </w:rPr>
        <w:lastRenderedPageBreak/>
        <w:t>Proportion of Schools with Access to Adapted Infrastructure and Materials for Students with Disabilities, 201</w:t>
      </w:r>
      <w:r w:rsidR="0055115C" w:rsidRPr="00267BC4">
        <w:rPr>
          <w:rFonts w:ascii="Arial" w:hAnsi="Arial"/>
          <w:b/>
          <w:bCs/>
        </w:rPr>
        <w:t>5</w:t>
      </w:r>
      <w:r w:rsidRPr="00267BC4">
        <w:rPr>
          <w:rFonts w:ascii="Arial" w:hAnsi="Arial"/>
          <w:b/>
          <w:bCs/>
        </w:rPr>
        <w:t>/201</w:t>
      </w:r>
      <w:r w:rsidR="0055115C" w:rsidRPr="00267BC4">
        <w:rPr>
          <w:rFonts w:ascii="Arial" w:hAnsi="Arial"/>
          <w:b/>
          <w:bCs/>
        </w:rPr>
        <w:t>6</w:t>
      </w:r>
      <w:r w:rsidRPr="00267BC4">
        <w:rPr>
          <w:rFonts w:ascii="Arial" w:hAnsi="Arial"/>
          <w:b/>
          <w:bCs/>
        </w:rPr>
        <w:t>-</w:t>
      </w:r>
      <w:r w:rsidR="002833DA" w:rsidRPr="00267BC4">
        <w:rPr>
          <w:rFonts w:ascii="Arial" w:hAnsi="Arial"/>
          <w:b/>
          <w:bCs/>
        </w:rPr>
        <w:t>2021</w:t>
      </w:r>
      <w:r w:rsidRPr="00267BC4">
        <w:rPr>
          <w:rFonts w:ascii="Arial" w:hAnsi="Arial"/>
          <w:b/>
          <w:bCs/>
        </w:rPr>
        <w:t>/</w:t>
      </w:r>
      <w:r w:rsidR="002833DA" w:rsidRPr="00267BC4">
        <w:rPr>
          <w:rFonts w:ascii="Arial" w:hAnsi="Arial"/>
          <w:b/>
          <w:bCs/>
        </w:rPr>
        <w:t>2022</w:t>
      </w:r>
      <w:r w:rsidRPr="00267BC4">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C16C10" w:rsidRPr="00267BC4" w14:paraId="6638912F" w14:textId="77777777" w:rsidTr="009D25D5">
        <w:trPr>
          <w:trHeight w:val="3748"/>
        </w:trPr>
        <w:tc>
          <w:tcPr>
            <w:tcW w:w="9286" w:type="dxa"/>
            <w:shd w:val="clear" w:color="auto" w:fill="auto"/>
          </w:tcPr>
          <w:p w14:paraId="04665E34" w14:textId="77777777" w:rsidR="00C16C10" w:rsidRPr="00267BC4" w:rsidRDefault="00C16C10" w:rsidP="008C6258">
            <w:pPr>
              <w:tabs>
                <w:tab w:val="left" w:pos="9072"/>
              </w:tabs>
              <w:bidi w:val="0"/>
              <w:spacing w:after="0" w:line="240" w:lineRule="auto"/>
              <w:jc w:val="center"/>
              <w:rPr>
                <w:rFonts w:ascii="Arial" w:hAnsi="Arial"/>
                <w:b/>
                <w:bCs/>
                <w:lang w:val="it-IT"/>
              </w:rPr>
            </w:pPr>
            <w:r w:rsidRPr="00267BC4">
              <w:rPr>
                <w:rFonts w:ascii="Arial" w:hAnsi="Arial"/>
                <w:b/>
                <w:bCs/>
                <w:noProof/>
                <w:sz w:val="18"/>
                <w:szCs w:val="18"/>
              </w:rPr>
              <w:drawing>
                <wp:inline distT="0" distB="0" distL="0" distR="0" wp14:anchorId="11A96C8C" wp14:editId="2BB5E76A">
                  <wp:extent cx="5486400" cy="2276475"/>
                  <wp:effectExtent l="0" t="0" r="0" b="9525"/>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14:paraId="23269CEE" w14:textId="77777777" w:rsidR="00C16C10" w:rsidRPr="00267BC4" w:rsidRDefault="00C16C10" w:rsidP="002833DA">
      <w:pPr>
        <w:bidi w:val="0"/>
        <w:spacing w:after="0" w:line="240" w:lineRule="auto"/>
        <w:ind w:left="720" w:hanging="720"/>
        <w:jc w:val="both"/>
        <w:rPr>
          <w:rFonts w:asciiTheme="minorBidi" w:hAnsiTheme="minorBidi" w:cstheme="minorBidi"/>
          <w:sz w:val="18"/>
          <w:szCs w:val="18"/>
        </w:rPr>
      </w:pPr>
      <w:r w:rsidRPr="00267BC4">
        <w:rPr>
          <w:rFonts w:asciiTheme="minorBidi" w:hAnsiTheme="minorBidi" w:cstheme="minorBidi"/>
          <w:b/>
          <w:bCs/>
          <w:sz w:val="18"/>
          <w:szCs w:val="18"/>
        </w:rPr>
        <w:t xml:space="preserve">Source: Ministry of Education, </w:t>
      </w:r>
      <w:r w:rsidRPr="00267BC4">
        <w:rPr>
          <w:rFonts w:asciiTheme="minorBidi" w:hAnsiTheme="minorBidi" w:cstheme="minorBidi"/>
          <w:sz w:val="18"/>
          <w:szCs w:val="18"/>
        </w:rPr>
        <w:t xml:space="preserve">Data Base of Education Survey for </w:t>
      </w:r>
      <w:r w:rsidR="000B1B5F" w:rsidRPr="00267BC4">
        <w:rPr>
          <w:rFonts w:asciiTheme="minorBidi" w:hAnsiTheme="minorBidi" w:cstheme="minorBidi"/>
          <w:sz w:val="18"/>
          <w:szCs w:val="18"/>
        </w:rPr>
        <w:t xml:space="preserve">the </w:t>
      </w:r>
      <w:r w:rsidRPr="00267BC4">
        <w:rPr>
          <w:rFonts w:asciiTheme="minorBidi" w:hAnsiTheme="minorBidi" w:cstheme="minorBidi"/>
          <w:sz w:val="18"/>
          <w:szCs w:val="18"/>
        </w:rPr>
        <w:t>20</w:t>
      </w:r>
      <w:r w:rsidR="0055115C" w:rsidRPr="00267BC4">
        <w:rPr>
          <w:rFonts w:asciiTheme="minorBidi" w:hAnsiTheme="minorBidi" w:cstheme="minorBidi"/>
          <w:sz w:val="18"/>
          <w:szCs w:val="18"/>
        </w:rPr>
        <w:t>15</w:t>
      </w:r>
      <w:r w:rsidRPr="00267BC4">
        <w:rPr>
          <w:rFonts w:asciiTheme="minorBidi" w:hAnsiTheme="minorBidi" w:cstheme="minorBidi"/>
          <w:sz w:val="18"/>
          <w:szCs w:val="18"/>
        </w:rPr>
        <w:t>/20</w:t>
      </w:r>
      <w:r w:rsidR="0055115C" w:rsidRPr="00267BC4">
        <w:rPr>
          <w:rFonts w:asciiTheme="minorBidi" w:hAnsiTheme="minorBidi" w:cstheme="minorBidi"/>
          <w:sz w:val="18"/>
          <w:szCs w:val="18"/>
        </w:rPr>
        <w:t>15</w:t>
      </w:r>
      <w:r w:rsidRPr="00267BC4">
        <w:rPr>
          <w:rFonts w:asciiTheme="minorBidi" w:hAnsiTheme="minorBidi" w:cstheme="minorBidi"/>
          <w:sz w:val="18"/>
          <w:szCs w:val="18"/>
        </w:rPr>
        <w:t xml:space="preserve"> - </w:t>
      </w:r>
      <w:r w:rsidR="002833DA" w:rsidRPr="00267BC4">
        <w:rPr>
          <w:rFonts w:asciiTheme="minorBidi" w:hAnsiTheme="minorBidi" w:cstheme="minorBidi"/>
          <w:sz w:val="18"/>
          <w:szCs w:val="18"/>
        </w:rPr>
        <w:t>2021</w:t>
      </w:r>
      <w:r w:rsidRPr="00267BC4">
        <w:rPr>
          <w:rFonts w:asciiTheme="minorBidi" w:hAnsiTheme="minorBidi" w:cstheme="minorBidi"/>
          <w:sz w:val="18"/>
          <w:szCs w:val="18"/>
        </w:rPr>
        <w:t>/</w:t>
      </w:r>
      <w:r w:rsidR="002833DA" w:rsidRPr="00267BC4">
        <w:rPr>
          <w:rFonts w:asciiTheme="minorBidi" w:hAnsiTheme="minorBidi" w:cstheme="minorBidi"/>
          <w:sz w:val="18"/>
          <w:szCs w:val="18"/>
        </w:rPr>
        <w:t>2022</w:t>
      </w:r>
      <w:r w:rsidR="000B1B5F" w:rsidRPr="00267BC4">
        <w:rPr>
          <w:rFonts w:asciiTheme="minorBidi" w:hAnsiTheme="minorBidi" w:cstheme="minorBidi"/>
          <w:sz w:val="18"/>
          <w:szCs w:val="18"/>
        </w:rPr>
        <w:t>scholastic years</w:t>
      </w:r>
      <w:r w:rsidRPr="00267BC4">
        <w:rPr>
          <w:rFonts w:asciiTheme="minorBidi" w:hAnsiTheme="minorBidi" w:cstheme="minorBidi"/>
          <w:sz w:val="18"/>
          <w:szCs w:val="18"/>
        </w:rPr>
        <w:t>. Ramallah-Palestine</w:t>
      </w:r>
      <w:r w:rsidRPr="00267BC4">
        <w:rPr>
          <w:rFonts w:asciiTheme="minorBidi" w:hAnsiTheme="minorBidi" w:cstheme="minorBidi"/>
          <w:sz w:val="18"/>
          <w:szCs w:val="18"/>
        </w:rPr>
        <w:tab/>
      </w:r>
    </w:p>
    <w:p w14:paraId="1B5F1CAC" w14:textId="77777777" w:rsidR="00C16C10" w:rsidRPr="00267BC4" w:rsidRDefault="00C16C10" w:rsidP="0055115C">
      <w:pPr>
        <w:bidi w:val="0"/>
        <w:spacing w:after="0" w:line="240" w:lineRule="auto"/>
        <w:jc w:val="both"/>
        <w:rPr>
          <w:rFonts w:asciiTheme="minorBidi" w:hAnsiTheme="minorBidi" w:cstheme="minorBidi"/>
          <w:sz w:val="18"/>
          <w:szCs w:val="18"/>
        </w:rPr>
      </w:pPr>
      <w:r w:rsidRPr="00267BC4">
        <w:rPr>
          <w:rFonts w:asciiTheme="minorBidi" w:hAnsiTheme="minorBidi" w:cstheme="minorBidi"/>
          <w:sz w:val="18"/>
          <w:szCs w:val="18"/>
        </w:rPr>
        <w:t xml:space="preserve">Year </w:t>
      </w:r>
      <w:r w:rsidR="00CE401B" w:rsidRPr="00267BC4">
        <w:rPr>
          <w:rFonts w:asciiTheme="minorBidi" w:hAnsiTheme="minorBidi" w:cstheme="minorBidi"/>
          <w:sz w:val="18"/>
          <w:szCs w:val="18"/>
        </w:rPr>
        <w:t>201</w:t>
      </w:r>
      <w:r w:rsidR="0055115C" w:rsidRPr="00267BC4">
        <w:rPr>
          <w:rFonts w:asciiTheme="minorBidi" w:hAnsiTheme="minorBidi" w:cstheme="minorBidi"/>
          <w:sz w:val="18"/>
          <w:szCs w:val="18"/>
        </w:rPr>
        <w:t>5</w:t>
      </w:r>
      <w:r w:rsidR="00CE401B" w:rsidRPr="00267BC4">
        <w:rPr>
          <w:rFonts w:asciiTheme="minorBidi" w:hAnsiTheme="minorBidi" w:cstheme="minorBidi"/>
          <w:sz w:val="18"/>
          <w:szCs w:val="18"/>
        </w:rPr>
        <w:t>,</w:t>
      </w:r>
      <w:r w:rsidRPr="00267BC4">
        <w:rPr>
          <w:rFonts w:asciiTheme="minorBidi" w:hAnsiTheme="minorBidi" w:cstheme="minorBidi"/>
          <w:sz w:val="18"/>
          <w:szCs w:val="18"/>
        </w:rPr>
        <w:t xml:space="preserve"> mean</w:t>
      </w:r>
      <w:r w:rsidR="00A8328A" w:rsidRPr="00267BC4">
        <w:rPr>
          <w:rFonts w:asciiTheme="minorBidi" w:hAnsiTheme="minorBidi" w:cstheme="minorBidi"/>
          <w:sz w:val="18"/>
          <w:szCs w:val="18"/>
        </w:rPr>
        <w:t>s</w:t>
      </w:r>
      <w:r w:rsidRPr="00267BC4">
        <w:rPr>
          <w:rFonts w:asciiTheme="minorBidi" w:hAnsiTheme="minorBidi" w:cstheme="minorBidi"/>
          <w:sz w:val="18"/>
          <w:szCs w:val="18"/>
        </w:rPr>
        <w:t xml:space="preserve"> the scholastic year 201</w:t>
      </w:r>
      <w:r w:rsidR="0055115C" w:rsidRPr="00267BC4">
        <w:rPr>
          <w:rFonts w:asciiTheme="minorBidi" w:hAnsiTheme="minorBidi" w:cstheme="minorBidi"/>
          <w:sz w:val="18"/>
          <w:szCs w:val="18"/>
        </w:rPr>
        <w:t>5</w:t>
      </w:r>
      <w:r w:rsidRPr="00267BC4">
        <w:rPr>
          <w:rFonts w:asciiTheme="minorBidi" w:hAnsiTheme="minorBidi" w:cstheme="minorBidi"/>
          <w:sz w:val="18"/>
          <w:szCs w:val="18"/>
        </w:rPr>
        <w:t>/201</w:t>
      </w:r>
      <w:r w:rsidR="0055115C" w:rsidRPr="00267BC4">
        <w:rPr>
          <w:rFonts w:asciiTheme="minorBidi" w:hAnsiTheme="minorBidi" w:cstheme="minorBidi"/>
          <w:sz w:val="18"/>
          <w:szCs w:val="18"/>
        </w:rPr>
        <w:t>6</w:t>
      </w:r>
    </w:p>
    <w:p w14:paraId="2ADBAD88" w14:textId="77777777" w:rsidR="00EC0053" w:rsidRPr="00267BC4" w:rsidRDefault="00EC0053" w:rsidP="008C6258">
      <w:pPr>
        <w:autoSpaceDE w:val="0"/>
        <w:autoSpaceDN w:val="0"/>
        <w:bidi w:val="0"/>
        <w:adjustRightInd w:val="0"/>
        <w:spacing w:after="0" w:line="240" w:lineRule="auto"/>
        <w:jc w:val="both"/>
        <w:rPr>
          <w:rFonts w:asciiTheme="minorBidi" w:hAnsiTheme="minorBidi" w:cstheme="minorBidi"/>
          <w:sz w:val="24"/>
          <w:szCs w:val="24"/>
        </w:rPr>
      </w:pPr>
    </w:p>
    <w:p w14:paraId="489CF2FA" w14:textId="31AFB8F0" w:rsidR="00EC0053" w:rsidRPr="00267BC4" w:rsidRDefault="00EC0053" w:rsidP="0055115C">
      <w:pPr>
        <w:autoSpaceDE w:val="0"/>
        <w:autoSpaceDN w:val="0"/>
        <w:bidi w:val="0"/>
        <w:adjustRightInd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 xml:space="preserve">The proportion of schools with access to adapted infrastructure and materials for students with disabilities varies considerably between educational stages </w:t>
      </w:r>
      <w:r w:rsidR="000B1B5F" w:rsidRPr="00267BC4">
        <w:rPr>
          <w:rFonts w:ascii="Times New Roman" w:hAnsi="Times New Roman" w:cs="Times New Roman"/>
          <w:sz w:val="24"/>
          <w:szCs w:val="24"/>
        </w:rPr>
        <w:t>in</w:t>
      </w:r>
      <w:r w:rsidRPr="00267BC4">
        <w:rPr>
          <w:rFonts w:ascii="Times New Roman" w:hAnsi="Times New Roman" w:cs="Times New Roman"/>
          <w:sz w:val="24"/>
          <w:szCs w:val="24"/>
        </w:rPr>
        <w:t xml:space="preserve"> the 201</w:t>
      </w:r>
      <w:r w:rsidR="0055115C" w:rsidRPr="00267BC4">
        <w:rPr>
          <w:rFonts w:ascii="Times New Roman" w:hAnsi="Times New Roman" w:cs="Times New Roman"/>
          <w:sz w:val="24"/>
          <w:szCs w:val="24"/>
        </w:rPr>
        <w:t>5</w:t>
      </w:r>
      <w:r w:rsidRPr="00267BC4">
        <w:rPr>
          <w:rFonts w:ascii="Times New Roman" w:hAnsi="Times New Roman" w:cs="Times New Roman"/>
          <w:sz w:val="24"/>
          <w:szCs w:val="24"/>
        </w:rPr>
        <w:t>-</w:t>
      </w:r>
      <w:r w:rsidR="00624CCE">
        <w:rPr>
          <w:rFonts w:ascii="Times New Roman" w:hAnsi="Times New Roman" w:cs="Times New Roman" w:hint="cs"/>
          <w:sz w:val="24"/>
          <w:szCs w:val="24"/>
          <w:rtl/>
        </w:rPr>
        <w:t>2021</w:t>
      </w:r>
      <w:r w:rsidR="000B1B5F" w:rsidRPr="00267BC4">
        <w:rPr>
          <w:rFonts w:ascii="Times New Roman" w:hAnsi="Times New Roman" w:cs="Times New Roman"/>
          <w:sz w:val="24"/>
          <w:szCs w:val="24"/>
        </w:rPr>
        <w:t xml:space="preserve"> period</w:t>
      </w:r>
      <w:r w:rsidR="00E42650" w:rsidRPr="00267BC4">
        <w:rPr>
          <w:rFonts w:ascii="Times New Roman" w:hAnsi="Times New Roman" w:cs="Times New Roman"/>
          <w:sz w:val="24"/>
          <w:szCs w:val="24"/>
        </w:rPr>
        <w:t>;</w:t>
      </w:r>
      <w:r w:rsidR="004A40F1" w:rsidRPr="00267BC4">
        <w:rPr>
          <w:rFonts w:ascii="Times New Roman" w:hAnsi="Times New Roman" w:cs="Times New Roman"/>
          <w:sz w:val="24"/>
          <w:szCs w:val="24"/>
        </w:rPr>
        <w:t>the upper secondary stage has the highest proportion while the lowest proportion is among primary stage</w:t>
      </w:r>
      <w:r w:rsidRPr="00267BC4">
        <w:rPr>
          <w:rFonts w:ascii="Times New Roman" w:hAnsi="Times New Roman" w:cs="Times New Roman"/>
          <w:sz w:val="24"/>
          <w:szCs w:val="24"/>
        </w:rPr>
        <w:t>.</w:t>
      </w:r>
    </w:p>
    <w:p w14:paraId="48223FFB" w14:textId="77777777" w:rsidR="00E93C76" w:rsidRPr="00267BC4" w:rsidRDefault="00E93C76" w:rsidP="00E93C76">
      <w:pPr>
        <w:autoSpaceDE w:val="0"/>
        <w:autoSpaceDN w:val="0"/>
        <w:bidi w:val="0"/>
        <w:adjustRightInd w:val="0"/>
        <w:spacing w:after="0" w:line="240" w:lineRule="auto"/>
        <w:jc w:val="both"/>
        <w:rPr>
          <w:rFonts w:ascii="Times New Roman" w:hAnsi="Times New Roman" w:cs="Times New Roman"/>
          <w:sz w:val="24"/>
          <w:szCs w:val="24"/>
        </w:rPr>
      </w:pPr>
    </w:p>
    <w:p w14:paraId="64FD4DE2" w14:textId="77777777" w:rsidR="00982554" w:rsidRPr="00267BC4" w:rsidRDefault="004A40F1" w:rsidP="002833DA">
      <w:pPr>
        <w:tabs>
          <w:tab w:val="left" w:pos="9072"/>
        </w:tabs>
        <w:bidi w:val="0"/>
        <w:spacing w:after="0" w:line="240" w:lineRule="auto"/>
        <w:jc w:val="center"/>
        <w:rPr>
          <w:rFonts w:ascii="Arial" w:hAnsi="Arial"/>
          <w:b/>
          <w:bCs/>
        </w:rPr>
      </w:pPr>
      <w:r w:rsidRPr="00267BC4">
        <w:rPr>
          <w:rFonts w:ascii="Arial" w:hAnsi="Arial"/>
          <w:b/>
          <w:bCs/>
        </w:rPr>
        <w:t>Proportion of Schools with Access to Adapted Infrastructure and Materials for Students with Disabilities by Stage of Education, 2015/2016-</w:t>
      </w:r>
      <w:r w:rsidR="002833DA" w:rsidRPr="00267BC4">
        <w:rPr>
          <w:rFonts w:ascii="Arial" w:hAnsi="Arial"/>
          <w:b/>
          <w:bCs/>
        </w:rPr>
        <w:t>2021</w:t>
      </w:r>
      <w:r w:rsidRPr="00267BC4">
        <w:rPr>
          <w:rFonts w:ascii="Arial" w:hAnsi="Arial"/>
          <w:b/>
          <w:bCs/>
        </w:rPr>
        <w:t>/</w:t>
      </w:r>
      <w:r w:rsidR="002833DA" w:rsidRPr="00267BC4">
        <w:rPr>
          <w:rFonts w:ascii="Arial" w:hAnsi="Arial"/>
          <w:b/>
          <w:bCs/>
        </w:rPr>
        <w:t>2022</w:t>
      </w:r>
      <w:r w:rsidRPr="00267BC4">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267BC4" w14:paraId="2C21A74D" w14:textId="77777777" w:rsidTr="00335608">
        <w:tc>
          <w:tcPr>
            <w:tcW w:w="9286" w:type="dxa"/>
            <w:shd w:val="clear" w:color="auto" w:fill="auto"/>
          </w:tcPr>
          <w:p w14:paraId="64A1BECD" w14:textId="77777777" w:rsidR="00EC0053" w:rsidRPr="00267BC4" w:rsidRDefault="00EC0053" w:rsidP="008C6258">
            <w:pPr>
              <w:tabs>
                <w:tab w:val="left" w:pos="9072"/>
              </w:tabs>
              <w:bidi w:val="0"/>
              <w:spacing w:after="0" w:line="240" w:lineRule="auto"/>
              <w:jc w:val="center"/>
              <w:rPr>
                <w:rFonts w:ascii="Arial" w:hAnsi="Arial"/>
                <w:b/>
                <w:bCs/>
                <w:lang w:val="it-IT"/>
              </w:rPr>
            </w:pPr>
            <w:r w:rsidRPr="00267BC4">
              <w:rPr>
                <w:rFonts w:ascii="Arial" w:hAnsi="Arial"/>
                <w:b/>
                <w:bCs/>
                <w:noProof/>
              </w:rPr>
              <w:drawing>
                <wp:inline distT="0" distB="0" distL="0" distR="0" wp14:anchorId="7C7B9BF4" wp14:editId="2D1AE6AA">
                  <wp:extent cx="5486400" cy="2393315"/>
                  <wp:effectExtent l="0" t="0" r="0" b="6985"/>
                  <wp:docPr id="50" name="Char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14:paraId="221BECDF" w14:textId="77777777" w:rsidR="00EC0053" w:rsidRPr="00267BC4" w:rsidRDefault="00EC0053" w:rsidP="002833DA">
      <w:pPr>
        <w:bidi w:val="0"/>
        <w:spacing w:after="0" w:line="240" w:lineRule="auto"/>
        <w:ind w:left="720" w:hanging="720"/>
        <w:jc w:val="both"/>
        <w:rPr>
          <w:rFonts w:asciiTheme="minorBidi" w:hAnsiTheme="minorBidi" w:cstheme="minorBidi"/>
          <w:sz w:val="18"/>
          <w:szCs w:val="18"/>
        </w:rPr>
      </w:pPr>
      <w:r w:rsidRPr="00267BC4">
        <w:rPr>
          <w:rFonts w:asciiTheme="minorBidi" w:hAnsiTheme="minorBidi" w:cstheme="minorBidi"/>
          <w:b/>
          <w:bCs/>
          <w:sz w:val="18"/>
          <w:szCs w:val="18"/>
        </w:rPr>
        <w:t xml:space="preserve">Source: Ministry of Education, </w:t>
      </w:r>
      <w:r w:rsidRPr="00267BC4">
        <w:rPr>
          <w:rFonts w:asciiTheme="minorBidi" w:hAnsiTheme="minorBidi" w:cstheme="minorBidi"/>
          <w:sz w:val="18"/>
          <w:szCs w:val="18"/>
        </w:rPr>
        <w:t>Data Base of Education Survey for 201</w:t>
      </w:r>
      <w:r w:rsidR="0055115C" w:rsidRPr="00267BC4">
        <w:rPr>
          <w:rFonts w:asciiTheme="minorBidi" w:hAnsiTheme="minorBidi" w:cstheme="minorBidi"/>
          <w:sz w:val="18"/>
          <w:szCs w:val="18"/>
        </w:rPr>
        <w:t>5</w:t>
      </w:r>
      <w:r w:rsidRPr="00267BC4">
        <w:rPr>
          <w:rFonts w:asciiTheme="minorBidi" w:hAnsiTheme="minorBidi" w:cstheme="minorBidi"/>
          <w:sz w:val="18"/>
          <w:szCs w:val="18"/>
        </w:rPr>
        <w:t>/201</w:t>
      </w:r>
      <w:r w:rsidR="0055115C" w:rsidRPr="00267BC4">
        <w:rPr>
          <w:rFonts w:asciiTheme="minorBidi" w:hAnsiTheme="minorBidi" w:cstheme="minorBidi"/>
          <w:sz w:val="18"/>
          <w:szCs w:val="18"/>
        </w:rPr>
        <w:t>6</w:t>
      </w:r>
      <w:r w:rsidRPr="00267BC4">
        <w:rPr>
          <w:rFonts w:asciiTheme="minorBidi" w:hAnsiTheme="minorBidi" w:cstheme="minorBidi"/>
          <w:sz w:val="18"/>
          <w:szCs w:val="18"/>
        </w:rPr>
        <w:t xml:space="preserve"> - </w:t>
      </w:r>
      <w:r w:rsidR="002833DA" w:rsidRPr="00267BC4">
        <w:rPr>
          <w:rFonts w:asciiTheme="minorBidi" w:hAnsiTheme="minorBidi" w:cstheme="minorBidi"/>
          <w:sz w:val="18"/>
          <w:szCs w:val="18"/>
        </w:rPr>
        <w:t>2021</w:t>
      </w:r>
      <w:r w:rsidRPr="00267BC4">
        <w:rPr>
          <w:rFonts w:asciiTheme="minorBidi" w:hAnsiTheme="minorBidi" w:cstheme="minorBidi"/>
          <w:sz w:val="18"/>
          <w:szCs w:val="18"/>
        </w:rPr>
        <w:t>/</w:t>
      </w:r>
      <w:r w:rsidR="002833DA" w:rsidRPr="00267BC4">
        <w:rPr>
          <w:rFonts w:asciiTheme="minorBidi" w:hAnsiTheme="minorBidi" w:cstheme="minorBidi"/>
          <w:sz w:val="18"/>
          <w:szCs w:val="18"/>
        </w:rPr>
        <w:t>2022</w:t>
      </w:r>
      <w:r w:rsidR="006802E3" w:rsidRPr="00267BC4">
        <w:rPr>
          <w:rFonts w:asciiTheme="minorBidi" w:hAnsiTheme="minorBidi" w:cstheme="minorBidi"/>
          <w:sz w:val="18"/>
          <w:szCs w:val="18"/>
        </w:rPr>
        <w:t xml:space="preserve"> </w:t>
      </w:r>
      <w:r w:rsidR="000B1B5F" w:rsidRPr="00267BC4">
        <w:rPr>
          <w:rFonts w:asciiTheme="minorBidi" w:hAnsiTheme="minorBidi" w:cstheme="minorBidi"/>
          <w:sz w:val="18"/>
          <w:szCs w:val="18"/>
        </w:rPr>
        <w:t>scholastic years</w:t>
      </w:r>
      <w:r w:rsidRPr="00267BC4">
        <w:rPr>
          <w:rFonts w:asciiTheme="minorBidi" w:hAnsiTheme="minorBidi" w:cstheme="minorBidi"/>
          <w:sz w:val="18"/>
          <w:szCs w:val="18"/>
        </w:rPr>
        <w:t>. Ramallah-Palestine</w:t>
      </w:r>
    </w:p>
    <w:p w14:paraId="245AEDD2" w14:textId="77777777" w:rsidR="001A6203" w:rsidRPr="00267BC4" w:rsidRDefault="001A6203" w:rsidP="001A6203">
      <w:pPr>
        <w:bidi w:val="0"/>
        <w:spacing w:after="0" w:line="240" w:lineRule="auto"/>
        <w:jc w:val="both"/>
        <w:rPr>
          <w:rFonts w:asciiTheme="minorBidi" w:hAnsiTheme="minorBidi" w:cstheme="minorBidi"/>
          <w:sz w:val="18"/>
          <w:szCs w:val="18"/>
        </w:rPr>
      </w:pPr>
      <w:r w:rsidRPr="00267BC4">
        <w:rPr>
          <w:rFonts w:asciiTheme="minorBidi" w:hAnsiTheme="minorBidi" w:cstheme="minorBidi"/>
          <w:sz w:val="18"/>
          <w:szCs w:val="18"/>
        </w:rPr>
        <w:t>Year 2015, means the scholastic year 2015/2016</w:t>
      </w:r>
    </w:p>
    <w:p w14:paraId="4F625DB7" w14:textId="77777777" w:rsidR="003A30DF" w:rsidRPr="00267BC4" w:rsidRDefault="003A30DF" w:rsidP="006D0C5D">
      <w:pPr>
        <w:bidi w:val="0"/>
        <w:spacing w:after="0" w:line="240" w:lineRule="auto"/>
        <w:jc w:val="both"/>
        <w:rPr>
          <w:rFonts w:asciiTheme="minorBidi" w:hAnsiTheme="minorBidi" w:cstheme="minorBidi"/>
          <w:sz w:val="18"/>
          <w:szCs w:val="18"/>
        </w:rPr>
      </w:pPr>
    </w:p>
    <w:p w14:paraId="0BB219D0" w14:textId="77777777" w:rsidR="003A30DF" w:rsidRPr="00267BC4" w:rsidRDefault="003A30DF" w:rsidP="003A30DF">
      <w:pPr>
        <w:autoSpaceDE w:val="0"/>
        <w:autoSpaceDN w:val="0"/>
        <w:bidi w:val="0"/>
        <w:adjustRightInd w:val="0"/>
        <w:spacing w:after="0" w:line="240" w:lineRule="auto"/>
        <w:jc w:val="both"/>
        <w:rPr>
          <w:rFonts w:ascii="Times New Roman" w:hAnsi="Times New Roman" w:cs="Times New Roman"/>
          <w:b/>
          <w:bCs/>
          <w:i/>
          <w:iCs/>
          <w:sz w:val="24"/>
          <w:szCs w:val="24"/>
        </w:rPr>
      </w:pPr>
    </w:p>
    <w:p w14:paraId="4A94FC5B" w14:textId="77777777" w:rsidR="00EC0053" w:rsidRPr="00267BC4" w:rsidRDefault="00E42650" w:rsidP="003A30DF">
      <w:pPr>
        <w:autoSpaceDE w:val="0"/>
        <w:autoSpaceDN w:val="0"/>
        <w:bidi w:val="0"/>
        <w:adjustRightInd w:val="0"/>
        <w:spacing w:after="0" w:line="240" w:lineRule="auto"/>
        <w:jc w:val="both"/>
        <w:rPr>
          <w:rFonts w:ascii="Times New Roman" w:hAnsi="Times New Roman" w:cs="Times New Roman"/>
          <w:b/>
          <w:bCs/>
          <w:i/>
          <w:iCs/>
          <w:sz w:val="24"/>
          <w:szCs w:val="24"/>
        </w:rPr>
      </w:pPr>
      <w:r w:rsidRPr="00267BC4">
        <w:rPr>
          <w:rFonts w:ascii="Times New Roman" w:hAnsi="Times New Roman" w:cs="Times New Roman"/>
          <w:b/>
          <w:bCs/>
          <w:i/>
          <w:iCs/>
          <w:sz w:val="24"/>
          <w:szCs w:val="24"/>
        </w:rPr>
        <w:t>Indicator 4.a.1.5</w:t>
      </w:r>
      <w:r w:rsidR="00EC0053" w:rsidRPr="00267BC4">
        <w:rPr>
          <w:rFonts w:ascii="Times New Roman" w:hAnsi="Times New Roman" w:cs="Times New Roman"/>
          <w:b/>
          <w:bCs/>
          <w:i/>
          <w:iCs/>
          <w:sz w:val="24"/>
          <w:szCs w:val="24"/>
        </w:rPr>
        <w:t xml:space="preserve"> Proportion of schools with access to basic drinking water</w:t>
      </w:r>
    </w:p>
    <w:p w14:paraId="50A206F3" w14:textId="77777777" w:rsidR="00877949" w:rsidRPr="00267BC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72F17496" w14:textId="77777777" w:rsidR="00EC0053" w:rsidRPr="00267BC4" w:rsidRDefault="00EC0053" w:rsidP="002833DA">
      <w:pPr>
        <w:autoSpaceDE w:val="0"/>
        <w:autoSpaceDN w:val="0"/>
        <w:bidi w:val="0"/>
        <w:adjustRightInd w:val="0"/>
        <w:spacing w:after="0" w:line="240" w:lineRule="auto"/>
        <w:jc w:val="both"/>
        <w:rPr>
          <w:rFonts w:ascii="Times New Roman" w:hAnsi="Times New Roman" w:cs="Times New Roman"/>
          <w:sz w:val="24"/>
          <w:szCs w:val="24"/>
        </w:rPr>
      </w:pPr>
      <w:r w:rsidRPr="00267BC4">
        <w:rPr>
          <w:rFonts w:ascii="Times New Roman" w:hAnsi="Times New Roman" w:cs="Times New Roman"/>
          <w:sz w:val="24"/>
          <w:szCs w:val="24"/>
        </w:rPr>
        <w:t xml:space="preserve">Since </w:t>
      </w:r>
      <w:r w:rsidR="00CE401B" w:rsidRPr="00267BC4">
        <w:rPr>
          <w:rFonts w:ascii="Times New Roman" w:hAnsi="Times New Roman" w:cs="Times New Roman"/>
          <w:sz w:val="24"/>
          <w:szCs w:val="24"/>
        </w:rPr>
        <w:t>201</w:t>
      </w:r>
      <w:r w:rsidR="003C6D77" w:rsidRPr="00267BC4">
        <w:rPr>
          <w:rFonts w:ascii="Times New Roman" w:hAnsi="Times New Roman" w:cs="Times New Roman"/>
          <w:sz w:val="24"/>
          <w:szCs w:val="24"/>
        </w:rPr>
        <w:t>5</w:t>
      </w:r>
      <w:r w:rsidR="00CE401B" w:rsidRPr="00267BC4">
        <w:rPr>
          <w:rFonts w:ascii="Times New Roman" w:hAnsi="Times New Roman" w:cs="Times New Roman"/>
          <w:sz w:val="24"/>
          <w:szCs w:val="24"/>
        </w:rPr>
        <w:t>/201</w:t>
      </w:r>
      <w:r w:rsidR="003C6D77" w:rsidRPr="00267BC4">
        <w:rPr>
          <w:rFonts w:ascii="Times New Roman" w:hAnsi="Times New Roman" w:cs="Times New Roman"/>
          <w:sz w:val="24"/>
          <w:szCs w:val="24"/>
        </w:rPr>
        <w:t>6</w:t>
      </w:r>
      <w:r w:rsidR="00CE401B" w:rsidRPr="00267BC4">
        <w:rPr>
          <w:rFonts w:ascii="Times New Roman" w:hAnsi="Times New Roman" w:cs="Times New Roman"/>
          <w:sz w:val="24"/>
          <w:szCs w:val="24"/>
        </w:rPr>
        <w:t>,</w:t>
      </w:r>
      <w:r w:rsidRPr="00267BC4">
        <w:rPr>
          <w:rFonts w:ascii="Times New Roman" w:hAnsi="Times New Roman" w:cs="Times New Roman"/>
          <w:sz w:val="24"/>
          <w:szCs w:val="24"/>
        </w:rPr>
        <w:t xml:space="preserve"> the proportion of schools with access to basic drinking water </w:t>
      </w:r>
      <w:r w:rsidR="009A4D10" w:rsidRPr="00267BC4">
        <w:rPr>
          <w:rFonts w:ascii="Times New Roman" w:hAnsi="Times New Roman" w:cs="Times New Roman"/>
          <w:sz w:val="24"/>
          <w:szCs w:val="24"/>
        </w:rPr>
        <w:t>reached</w:t>
      </w:r>
      <w:r w:rsidR="004970D6" w:rsidRPr="00267BC4">
        <w:rPr>
          <w:rFonts w:ascii="Times New Roman" w:hAnsi="Times New Roman" w:cs="Times New Roman"/>
          <w:sz w:val="24"/>
          <w:szCs w:val="24"/>
        </w:rPr>
        <w:t xml:space="preserve"> 99</w:t>
      </w:r>
      <w:r w:rsidR="00902738" w:rsidRPr="00267BC4">
        <w:rPr>
          <w:rFonts w:ascii="Times New Roman" w:hAnsi="Times New Roman" w:cs="Times New Roman"/>
          <w:sz w:val="24"/>
          <w:szCs w:val="24"/>
        </w:rPr>
        <w:t>.</w:t>
      </w:r>
      <w:r w:rsidR="002833DA" w:rsidRPr="00267BC4">
        <w:rPr>
          <w:rFonts w:ascii="Times New Roman" w:hAnsi="Times New Roman" w:cs="Times New Roman"/>
          <w:sz w:val="24"/>
          <w:szCs w:val="24"/>
        </w:rPr>
        <w:t>4</w:t>
      </w:r>
      <w:r w:rsidRPr="00267BC4">
        <w:rPr>
          <w:rFonts w:ascii="Times New Roman" w:hAnsi="Times New Roman" w:cs="Times New Roman"/>
          <w:sz w:val="24"/>
          <w:szCs w:val="24"/>
        </w:rPr>
        <w:t>%.</w:t>
      </w:r>
    </w:p>
    <w:p w14:paraId="3412964E" w14:textId="77777777" w:rsidR="00E02452" w:rsidRPr="00267BC4" w:rsidRDefault="00E02452" w:rsidP="003D4C06">
      <w:pPr>
        <w:tabs>
          <w:tab w:val="left" w:pos="9072"/>
        </w:tabs>
        <w:bidi w:val="0"/>
        <w:spacing w:after="0" w:line="240" w:lineRule="auto"/>
        <w:rPr>
          <w:rFonts w:ascii="Arial" w:hAnsi="Arial"/>
          <w:b/>
          <w:bCs/>
          <w:sz w:val="16"/>
          <w:szCs w:val="16"/>
        </w:rPr>
      </w:pPr>
    </w:p>
    <w:p w14:paraId="481CF2E5" w14:textId="77777777" w:rsidR="006D0C5D" w:rsidRDefault="006D0C5D" w:rsidP="006D0C5D">
      <w:pPr>
        <w:tabs>
          <w:tab w:val="left" w:pos="9072"/>
        </w:tabs>
        <w:bidi w:val="0"/>
        <w:spacing w:after="0" w:line="240" w:lineRule="auto"/>
        <w:rPr>
          <w:rFonts w:ascii="Arial" w:hAnsi="Arial"/>
          <w:b/>
          <w:bCs/>
          <w:sz w:val="16"/>
          <w:szCs w:val="16"/>
        </w:rPr>
      </w:pPr>
    </w:p>
    <w:p w14:paraId="199F1CC0" w14:textId="77777777" w:rsidR="00446CF3" w:rsidRDefault="00446CF3" w:rsidP="00446CF3">
      <w:pPr>
        <w:tabs>
          <w:tab w:val="left" w:pos="9072"/>
        </w:tabs>
        <w:bidi w:val="0"/>
        <w:spacing w:after="0" w:line="240" w:lineRule="auto"/>
        <w:rPr>
          <w:rFonts w:ascii="Arial" w:hAnsi="Arial"/>
          <w:b/>
          <w:bCs/>
          <w:sz w:val="16"/>
          <w:szCs w:val="16"/>
        </w:rPr>
      </w:pPr>
    </w:p>
    <w:p w14:paraId="081EB843" w14:textId="77777777" w:rsidR="00446CF3" w:rsidRDefault="00446CF3" w:rsidP="00446CF3">
      <w:pPr>
        <w:tabs>
          <w:tab w:val="left" w:pos="9072"/>
        </w:tabs>
        <w:bidi w:val="0"/>
        <w:spacing w:after="0" w:line="240" w:lineRule="auto"/>
        <w:rPr>
          <w:rFonts w:ascii="Arial" w:hAnsi="Arial"/>
          <w:b/>
          <w:bCs/>
          <w:sz w:val="16"/>
          <w:szCs w:val="16"/>
        </w:rPr>
      </w:pPr>
    </w:p>
    <w:p w14:paraId="1D8F92E5" w14:textId="77777777" w:rsidR="00446CF3" w:rsidRPr="00267BC4" w:rsidRDefault="00446CF3" w:rsidP="00446CF3">
      <w:pPr>
        <w:tabs>
          <w:tab w:val="left" w:pos="9072"/>
        </w:tabs>
        <w:bidi w:val="0"/>
        <w:spacing w:after="0" w:line="240" w:lineRule="auto"/>
        <w:rPr>
          <w:rFonts w:ascii="Arial" w:hAnsi="Arial"/>
          <w:b/>
          <w:bCs/>
          <w:sz w:val="16"/>
          <w:szCs w:val="16"/>
        </w:rPr>
      </w:pPr>
    </w:p>
    <w:p w14:paraId="280329A5" w14:textId="77777777" w:rsidR="006D0C5D" w:rsidRPr="00267BC4" w:rsidRDefault="006D0C5D" w:rsidP="006D0C5D">
      <w:pPr>
        <w:tabs>
          <w:tab w:val="left" w:pos="9072"/>
        </w:tabs>
        <w:bidi w:val="0"/>
        <w:spacing w:after="0" w:line="240" w:lineRule="auto"/>
        <w:rPr>
          <w:rFonts w:ascii="Arial" w:hAnsi="Arial"/>
          <w:b/>
          <w:bCs/>
          <w:sz w:val="16"/>
          <w:szCs w:val="16"/>
        </w:rPr>
      </w:pPr>
    </w:p>
    <w:p w14:paraId="1C61593D" w14:textId="77777777" w:rsidR="006D0C5D" w:rsidRPr="00267BC4" w:rsidRDefault="006D0C5D" w:rsidP="006D0C5D">
      <w:pPr>
        <w:tabs>
          <w:tab w:val="left" w:pos="9072"/>
        </w:tabs>
        <w:bidi w:val="0"/>
        <w:spacing w:after="0" w:line="240" w:lineRule="auto"/>
        <w:rPr>
          <w:rFonts w:ascii="Arial" w:hAnsi="Arial"/>
          <w:b/>
          <w:bCs/>
          <w:sz w:val="16"/>
          <w:szCs w:val="16"/>
        </w:rPr>
      </w:pPr>
    </w:p>
    <w:p w14:paraId="5DA938C6" w14:textId="77777777" w:rsidR="009532BD" w:rsidRPr="00A16230" w:rsidRDefault="009532BD" w:rsidP="002833DA">
      <w:pPr>
        <w:tabs>
          <w:tab w:val="left" w:pos="9072"/>
        </w:tabs>
        <w:bidi w:val="0"/>
        <w:spacing w:after="0" w:line="240" w:lineRule="auto"/>
        <w:jc w:val="center"/>
        <w:rPr>
          <w:rFonts w:ascii="Arial" w:hAnsi="Arial"/>
          <w:b/>
          <w:bCs/>
        </w:rPr>
      </w:pPr>
      <w:r w:rsidRPr="00267BC4">
        <w:rPr>
          <w:rFonts w:ascii="Arial" w:hAnsi="Arial"/>
          <w:b/>
          <w:bCs/>
        </w:rPr>
        <w:lastRenderedPageBreak/>
        <w:t xml:space="preserve">Proportion of </w:t>
      </w:r>
      <w:r w:rsidR="000B1B5F" w:rsidRPr="00267BC4">
        <w:rPr>
          <w:rFonts w:ascii="Arial" w:hAnsi="Arial"/>
          <w:b/>
          <w:bCs/>
        </w:rPr>
        <w:t>S</w:t>
      </w:r>
      <w:r w:rsidRPr="00267BC4">
        <w:rPr>
          <w:rFonts w:ascii="Arial" w:hAnsi="Arial"/>
          <w:b/>
          <w:bCs/>
        </w:rPr>
        <w:t xml:space="preserve">chools with </w:t>
      </w:r>
      <w:r w:rsidR="000B1B5F" w:rsidRPr="00267BC4">
        <w:rPr>
          <w:rFonts w:ascii="Arial" w:hAnsi="Arial"/>
          <w:b/>
          <w:bCs/>
        </w:rPr>
        <w:t>A</w:t>
      </w:r>
      <w:r w:rsidRPr="00267BC4">
        <w:rPr>
          <w:rFonts w:ascii="Arial" w:hAnsi="Arial"/>
          <w:b/>
          <w:bCs/>
        </w:rPr>
        <w:t xml:space="preserve">ccess to </w:t>
      </w:r>
      <w:r w:rsidR="000B1B5F" w:rsidRPr="00267BC4">
        <w:rPr>
          <w:rFonts w:ascii="Arial" w:hAnsi="Arial"/>
          <w:b/>
          <w:bCs/>
        </w:rPr>
        <w:t>B</w:t>
      </w:r>
      <w:r w:rsidRPr="00267BC4">
        <w:rPr>
          <w:rFonts w:ascii="Arial" w:hAnsi="Arial"/>
          <w:b/>
          <w:bCs/>
        </w:rPr>
        <w:t xml:space="preserve">asic </w:t>
      </w:r>
      <w:r w:rsidR="000B1B5F" w:rsidRPr="00267BC4">
        <w:rPr>
          <w:rFonts w:ascii="Arial" w:hAnsi="Arial"/>
          <w:b/>
          <w:bCs/>
        </w:rPr>
        <w:t>D</w:t>
      </w:r>
      <w:r w:rsidRPr="00267BC4">
        <w:rPr>
          <w:rFonts w:ascii="Arial" w:hAnsi="Arial"/>
          <w:b/>
          <w:bCs/>
        </w:rPr>
        <w:t xml:space="preserve">rinking </w:t>
      </w:r>
      <w:r w:rsidR="000B1B5F" w:rsidRPr="00267BC4">
        <w:rPr>
          <w:rFonts w:ascii="Arial" w:hAnsi="Arial"/>
          <w:b/>
          <w:bCs/>
        </w:rPr>
        <w:t>W</w:t>
      </w:r>
      <w:r w:rsidRPr="00267BC4">
        <w:rPr>
          <w:rFonts w:ascii="Arial" w:hAnsi="Arial"/>
          <w:b/>
          <w:bCs/>
        </w:rPr>
        <w:t>ater, 201</w:t>
      </w:r>
      <w:r w:rsidR="003C6D77" w:rsidRPr="00267BC4">
        <w:rPr>
          <w:rFonts w:ascii="Arial" w:hAnsi="Arial"/>
          <w:b/>
          <w:bCs/>
        </w:rPr>
        <w:t>5</w:t>
      </w:r>
      <w:r w:rsidRPr="00267BC4">
        <w:rPr>
          <w:rFonts w:ascii="Arial" w:hAnsi="Arial"/>
          <w:b/>
          <w:bCs/>
        </w:rPr>
        <w:t>/201</w:t>
      </w:r>
      <w:r w:rsidR="003C6D77" w:rsidRPr="00267BC4">
        <w:rPr>
          <w:rFonts w:ascii="Arial" w:hAnsi="Arial"/>
          <w:b/>
          <w:bCs/>
        </w:rPr>
        <w:t>6</w:t>
      </w:r>
      <w:r w:rsidRPr="00267BC4">
        <w:rPr>
          <w:rFonts w:ascii="Arial" w:hAnsi="Arial"/>
          <w:b/>
          <w:bCs/>
        </w:rPr>
        <w:t>-</w:t>
      </w:r>
      <w:r w:rsidR="002833DA" w:rsidRPr="00267BC4">
        <w:rPr>
          <w:rFonts w:ascii="Arial" w:hAnsi="Arial"/>
          <w:b/>
          <w:bCs/>
        </w:rPr>
        <w:t>2021</w:t>
      </w:r>
      <w:r w:rsidRPr="00267BC4">
        <w:rPr>
          <w:rFonts w:ascii="Arial" w:hAnsi="Arial"/>
          <w:b/>
          <w:bCs/>
        </w:rPr>
        <w:t>/</w:t>
      </w:r>
      <w:r w:rsidR="002833DA" w:rsidRPr="00267BC4">
        <w:rPr>
          <w:rFonts w:ascii="Arial" w:hAnsi="Arial"/>
          <w:b/>
          <w:bCs/>
        </w:rPr>
        <w:t>2022</w:t>
      </w:r>
      <w:r w:rsidRPr="00267BC4">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9532BD" w:rsidRPr="00A16230" w14:paraId="0AC8F225" w14:textId="77777777" w:rsidTr="009D25D5">
        <w:trPr>
          <w:trHeight w:val="3149"/>
        </w:trPr>
        <w:tc>
          <w:tcPr>
            <w:tcW w:w="9286" w:type="dxa"/>
            <w:shd w:val="clear" w:color="auto" w:fill="auto"/>
          </w:tcPr>
          <w:p w14:paraId="3FF3E5F0" w14:textId="77777777" w:rsidR="009532BD" w:rsidRPr="00A16230" w:rsidRDefault="009532BD" w:rsidP="008C6258">
            <w:pPr>
              <w:tabs>
                <w:tab w:val="left" w:pos="9072"/>
              </w:tabs>
              <w:bidi w:val="0"/>
              <w:spacing w:after="0" w:line="240" w:lineRule="auto"/>
              <w:jc w:val="center"/>
              <w:rPr>
                <w:rFonts w:ascii="Arial" w:hAnsi="Arial"/>
                <w:b/>
                <w:bCs/>
                <w:lang w:val="it-IT"/>
              </w:rPr>
            </w:pPr>
            <w:r w:rsidRPr="00892B00">
              <w:rPr>
                <w:rFonts w:ascii="Arial" w:hAnsi="Arial"/>
                <w:b/>
                <w:bCs/>
                <w:noProof/>
                <w:sz w:val="18"/>
                <w:szCs w:val="18"/>
              </w:rPr>
              <w:drawing>
                <wp:inline distT="0" distB="0" distL="0" distR="0" wp14:anchorId="7C0FC785" wp14:editId="04662943">
                  <wp:extent cx="5734050" cy="19431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59FE33A1" w14:textId="77777777" w:rsidR="009532BD" w:rsidRPr="00446CF3" w:rsidRDefault="009532BD" w:rsidP="002833DA">
      <w:pPr>
        <w:bidi w:val="0"/>
        <w:spacing w:after="0" w:line="240" w:lineRule="auto"/>
        <w:ind w:left="720" w:hanging="720"/>
        <w:jc w:val="both"/>
        <w:rPr>
          <w:rFonts w:asciiTheme="minorBidi" w:hAnsiTheme="minorBidi" w:cstheme="minorBidi"/>
          <w:sz w:val="18"/>
          <w:szCs w:val="18"/>
        </w:rPr>
      </w:pPr>
      <w:r w:rsidRPr="00446CF3">
        <w:rPr>
          <w:rFonts w:asciiTheme="minorBidi" w:hAnsiTheme="minorBidi" w:cstheme="minorBidi"/>
          <w:b/>
          <w:bCs/>
          <w:sz w:val="18"/>
          <w:szCs w:val="18"/>
        </w:rPr>
        <w:t xml:space="preserve">Source: Ministry of Education, </w:t>
      </w:r>
      <w:r w:rsidRPr="00446CF3">
        <w:rPr>
          <w:rFonts w:asciiTheme="minorBidi" w:hAnsiTheme="minorBidi" w:cstheme="minorBidi"/>
          <w:sz w:val="18"/>
          <w:szCs w:val="18"/>
        </w:rPr>
        <w:t xml:space="preserve">Data Base of Education Survey for </w:t>
      </w:r>
      <w:r w:rsidR="000B1B5F" w:rsidRPr="00446CF3">
        <w:rPr>
          <w:rFonts w:asciiTheme="minorBidi" w:hAnsiTheme="minorBidi" w:cstheme="minorBidi"/>
          <w:sz w:val="18"/>
          <w:szCs w:val="18"/>
        </w:rPr>
        <w:t xml:space="preserve">the 2015/2016 - </w:t>
      </w:r>
      <w:r w:rsidR="002833DA" w:rsidRPr="00446CF3">
        <w:rPr>
          <w:rFonts w:asciiTheme="minorBidi" w:hAnsiTheme="minorBidi" w:cstheme="minorBidi"/>
          <w:sz w:val="18"/>
          <w:szCs w:val="18"/>
        </w:rPr>
        <w:t>2021</w:t>
      </w:r>
      <w:r w:rsidR="000B1B5F" w:rsidRPr="00446CF3">
        <w:rPr>
          <w:rFonts w:asciiTheme="minorBidi" w:hAnsiTheme="minorBidi" w:cstheme="minorBidi"/>
          <w:sz w:val="18"/>
          <w:szCs w:val="18"/>
        </w:rPr>
        <w:t>/</w:t>
      </w:r>
      <w:r w:rsidR="002833DA" w:rsidRPr="00446CF3">
        <w:rPr>
          <w:rFonts w:asciiTheme="minorBidi" w:hAnsiTheme="minorBidi" w:cstheme="minorBidi"/>
          <w:sz w:val="18"/>
          <w:szCs w:val="18"/>
        </w:rPr>
        <w:t>2022</w:t>
      </w:r>
      <w:r w:rsidRPr="00446CF3">
        <w:rPr>
          <w:rFonts w:asciiTheme="minorBidi" w:hAnsiTheme="minorBidi" w:cstheme="minorBidi"/>
          <w:sz w:val="18"/>
          <w:szCs w:val="18"/>
        </w:rPr>
        <w:t xml:space="preserve">scholastic </w:t>
      </w:r>
      <w:r w:rsidR="009A4D10" w:rsidRPr="00446CF3">
        <w:rPr>
          <w:rFonts w:asciiTheme="minorBidi" w:hAnsiTheme="minorBidi" w:cstheme="minorBidi"/>
          <w:sz w:val="18"/>
          <w:szCs w:val="18"/>
        </w:rPr>
        <w:t>y</w:t>
      </w:r>
      <w:r w:rsidRPr="00446CF3">
        <w:rPr>
          <w:rFonts w:asciiTheme="minorBidi" w:hAnsiTheme="minorBidi" w:cstheme="minorBidi"/>
          <w:sz w:val="18"/>
          <w:szCs w:val="18"/>
        </w:rPr>
        <w:t>ears. Ramallah-Palestine</w:t>
      </w:r>
    </w:p>
    <w:p w14:paraId="080F9E8E" w14:textId="77777777" w:rsidR="001A6203" w:rsidRPr="00446CF3" w:rsidRDefault="001A6203" w:rsidP="001A6203">
      <w:pPr>
        <w:bidi w:val="0"/>
        <w:spacing w:after="0" w:line="240" w:lineRule="auto"/>
        <w:jc w:val="both"/>
        <w:rPr>
          <w:rFonts w:asciiTheme="minorBidi" w:hAnsiTheme="minorBidi" w:cstheme="minorBidi"/>
          <w:sz w:val="18"/>
          <w:szCs w:val="18"/>
        </w:rPr>
      </w:pPr>
      <w:r w:rsidRPr="00446CF3">
        <w:rPr>
          <w:rFonts w:asciiTheme="minorBidi" w:hAnsiTheme="minorBidi" w:cstheme="minorBidi"/>
          <w:sz w:val="18"/>
          <w:szCs w:val="18"/>
        </w:rPr>
        <w:t>Year 2015, means the scholastic year 2015/2016</w:t>
      </w:r>
    </w:p>
    <w:p w14:paraId="5A4252C0" w14:textId="77777777" w:rsidR="00D07BB0" w:rsidRPr="00446CF3" w:rsidRDefault="00D07BB0" w:rsidP="00D07BB0">
      <w:pPr>
        <w:bidi w:val="0"/>
        <w:spacing w:after="0" w:line="240" w:lineRule="auto"/>
        <w:jc w:val="both"/>
        <w:rPr>
          <w:rFonts w:asciiTheme="minorBidi" w:hAnsiTheme="minorBidi" w:cstheme="minorBidi"/>
          <w:sz w:val="18"/>
          <w:szCs w:val="18"/>
        </w:rPr>
      </w:pPr>
    </w:p>
    <w:p w14:paraId="3D6D6D30" w14:textId="77777777" w:rsidR="00EC0053" w:rsidRPr="00446CF3" w:rsidRDefault="00EC0053" w:rsidP="002833DA">
      <w:pPr>
        <w:autoSpaceDE w:val="0"/>
        <w:autoSpaceDN w:val="0"/>
        <w:bidi w:val="0"/>
        <w:adjustRightInd w:val="0"/>
        <w:spacing w:after="0" w:line="240" w:lineRule="auto"/>
        <w:jc w:val="both"/>
        <w:rPr>
          <w:rFonts w:ascii="Times New Roman" w:hAnsi="Times New Roman" w:cs="Times New Roman"/>
          <w:sz w:val="24"/>
          <w:szCs w:val="24"/>
        </w:rPr>
      </w:pPr>
      <w:r w:rsidRPr="00446CF3">
        <w:rPr>
          <w:rFonts w:ascii="Times New Roman" w:hAnsi="Times New Roman" w:cs="Times New Roman"/>
          <w:sz w:val="24"/>
          <w:szCs w:val="24"/>
        </w:rPr>
        <w:t xml:space="preserve">There is no clear gap between educational stages in the proportion of schools with access to basic drinking water </w:t>
      </w:r>
      <w:r w:rsidR="000B1B5F" w:rsidRPr="00446CF3">
        <w:rPr>
          <w:rFonts w:ascii="Times New Roman" w:hAnsi="Times New Roman" w:cs="Times New Roman"/>
          <w:sz w:val="24"/>
          <w:szCs w:val="24"/>
        </w:rPr>
        <w:t>in</w:t>
      </w:r>
      <w:r w:rsidRPr="00446CF3">
        <w:rPr>
          <w:rFonts w:ascii="Times New Roman" w:hAnsi="Times New Roman" w:cs="Times New Roman"/>
          <w:sz w:val="24"/>
          <w:szCs w:val="24"/>
        </w:rPr>
        <w:t xml:space="preserve"> the 20</w:t>
      </w:r>
      <w:r w:rsidR="0050297E" w:rsidRPr="00446CF3">
        <w:rPr>
          <w:rFonts w:ascii="Times New Roman" w:hAnsi="Times New Roman" w:cs="Times New Roman"/>
          <w:sz w:val="24"/>
          <w:szCs w:val="24"/>
        </w:rPr>
        <w:t>15</w:t>
      </w:r>
      <w:r w:rsidRPr="00446CF3">
        <w:rPr>
          <w:rFonts w:ascii="Times New Roman" w:hAnsi="Times New Roman" w:cs="Times New Roman"/>
          <w:sz w:val="24"/>
          <w:szCs w:val="24"/>
        </w:rPr>
        <w:t>/201</w:t>
      </w:r>
      <w:r w:rsidR="0050297E" w:rsidRPr="00446CF3">
        <w:rPr>
          <w:rFonts w:ascii="Times New Roman" w:hAnsi="Times New Roman" w:cs="Times New Roman"/>
          <w:sz w:val="24"/>
          <w:szCs w:val="24"/>
        </w:rPr>
        <w:t>6</w:t>
      </w:r>
      <w:r w:rsidRPr="00446CF3">
        <w:rPr>
          <w:rFonts w:ascii="Times New Roman" w:hAnsi="Times New Roman" w:cs="Times New Roman"/>
          <w:sz w:val="24"/>
          <w:szCs w:val="24"/>
        </w:rPr>
        <w:t>-</w:t>
      </w:r>
      <w:r w:rsidR="002833DA" w:rsidRPr="00446CF3">
        <w:rPr>
          <w:rFonts w:ascii="Times New Roman" w:hAnsi="Times New Roman" w:cs="Times New Roman"/>
          <w:sz w:val="24"/>
          <w:szCs w:val="24"/>
        </w:rPr>
        <w:t>2021</w:t>
      </w:r>
      <w:r w:rsidRPr="00446CF3">
        <w:rPr>
          <w:rFonts w:ascii="Times New Roman" w:hAnsi="Times New Roman" w:cs="Times New Roman"/>
          <w:sz w:val="24"/>
          <w:szCs w:val="24"/>
        </w:rPr>
        <w:t>/</w:t>
      </w:r>
      <w:r w:rsidR="002833DA" w:rsidRPr="00446CF3">
        <w:rPr>
          <w:rFonts w:ascii="Times New Roman" w:hAnsi="Times New Roman" w:cs="Times New Roman"/>
          <w:sz w:val="24"/>
          <w:szCs w:val="24"/>
        </w:rPr>
        <w:t>2022</w:t>
      </w:r>
      <w:r w:rsidR="006802E3" w:rsidRPr="00446CF3">
        <w:rPr>
          <w:rFonts w:ascii="Times New Roman" w:hAnsi="Times New Roman" w:cs="Times New Roman"/>
          <w:sz w:val="24"/>
          <w:szCs w:val="24"/>
        </w:rPr>
        <w:t xml:space="preserve"> </w:t>
      </w:r>
      <w:r w:rsidR="000B1B5F" w:rsidRPr="00446CF3">
        <w:rPr>
          <w:rFonts w:ascii="Times New Roman" w:hAnsi="Times New Roman" w:cs="Times New Roman"/>
          <w:sz w:val="24"/>
          <w:szCs w:val="24"/>
        </w:rPr>
        <w:t>period</w:t>
      </w:r>
      <w:r w:rsidRPr="00446CF3">
        <w:rPr>
          <w:rFonts w:ascii="Times New Roman" w:hAnsi="Times New Roman" w:cs="Times New Roman"/>
          <w:sz w:val="24"/>
          <w:szCs w:val="24"/>
        </w:rPr>
        <w:t>.</w:t>
      </w:r>
    </w:p>
    <w:p w14:paraId="2A029152" w14:textId="77777777" w:rsidR="00E02452" w:rsidRPr="00446CF3" w:rsidRDefault="00E02452" w:rsidP="008C6258">
      <w:pPr>
        <w:tabs>
          <w:tab w:val="left" w:pos="9072"/>
        </w:tabs>
        <w:bidi w:val="0"/>
        <w:spacing w:after="0" w:line="240" w:lineRule="auto"/>
        <w:jc w:val="center"/>
        <w:rPr>
          <w:rFonts w:ascii="Arial" w:hAnsi="Arial"/>
          <w:b/>
          <w:bCs/>
        </w:rPr>
      </w:pPr>
    </w:p>
    <w:p w14:paraId="3F8DCA2F" w14:textId="77777777" w:rsidR="004970D6" w:rsidRPr="00A16230" w:rsidRDefault="004A40F1" w:rsidP="002833DA">
      <w:pPr>
        <w:tabs>
          <w:tab w:val="left" w:pos="9072"/>
        </w:tabs>
        <w:bidi w:val="0"/>
        <w:spacing w:after="0" w:line="240" w:lineRule="auto"/>
        <w:jc w:val="center"/>
        <w:rPr>
          <w:rFonts w:ascii="Arial" w:hAnsi="Arial"/>
          <w:b/>
          <w:bCs/>
        </w:rPr>
      </w:pPr>
      <w:r w:rsidRPr="00446CF3">
        <w:rPr>
          <w:rFonts w:ascii="Arial" w:hAnsi="Arial"/>
          <w:b/>
          <w:bCs/>
        </w:rPr>
        <w:t>Proportion of Schools with Access to Basic Drinking Water by Stage of Education, 2015/2016-</w:t>
      </w:r>
      <w:r w:rsidR="002833DA" w:rsidRPr="00446CF3">
        <w:rPr>
          <w:rFonts w:ascii="Arial" w:hAnsi="Arial"/>
          <w:b/>
          <w:bCs/>
        </w:rPr>
        <w:t>2021</w:t>
      </w:r>
      <w:r w:rsidRPr="00446CF3">
        <w:rPr>
          <w:rFonts w:ascii="Arial" w:hAnsi="Arial"/>
          <w:b/>
          <w:bCs/>
        </w:rPr>
        <w:t>/</w:t>
      </w:r>
      <w:r w:rsidR="002833DA" w:rsidRPr="00446CF3">
        <w:rPr>
          <w:rFonts w:ascii="Arial" w:hAnsi="Arial"/>
          <w:b/>
          <w:bCs/>
        </w:rPr>
        <w:t>2022</w:t>
      </w:r>
      <w:r w:rsidRPr="00446CF3">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30ABA5B0" w14:textId="77777777" w:rsidTr="009D25D5">
        <w:trPr>
          <w:trHeight w:val="3849"/>
        </w:trPr>
        <w:tc>
          <w:tcPr>
            <w:tcW w:w="9286" w:type="dxa"/>
            <w:shd w:val="clear" w:color="auto" w:fill="auto"/>
          </w:tcPr>
          <w:p w14:paraId="3D924D48"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Arial" w:hAnsi="Arial"/>
                <w:b/>
                <w:bCs/>
                <w:noProof/>
              </w:rPr>
              <w:drawing>
                <wp:inline distT="0" distB="0" distL="0" distR="0" wp14:anchorId="5E49B133" wp14:editId="4C1FE4C4">
                  <wp:extent cx="5486400" cy="2393315"/>
                  <wp:effectExtent l="0" t="0" r="0" b="6985"/>
                  <wp:docPr id="52" name="Char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4400254F" w14:textId="77777777" w:rsidR="00EC0053" w:rsidRPr="00446CF3" w:rsidRDefault="00EC0053" w:rsidP="002833DA">
      <w:pPr>
        <w:bidi w:val="0"/>
        <w:spacing w:after="0" w:line="240" w:lineRule="auto"/>
        <w:ind w:left="720" w:hanging="720"/>
        <w:jc w:val="both"/>
        <w:rPr>
          <w:rFonts w:asciiTheme="minorBidi" w:hAnsiTheme="minorBidi" w:cstheme="minorBidi"/>
          <w:b/>
          <w:bCs/>
          <w:sz w:val="18"/>
          <w:szCs w:val="18"/>
        </w:rPr>
      </w:pPr>
      <w:r w:rsidRPr="00E93C76">
        <w:rPr>
          <w:rFonts w:asciiTheme="minorBidi" w:hAnsiTheme="minorBidi" w:cstheme="minorBidi"/>
          <w:b/>
          <w:bCs/>
          <w:sz w:val="18"/>
          <w:szCs w:val="18"/>
        </w:rPr>
        <w:t>Source: Ministry of Education</w:t>
      </w:r>
      <w:r w:rsidRPr="00446CF3">
        <w:rPr>
          <w:rFonts w:asciiTheme="minorBidi" w:hAnsiTheme="minorBidi" w:cstheme="minorBidi"/>
          <w:b/>
          <w:bCs/>
          <w:sz w:val="18"/>
          <w:szCs w:val="18"/>
        </w:rPr>
        <w:t xml:space="preserve">, </w:t>
      </w:r>
      <w:r w:rsidRPr="00446CF3">
        <w:rPr>
          <w:rFonts w:asciiTheme="minorBidi" w:hAnsiTheme="minorBidi" w:cstheme="minorBidi"/>
          <w:sz w:val="18"/>
          <w:szCs w:val="18"/>
        </w:rPr>
        <w:t xml:space="preserve">Data Base of Education Survey for </w:t>
      </w:r>
      <w:r w:rsidR="00E51950" w:rsidRPr="00446CF3">
        <w:rPr>
          <w:rFonts w:asciiTheme="minorBidi" w:hAnsiTheme="minorBidi" w:cstheme="minorBidi"/>
          <w:sz w:val="18"/>
          <w:szCs w:val="18"/>
        </w:rPr>
        <w:t xml:space="preserve">the </w:t>
      </w:r>
      <w:r w:rsidR="000B1B5F" w:rsidRPr="00446CF3">
        <w:rPr>
          <w:rFonts w:asciiTheme="minorBidi" w:hAnsiTheme="minorBidi" w:cstheme="minorBidi"/>
          <w:sz w:val="18"/>
          <w:szCs w:val="18"/>
        </w:rPr>
        <w:t xml:space="preserve">2015/2016 - </w:t>
      </w:r>
      <w:r w:rsidR="002833DA" w:rsidRPr="00446CF3">
        <w:rPr>
          <w:rFonts w:asciiTheme="minorBidi" w:hAnsiTheme="minorBidi" w:cstheme="minorBidi"/>
          <w:sz w:val="18"/>
          <w:szCs w:val="18"/>
        </w:rPr>
        <w:t>2021</w:t>
      </w:r>
      <w:r w:rsidR="000B1B5F" w:rsidRPr="00446CF3">
        <w:rPr>
          <w:rFonts w:asciiTheme="minorBidi" w:hAnsiTheme="minorBidi" w:cstheme="minorBidi"/>
          <w:sz w:val="18"/>
          <w:szCs w:val="18"/>
        </w:rPr>
        <w:t>/</w:t>
      </w:r>
      <w:r w:rsidR="002833DA" w:rsidRPr="00446CF3">
        <w:rPr>
          <w:rFonts w:asciiTheme="minorBidi" w:hAnsiTheme="minorBidi" w:cstheme="minorBidi"/>
          <w:sz w:val="18"/>
          <w:szCs w:val="18"/>
        </w:rPr>
        <w:t>2022</w:t>
      </w:r>
      <w:r w:rsidR="006802E3" w:rsidRPr="00446CF3">
        <w:rPr>
          <w:rFonts w:asciiTheme="minorBidi" w:hAnsiTheme="minorBidi" w:cstheme="minorBidi"/>
          <w:sz w:val="18"/>
          <w:szCs w:val="18"/>
        </w:rPr>
        <w:t xml:space="preserve"> </w:t>
      </w:r>
      <w:r w:rsidRPr="00446CF3">
        <w:rPr>
          <w:rFonts w:asciiTheme="minorBidi" w:hAnsiTheme="minorBidi" w:cstheme="minorBidi"/>
          <w:sz w:val="18"/>
          <w:szCs w:val="18"/>
        </w:rPr>
        <w:t xml:space="preserve">scholastic </w:t>
      </w:r>
      <w:r w:rsidR="00E51950" w:rsidRPr="00446CF3">
        <w:rPr>
          <w:rFonts w:asciiTheme="minorBidi" w:hAnsiTheme="minorBidi" w:cstheme="minorBidi"/>
          <w:sz w:val="18"/>
          <w:szCs w:val="18"/>
        </w:rPr>
        <w:t>y</w:t>
      </w:r>
      <w:r w:rsidRPr="00446CF3">
        <w:rPr>
          <w:rFonts w:asciiTheme="minorBidi" w:hAnsiTheme="minorBidi" w:cstheme="minorBidi"/>
          <w:sz w:val="18"/>
          <w:szCs w:val="18"/>
        </w:rPr>
        <w:t>ears. Ramallah-Palestine</w:t>
      </w:r>
    </w:p>
    <w:p w14:paraId="54A40F68" w14:textId="77777777" w:rsidR="001A6203" w:rsidRPr="00446CF3" w:rsidRDefault="001A6203" w:rsidP="001A6203">
      <w:pPr>
        <w:bidi w:val="0"/>
        <w:spacing w:after="0" w:line="240" w:lineRule="auto"/>
        <w:jc w:val="both"/>
        <w:rPr>
          <w:rFonts w:asciiTheme="minorBidi" w:hAnsiTheme="minorBidi" w:cstheme="minorBidi"/>
          <w:sz w:val="18"/>
          <w:szCs w:val="18"/>
        </w:rPr>
      </w:pPr>
      <w:r w:rsidRPr="00446CF3">
        <w:rPr>
          <w:rFonts w:asciiTheme="minorBidi" w:hAnsiTheme="minorBidi" w:cstheme="minorBidi"/>
          <w:sz w:val="18"/>
          <w:szCs w:val="18"/>
        </w:rPr>
        <w:t>Year 2015, means the scholastic year 2015/2016</w:t>
      </w:r>
    </w:p>
    <w:p w14:paraId="34EFDC1A" w14:textId="77777777" w:rsidR="00EC0053" w:rsidRPr="00446CF3"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70DBAAAF" w14:textId="77777777" w:rsidR="00902738" w:rsidRPr="00446CF3" w:rsidRDefault="00EC0053" w:rsidP="00EC0A62">
      <w:pPr>
        <w:autoSpaceDE w:val="0"/>
        <w:autoSpaceDN w:val="0"/>
        <w:bidi w:val="0"/>
        <w:adjustRightInd w:val="0"/>
        <w:spacing w:after="0" w:line="240" w:lineRule="auto"/>
        <w:jc w:val="both"/>
        <w:rPr>
          <w:rFonts w:ascii="Times New Roman" w:hAnsi="Times New Roman" w:cs="Times New Roman"/>
          <w:b/>
          <w:bCs/>
          <w:i/>
          <w:iCs/>
          <w:sz w:val="24"/>
          <w:szCs w:val="24"/>
        </w:rPr>
      </w:pPr>
      <w:r w:rsidRPr="00446CF3">
        <w:rPr>
          <w:rFonts w:ascii="Times New Roman" w:hAnsi="Times New Roman" w:cs="Times New Roman"/>
          <w:b/>
          <w:bCs/>
          <w:i/>
          <w:iCs/>
          <w:sz w:val="24"/>
          <w:szCs w:val="24"/>
        </w:rPr>
        <w:t>Indicator 4.a.1.6 Proportion of schools with access to single-sex basic sanitation facilities</w:t>
      </w:r>
    </w:p>
    <w:p w14:paraId="362FE23A" w14:textId="77777777" w:rsidR="00877949" w:rsidRPr="00446CF3"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66069F36" w14:textId="77777777" w:rsidR="00EC0053" w:rsidRPr="00A16230" w:rsidRDefault="00E51950" w:rsidP="002833DA">
      <w:pPr>
        <w:autoSpaceDE w:val="0"/>
        <w:autoSpaceDN w:val="0"/>
        <w:bidi w:val="0"/>
        <w:adjustRightInd w:val="0"/>
        <w:spacing w:after="0" w:line="240" w:lineRule="auto"/>
        <w:jc w:val="both"/>
        <w:rPr>
          <w:rFonts w:ascii="Times New Roman" w:hAnsi="Times New Roman" w:cs="Times New Roman"/>
          <w:sz w:val="24"/>
          <w:szCs w:val="24"/>
        </w:rPr>
      </w:pPr>
      <w:r w:rsidRPr="00446CF3">
        <w:rPr>
          <w:rFonts w:ascii="Times New Roman" w:hAnsi="Times New Roman" w:cs="Times New Roman"/>
          <w:sz w:val="24"/>
          <w:szCs w:val="24"/>
        </w:rPr>
        <w:t>From</w:t>
      </w:r>
      <w:r w:rsidR="00EC0053" w:rsidRPr="00446CF3">
        <w:rPr>
          <w:rFonts w:ascii="Times New Roman" w:hAnsi="Times New Roman" w:cs="Times New Roman"/>
          <w:sz w:val="24"/>
          <w:szCs w:val="24"/>
        </w:rPr>
        <w:t xml:space="preserve"> 20</w:t>
      </w:r>
      <w:r w:rsidR="0050297E" w:rsidRPr="00446CF3">
        <w:rPr>
          <w:rFonts w:ascii="Times New Roman" w:hAnsi="Times New Roman" w:cs="Times New Roman"/>
          <w:sz w:val="24"/>
          <w:szCs w:val="24"/>
        </w:rPr>
        <w:t>15/2016</w:t>
      </w:r>
      <w:r w:rsidRPr="00446CF3">
        <w:rPr>
          <w:rFonts w:ascii="Times New Roman" w:hAnsi="Times New Roman" w:cs="Times New Roman"/>
          <w:sz w:val="24"/>
          <w:szCs w:val="24"/>
        </w:rPr>
        <w:t>un</w:t>
      </w:r>
      <w:r w:rsidR="00EC0053" w:rsidRPr="00446CF3">
        <w:rPr>
          <w:rFonts w:ascii="Times New Roman" w:hAnsi="Times New Roman" w:cs="Times New Roman"/>
          <w:sz w:val="24"/>
          <w:szCs w:val="24"/>
        </w:rPr>
        <w:t xml:space="preserve">til </w:t>
      </w:r>
      <w:r w:rsidR="002833DA" w:rsidRPr="00446CF3">
        <w:rPr>
          <w:rFonts w:ascii="Times New Roman" w:hAnsi="Times New Roman" w:cs="Times New Roman"/>
          <w:sz w:val="24"/>
          <w:szCs w:val="24"/>
        </w:rPr>
        <w:t>2021</w:t>
      </w:r>
      <w:r w:rsidR="00EC0053" w:rsidRPr="00446CF3">
        <w:rPr>
          <w:rFonts w:ascii="Times New Roman" w:hAnsi="Times New Roman" w:cs="Times New Roman"/>
          <w:sz w:val="24"/>
          <w:szCs w:val="24"/>
        </w:rPr>
        <w:t xml:space="preserve">the proportion of schools with access to single-sex basic sanitation facilities </w:t>
      </w:r>
      <w:r w:rsidR="004970D6" w:rsidRPr="00446CF3">
        <w:rPr>
          <w:rFonts w:ascii="Times New Roman" w:hAnsi="Times New Roman" w:cs="Times New Roman"/>
          <w:sz w:val="24"/>
          <w:szCs w:val="24"/>
        </w:rPr>
        <w:t xml:space="preserve">exceeded </w:t>
      </w:r>
      <w:r w:rsidR="002833DA" w:rsidRPr="00446CF3">
        <w:rPr>
          <w:rFonts w:ascii="Times New Roman" w:hAnsi="Times New Roman" w:cs="Times New Roman"/>
          <w:sz w:val="24"/>
          <w:szCs w:val="24"/>
        </w:rPr>
        <w:t>100</w:t>
      </w:r>
      <w:r w:rsidR="00EC0053" w:rsidRPr="00446CF3">
        <w:rPr>
          <w:rFonts w:ascii="Times New Roman" w:hAnsi="Times New Roman" w:cs="Times New Roman"/>
          <w:sz w:val="24"/>
          <w:szCs w:val="24"/>
        </w:rPr>
        <w:t>%.</w:t>
      </w:r>
    </w:p>
    <w:p w14:paraId="2716DA26" w14:textId="77777777" w:rsidR="00E02452" w:rsidRDefault="00E02452" w:rsidP="003D4C06">
      <w:pPr>
        <w:tabs>
          <w:tab w:val="left" w:pos="9072"/>
        </w:tabs>
        <w:bidi w:val="0"/>
        <w:spacing w:after="0" w:line="240" w:lineRule="auto"/>
        <w:rPr>
          <w:rFonts w:ascii="Arial" w:hAnsi="Arial"/>
          <w:b/>
          <w:bCs/>
        </w:rPr>
      </w:pPr>
    </w:p>
    <w:p w14:paraId="32BB9D20" w14:textId="77777777" w:rsidR="00DD0DC4" w:rsidRDefault="00DD0DC4" w:rsidP="003D4C06">
      <w:pPr>
        <w:tabs>
          <w:tab w:val="left" w:pos="9072"/>
        </w:tabs>
        <w:bidi w:val="0"/>
        <w:spacing w:after="0" w:line="240" w:lineRule="auto"/>
        <w:rPr>
          <w:rFonts w:ascii="Arial" w:hAnsi="Arial"/>
          <w:b/>
          <w:bCs/>
        </w:rPr>
      </w:pPr>
    </w:p>
    <w:p w14:paraId="6287ACBD" w14:textId="77777777" w:rsidR="003A30DF" w:rsidRDefault="003A30DF" w:rsidP="003A30DF">
      <w:pPr>
        <w:tabs>
          <w:tab w:val="left" w:pos="9072"/>
        </w:tabs>
        <w:bidi w:val="0"/>
        <w:spacing w:after="0" w:line="240" w:lineRule="auto"/>
        <w:rPr>
          <w:rFonts w:ascii="Arial" w:hAnsi="Arial"/>
          <w:b/>
          <w:bCs/>
        </w:rPr>
      </w:pPr>
    </w:p>
    <w:p w14:paraId="09FABFE1" w14:textId="77777777" w:rsidR="003A30DF" w:rsidRDefault="003A30DF" w:rsidP="003A30DF">
      <w:pPr>
        <w:tabs>
          <w:tab w:val="left" w:pos="9072"/>
        </w:tabs>
        <w:bidi w:val="0"/>
        <w:spacing w:after="0" w:line="240" w:lineRule="auto"/>
        <w:rPr>
          <w:rFonts w:ascii="Arial" w:hAnsi="Arial"/>
          <w:b/>
          <w:bCs/>
        </w:rPr>
      </w:pPr>
    </w:p>
    <w:p w14:paraId="739FDFD2" w14:textId="77777777" w:rsidR="006D0C5D" w:rsidRDefault="006D0C5D" w:rsidP="006D0C5D">
      <w:pPr>
        <w:tabs>
          <w:tab w:val="left" w:pos="9072"/>
        </w:tabs>
        <w:bidi w:val="0"/>
        <w:spacing w:after="0" w:line="240" w:lineRule="auto"/>
        <w:rPr>
          <w:rFonts w:ascii="Arial" w:hAnsi="Arial"/>
          <w:b/>
          <w:bCs/>
        </w:rPr>
      </w:pPr>
    </w:p>
    <w:p w14:paraId="575A6742" w14:textId="77777777" w:rsidR="006D0C5D" w:rsidRDefault="006D0C5D" w:rsidP="006D0C5D">
      <w:pPr>
        <w:tabs>
          <w:tab w:val="left" w:pos="9072"/>
        </w:tabs>
        <w:bidi w:val="0"/>
        <w:spacing w:after="0" w:line="240" w:lineRule="auto"/>
        <w:rPr>
          <w:rFonts w:ascii="Arial" w:hAnsi="Arial"/>
          <w:b/>
          <w:bCs/>
        </w:rPr>
      </w:pPr>
    </w:p>
    <w:p w14:paraId="42384570" w14:textId="77777777" w:rsidR="006D0C5D" w:rsidRDefault="006D0C5D" w:rsidP="006D0C5D">
      <w:pPr>
        <w:tabs>
          <w:tab w:val="left" w:pos="9072"/>
        </w:tabs>
        <w:bidi w:val="0"/>
        <w:spacing w:after="0" w:line="240" w:lineRule="auto"/>
        <w:rPr>
          <w:rFonts w:ascii="Arial" w:hAnsi="Arial"/>
          <w:b/>
          <w:bCs/>
        </w:rPr>
      </w:pPr>
    </w:p>
    <w:p w14:paraId="03CCBA33" w14:textId="77777777" w:rsidR="006D0C5D" w:rsidRDefault="006D0C5D" w:rsidP="006D0C5D">
      <w:pPr>
        <w:tabs>
          <w:tab w:val="left" w:pos="9072"/>
        </w:tabs>
        <w:bidi w:val="0"/>
        <w:spacing w:after="0" w:line="240" w:lineRule="auto"/>
        <w:rPr>
          <w:rFonts w:ascii="Arial" w:hAnsi="Arial"/>
          <w:b/>
          <w:bCs/>
        </w:rPr>
      </w:pPr>
    </w:p>
    <w:p w14:paraId="600FE834" w14:textId="77777777" w:rsidR="006D0C5D" w:rsidRDefault="006D0C5D" w:rsidP="006D0C5D">
      <w:pPr>
        <w:tabs>
          <w:tab w:val="left" w:pos="9072"/>
        </w:tabs>
        <w:bidi w:val="0"/>
        <w:spacing w:after="0" w:line="240" w:lineRule="auto"/>
        <w:rPr>
          <w:rFonts w:ascii="Arial" w:hAnsi="Arial"/>
          <w:b/>
          <w:bCs/>
        </w:rPr>
      </w:pPr>
    </w:p>
    <w:p w14:paraId="5D4BFD23" w14:textId="77777777" w:rsidR="00B26BD4" w:rsidRPr="00A16230" w:rsidRDefault="00B26BD4" w:rsidP="002833DA">
      <w:pPr>
        <w:tabs>
          <w:tab w:val="left" w:pos="9072"/>
        </w:tabs>
        <w:bidi w:val="0"/>
        <w:spacing w:after="0" w:line="240" w:lineRule="auto"/>
        <w:jc w:val="center"/>
        <w:rPr>
          <w:rFonts w:ascii="Arial" w:hAnsi="Arial"/>
          <w:b/>
          <w:bCs/>
        </w:rPr>
      </w:pPr>
      <w:r w:rsidRPr="00A16230">
        <w:rPr>
          <w:rFonts w:ascii="Arial" w:hAnsi="Arial"/>
          <w:b/>
          <w:bCs/>
        </w:rPr>
        <w:lastRenderedPageBreak/>
        <w:t>Proportion of Schools with Access to Single-Sex Basic Sanitation Facilities, 201</w:t>
      </w:r>
      <w:r w:rsidR="0050297E">
        <w:rPr>
          <w:rFonts w:ascii="Arial" w:hAnsi="Arial"/>
          <w:b/>
          <w:bCs/>
        </w:rPr>
        <w:t>5</w:t>
      </w:r>
      <w:r w:rsidRPr="00A16230">
        <w:rPr>
          <w:rFonts w:ascii="Arial" w:hAnsi="Arial"/>
          <w:b/>
          <w:bCs/>
        </w:rPr>
        <w:t>/201</w:t>
      </w:r>
      <w:r w:rsidR="0050297E">
        <w:rPr>
          <w:rFonts w:ascii="Arial" w:hAnsi="Arial"/>
          <w:b/>
          <w:bCs/>
        </w:rPr>
        <w:t>6</w:t>
      </w:r>
      <w:r w:rsidRPr="00A16230">
        <w:rPr>
          <w:rFonts w:ascii="Arial" w:hAnsi="Arial"/>
          <w:b/>
          <w:bCs/>
        </w:rPr>
        <w:t>-</w:t>
      </w:r>
      <w:r w:rsidR="002833DA">
        <w:rPr>
          <w:rFonts w:ascii="Arial" w:hAnsi="Arial"/>
          <w:b/>
          <w:bCs/>
        </w:rPr>
        <w:t>2021</w:t>
      </w:r>
      <w:r w:rsidRPr="00A16230">
        <w:rPr>
          <w:rFonts w:ascii="Arial" w:hAnsi="Arial"/>
          <w:b/>
          <w:bCs/>
        </w:rPr>
        <w:t>/</w:t>
      </w:r>
      <w:r w:rsidR="002833DA">
        <w:rPr>
          <w:rFonts w:ascii="Arial" w:hAnsi="Arial"/>
          <w:b/>
          <w:bCs/>
        </w:rPr>
        <w:t>2022</w:t>
      </w:r>
      <w:r w:rsidRPr="00A16230">
        <w:rPr>
          <w:rFonts w:ascii="Arial" w:hAnsi="Arial"/>
          <w:b/>
          <w:bCs/>
        </w:rPr>
        <w:t>(%)</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3"/>
      </w:tblGrid>
      <w:tr w:rsidR="00B26BD4" w:rsidRPr="00A16230" w14:paraId="40F910C1" w14:textId="77777777" w:rsidTr="00F35BC0">
        <w:trPr>
          <w:trHeight w:val="3254"/>
        </w:trPr>
        <w:tc>
          <w:tcPr>
            <w:tcW w:w="8923" w:type="dxa"/>
            <w:shd w:val="clear" w:color="auto" w:fill="auto"/>
          </w:tcPr>
          <w:p w14:paraId="473B1748" w14:textId="77777777" w:rsidR="00B26BD4" w:rsidRPr="00A16230" w:rsidRDefault="00B26BD4" w:rsidP="008C6258">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18"/>
                <w:szCs w:val="18"/>
              </w:rPr>
              <w:drawing>
                <wp:inline distT="0" distB="0" distL="0" distR="0" wp14:anchorId="7E981AFA" wp14:editId="2C4FD89D">
                  <wp:extent cx="5800725" cy="2057400"/>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2E048FA9" w14:textId="77777777" w:rsidR="00B26BD4" w:rsidRPr="00446CF3" w:rsidRDefault="00B26BD4" w:rsidP="002833DA">
      <w:pPr>
        <w:bidi w:val="0"/>
        <w:spacing w:after="0" w:line="240" w:lineRule="auto"/>
        <w:ind w:left="81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E51950">
        <w:rPr>
          <w:rFonts w:asciiTheme="minorBidi" w:hAnsiTheme="minorBidi" w:cstheme="minorBidi"/>
          <w:sz w:val="18"/>
          <w:szCs w:val="18"/>
        </w:rPr>
        <w:t xml:space="preserve">the </w:t>
      </w:r>
      <w:r w:rsidR="00E51950" w:rsidRPr="00E93C76">
        <w:rPr>
          <w:rFonts w:asciiTheme="minorBidi" w:hAnsiTheme="minorBidi" w:cstheme="minorBidi"/>
          <w:sz w:val="18"/>
          <w:szCs w:val="18"/>
        </w:rPr>
        <w:t xml:space="preserve">2015/2016 - </w:t>
      </w:r>
      <w:r w:rsidR="002833DA">
        <w:rPr>
          <w:rFonts w:asciiTheme="minorBidi" w:hAnsiTheme="minorBidi" w:cstheme="minorBidi"/>
          <w:sz w:val="18"/>
          <w:szCs w:val="18"/>
        </w:rPr>
        <w:t>2021</w:t>
      </w:r>
      <w:r w:rsidR="00E51950" w:rsidRPr="00E93C76">
        <w:rPr>
          <w:rFonts w:asciiTheme="minorBidi" w:hAnsiTheme="minorBidi" w:cstheme="minorBidi"/>
          <w:sz w:val="18"/>
          <w:szCs w:val="18"/>
        </w:rPr>
        <w:t>/</w:t>
      </w:r>
      <w:r w:rsidR="002833DA">
        <w:rPr>
          <w:rFonts w:asciiTheme="minorBidi" w:hAnsiTheme="minorBidi" w:cstheme="minorBidi"/>
          <w:sz w:val="18"/>
          <w:szCs w:val="18"/>
        </w:rPr>
        <w:t>2022</w:t>
      </w:r>
      <w:r w:rsidRPr="00E93C76">
        <w:rPr>
          <w:rFonts w:asciiTheme="minorBidi" w:hAnsiTheme="minorBidi" w:cstheme="minorBidi"/>
          <w:sz w:val="18"/>
          <w:szCs w:val="18"/>
        </w:rPr>
        <w:t xml:space="preserve">scholastic </w:t>
      </w:r>
      <w:r w:rsidR="00E51950">
        <w:rPr>
          <w:rFonts w:asciiTheme="minorBidi" w:hAnsiTheme="minorBidi" w:cstheme="minorBidi"/>
          <w:sz w:val="18"/>
          <w:szCs w:val="18"/>
        </w:rPr>
        <w:t>y</w:t>
      </w:r>
      <w:r w:rsidRPr="00E93C76">
        <w:rPr>
          <w:rFonts w:asciiTheme="minorBidi" w:hAnsiTheme="minorBidi" w:cstheme="minorBidi"/>
          <w:sz w:val="18"/>
          <w:szCs w:val="18"/>
        </w:rPr>
        <w:t xml:space="preserve">ears. </w:t>
      </w:r>
      <w:r w:rsidRPr="00446CF3">
        <w:rPr>
          <w:rFonts w:asciiTheme="minorBidi" w:hAnsiTheme="minorBidi" w:cstheme="minorBidi"/>
          <w:sz w:val="18"/>
          <w:szCs w:val="18"/>
        </w:rPr>
        <w:t>Ramallah-Palestine</w:t>
      </w:r>
    </w:p>
    <w:p w14:paraId="00080E2E" w14:textId="77777777" w:rsidR="001A6203" w:rsidRPr="00446CF3" w:rsidRDefault="001A6203" w:rsidP="001A6203">
      <w:pPr>
        <w:bidi w:val="0"/>
        <w:spacing w:after="0" w:line="240" w:lineRule="auto"/>
        <w:jc w:val="both"/>
        <w:rPr>
          <w:rFonts w:asciiTheme="minorBidi" w:hAnsiTheme="minorBidi" w:cstheme="minorBidi"/>
          <w:sz w:val="18"/>
          <w:szCs w:val="18"/>
        </w:rPr>
      </w:pPr>
      <w:r w:rsidRPr="00446CF3">
        <w:rPr>
          <w:rFonts w:asciiTheme="minorBidi" w:hAnsiTheme="minorBidi" w:cstheme="minorBidi"/>
          <w:sz w:val="18"/>
          <w:szCs w:val="18"/>
        </w:rPr>
        <w:t>Year 2015, means the scholastic year 2015/2016</w:t>
      </w:r>
    </w:p>
    <w:p w14:paraId="5014AEA3" w14:textId="77777777" w:rsidR="00982554" w:rsidRPr="00446CF3" w:rsidRDefault="00982554"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447C7856" w14:textId="77777777" w:rsidR="00EC0053" w:rsidRPr="00446CF3" w:rsidRDefault="004A40F1"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446CF3">
        <w:rPr>
          <w:rFonts w:ascii="Times New Roman" w:hAnsi="Times New Roman" w:cs="Times New Roman"/>
          <w:b/>
          <w:bCs/>
          <w:i/>
          <w:iCs/>
          <w:sz w:val="24"/>
          <w:szCs w:val="24"/>
        </w:rPr>
        <w:t>Indicator 4.a.1.7 Proportion of schools with access to basic hand washing facilities (as per the WASH indicator definitions).</w:t>
      </w:r>
    </w:p>
    <w:p w14:paraId="7621498A" w14:textId="77777777" w:rsidR="00877949" w:rsidRPr="00446CF3"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760F2C37" w14:textId="77777777" w:rsidR="00EC0053" w:rsidRPr="00446CF3" w:rsidRDefault="00EC0053" w:rsidP="006802E3">
      <w:pPr>
        <w:autoSpaceDE w:val="0"/>
        <w:autoSpaceDN w:val="0"/>
        <w:bidi w:val="0"/>
        <w:adjustRightInd w:val="0"/>
        <w:spacing w:after="0" w:line="240" w:lineRule="auto"/>
        <w:jc w:val="both"/>
        <w:rPr>
          <w:rFonts w:ascii="Times New Roman" w:hAnsi="Times New Roman" w:cs="Times New Roman"/>
          <w:sz w:val="24"/>
          <w:szCs w:val="24"/>
        </w:rPr>
      </w:pPr>
      <w:r w:rsidRPr="00446CF3">
        <w:rPr>
          <w:rFonts w:ascii="Times New Roman" w:hAnsi="Times New Roman" w:cs="Times New Roman"/>
          <w:sz w:val="24"/>
          <w:szCs w:val="24"/>
        </w:rPr>
        <w:t>Proportion of schools with access to basic hand washing facilities in Palestine rose in the period</w:t>
      </w:r>
      <w:r w:rsidR="00E51950" w:rsidRPr="00446CF3">
        <w:rPr>
          <w:rFonts w:ascii="Times New Roman" w:hAnsi="Times New Roman" w:cs="Times New Roman"/>
          <w:sz w:val="24"/>
          <w:szCs w:val="24"/>
        </w:rPr>
        <w:t xml:space="preserve"> of</w:t>
      </w:r>
      <w:r w:rsidRPr="00446CF3">
        <w:rPr>
          <w:rFonts w:ascii="Times New Roman" w:hAnsi="Times New Roman" w:cs="Times New Roman"/>
          <w:sz w:val="24"/>
          <w:szCs w:val="24"/>
        </w:rPr>
        <w:t xml:space="preserve"> 20</w:t>
      </w:r>
      <w:r w:rsidR="00220FF6" w:rsidRPr="00446CF3">
        <w:rPr>
          <w:rFonts w:ascii="Times New Roman" w:hAnsi="Times New Roman" w:cs="Times New Roman"/>
          <w:sz w:val="24"/>
          <w:szCs w:val="24"/>
        </w:rPr>
        <w:t>15/2016</w:t>
      </w:r>
      <w:r w:rsidRPr="00446CF3">
        <w:rPr>
          <w:rFonts w:ascii="Times New Roman" w:hAnsi="Times New Roman" w:cs="Times New Roman"/>
          <w:sz w:val="24"/>
          <w:szCs w:val="24"/>
        </w:rPr>
        <w:t>-</w:t>
      </w:r>
      <w:r w:rsidR="00CD0D72" w:rsidRPr="00446CF3">
        <w:rPr>
          <w:rFonts w:ascii="Times New Roman" w:hAnsi="Times New Roman" w:cs="Times New Roman"/>
          <w:sz w:val="24"/>
          <w:szCs w:val="24"/>
        </w:rPr>
        <w:t>2021</w:t>
      </w:r>
      <w:r w:rsidRPr="00446CF3">
        <w:rPr>
          <w:rFonts w:ascii="Times New Roman" w:hAnsi="Times New Roman" w:cs="Times New Roman"/>
          <w:sz w:val="24"/>
          <w:szCs w:val="24"/>
        </w:rPr>
        <w:t>/</w:t>
      </w:r>
      <w:r w:rsidR="00CD0D72" w:rsidRPr="00446CF3">
        <w:rPr>
          <w:rFonts w:ascii="Times New Roman" w:hAnsi="Times New Roman" w:cs="Times New Roman"/>
          <w:sz w:val="24"/>
          <w:szCs w:val="24"/>
        </w:rPr>
        <w:t xml:space="preserve">2022 </w:t>
      </w:r>
      <w:r w:rsidRPr="00446CF3">
        <w:rPr>
          <w:rFonts w:ascii="Times New Roman" w:hAnsi="Times New Roman" w:cs="Times New Roman"/>
          <w:sz w:val="24"/>
          <w:szCs w:val="24"/>
        </w:rPr>
        <w:t xml:space="preserve">to </w:t>
      </w:r>
      <w:r w:rsidR="00FF5A2B" w:rsidRPr="00446CF3">
        <w:rPr>
          <w:rFonts w:ascii="Times New Roman" w:hAnsi="Times New Roman" w:cs="Times New Roman"/>
          <w:sz w:val="24"/>
          <w:szCs w:val="24"/>
        </w:rPr>
        <w:t>98.</w:t>
      </w:r>
      <w:r w:rsidR="006802E3" w:rsidRPr="00446CF3">
        <w:rPr>
          <w:rFonts w:ascii="Times New Roman" w:hAnsi="Times New Roman" w:cs="Times New Roman"/>
          <w:sz w:val="24"/>
          <w:szCs w:val="24"/>
        </w:rPr>
        <w:t>9</w:t>
      </w:r>
      <w:r w:rsidRPr="00446CF3">
        <w:rPr>
          <w:rFonts w:ascii="Times New Roman" w:hAnsi="Times New Roman" w:cs="Times New Roman"/>
          <w:sz w:val="24"/>
          <w:szCs w:val="24"/>
        </w:rPr>
        <w:t>%.</w:t>
      </w:r>
    </w:p>
    <w:p w14:paraId="3F202833" w14:textId="77777777" w:rsidR="00EC0A62" w:rsidRPr="00446CF3" w:rsidRDefault="00EC0A62" w:rsidP="00EC0A62">
      <w:pPr>
        <w:tabs>
          <w:tab w:val="left" w:pos="9072"/>
        </w:tabs>
        <w:bidi w:val="0"/>
        <w:spacing w:after="0" w:line="240" w:lineRule="auto"/>
        <w:jc w:val="center"/>
        <w:rPr>
          <w:rFonts w:ascii="Arial" w:hAnsi="Arial"/>
          <w:b/>
          <w:bCs/>
        </w:rPr>
      </w:pPr>
    </w:p>
    <w:p w14:paraId="4FB30DDC" w14:textId="77777777" w:rsidR="00A830B4" w:rsidRDefault="00A830B4" w:rsidP="00FF5A2B">
      <w:pPr>
        <w:tabs>
          <w:tab w:val="left" w:pos="9072"/>
        </w:tabs>
        <w:bidi w:val="0"/>
        <w:spacing w:after="0" w:line="240" w:lineRule="auto"/>
        <w:jc w:val="center"/>
        <w:rPr>
          <w:rFonts w:ascii="Arial" w:hAnsi="Arial"/>
          <w:b/>
          <w:bCs/>
        </w:rPr>
      </w:pPr>
      <w:r w:rsidRPr="00446CF3">
        <w:rPr>
          <w:rFonts w:ascii="Arial" w:hAnsi="Arial"/>
          <w:b/>
          <w:bCs/>
        </w:rPr>
        <w:t>Proportion of Schools with Access to Basic Hand Washing Facilities, 201</w:t>
      </w:r>
      <w:r w:rsidR="00220FF6" w:rsidRPr="00446CF3">
        <w:rPr>
          <w:rFonts w:ascii="Arial" w:hAnsi="Arial"/>
          <w:b/>
          <w:bCs/>
        </w:rPr>
        <w:t>5</w:t>
      </w:r>
      <w:r w:rsidRPr="00446CF3">
        <w:rPr>
          <w:rFonts w:ascii="Arial" w:hAnsi="Arial"/>
          <w:b/>
          <w:bCs/>
        </w:rPr>
        <w:t>/201</w:t>
      </w:r>
      <w:r w:rsidR="00220FF6" w:rsidRPr="00446CF3">
        <w:rPr>
          <w:rFonts w:ascii="Arial" w:hAnsi="Arial"/>
          <w:b/>
          <w:bCs/>
        </w:rPr>
        <w:t>6</w:t>
      </w:r>
      <w:r w:rsidRPr="00446CF3">
        <w:rPr>
          <w:rFonts w:ascii="Arial" w:hAnsi="Arial"/>
          <w:b/>
          <w:bCs/>
        </w:rPr>
        <w:t>-</w:t>
      </w:r>
      <w:r w:rsidR="00FF5A2B" w:rsidRPr="00446CF3">
        <w:rPr>
          <w:rFonts w:ascii="Arial" w:hAnsi="Arial"/>
          <w:b/>
          <w:bCs/>
        </w:rPr>
        <w:t>2021</w:t>
      </w:r>
      <w:r w:rsidRPr="00446CF3">
        <w:rPr>
          <w:rFonts w:ascii="Arial" w:hAnsi="Arial"/>
          <w:b/>
          <w:bCs/>
        </w:rPr>
        <w:t>/</w:t>
      </w:r>
      <w:r w:rsidR="00FF5A2B" w:rsidRPr="00446CF3">
        <w:rPr>
          <w:rFonts w:ascii="Arial" w:hAnsi="Arial"/>
          <w:b/>
          <w:bCs/>
        </w:rPr>
        <w:t xml:space="preserve">2022 </w:t>
      </w:r>
      <w:r w:rsidRPr="00446CF3">
        <w:rPr>
          <w:rFonts w:ascii="Arial" w:hAnsi="Arial"/>
          <w:b/>
          <w:bCs/>
        </w:rPr>
        <w:t>(%)</w:t>
      </w:r>
    </w:p>
    <w:p w14:paraId="232788E4" w14:textId="77777777" w:rsidR="00FF5A2B" w:rsidRDefault="00FF5A2B" w:rsidP="00FF5A2B">
      <w:pPr>
        <w:tabs>
          <w:tab w:val="left" w:pos="9072"/>
        </w:tabs>
        <w:bidi w:val="0"/>
        <w:spacing w:after="0" w:line="240" w:lineRule="auto"/>
        <w:jc w:val="center"/>
        <w:rPr>
          <w:rFonts w:ascii="Arial" w:hAnsi="Arial"/>
          <w:b/>
          <w:bCs/>
        </w:rPr>
      </w:pPr>
    </w:p>
    <w:p w14:paraId="3EBB4FBF" w14:textId="77777777" w:rsidR="00FF5A2B" w:rsidRDefault="00FF5A2B" w:rsidP="00FF5A2B">
      <w:pPr>
        <w:tabs>
          <w:tab w:val="left" w:pos="9072"/>
        </w:tabs>
        <w:bidi w:val="0"/>
        <w:spacing w:after="0" w:line="240" w:lineRule="auto"/>
        <w:jc w:val="center"/>
        <w:rPr>
          <w:rFonts w:ascii="Arial" w:hAnsi="Arial"/>
          <w:b/>
          <w:bCs/>
        </w:rPr>
      </w:pPr>
    </w:p>
    <w:p w14:paraId="32EF1FB7" w14:textId="77777777" w:rsidR="00FF5A2B" w:rsidRPr="00A16230" w:rsidRDefault="009B6D43" w:rsidP="00FF5A2B">
      <w:pPr>
        <w:tabs>
          <w:tab w:val="left" w:pos="9072"/>
        </w:tabs>
        <w:bidi w:val="0"/>
        <w:spacing w:after="0" w:line="240" w:lineRule="auto"/>
        <w:jc w:val="center"/>
        <w:rPr>
          <w:rFonts w:ascii="Arial" w:hAnsi="Arial"/>
          <w:b/>
          <w:bCs/>
        </w:rPr>
      </w:pPr>
      <w:r>
        <w:rPr>
          <w:rFonts w:ascii="Arial" w:hAnsi="Arial"/>
          <w:b/>
          <w:bCs/>
          <w:noProof/>
        </w:rPr>
        <w:drawing>
          <wp:inline distT="0" distB="0" distL="0" distR="0" wp14:anchorId="0E35D92D" wp14:editId="42D95A88">
            <wp:extent cx="5653356" cy="2266950"/>
            <wp:effectExtent l="0" t="0" r="5080" b="0"/>
            <wp:docPr id="143" name="Chart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1AA07458" w14:textId="77777777" w:rsidR="00A830B4" w:rsidRPr="00446CF3" w:rsidRDefault="00A830B4" w:rsidP="00FF5A2B">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446CF3">
        <w:rPr>
          <w:rFonts w:asciiTheme="minorBidi" w:hAnsiTheme="minorBidi" w:cstheme="minorBidi"/>
          <w:sz w:val="18"/>
          <w:szCs w:val="18"/>
        </w:rPr>
        <w:t xml:space="preserve">Data Base of Education Survey for </w:t>
      </w:r>
      <w:r w:rsidR="00E51950" w:rsidRPr="00446CF3">
        <w:rPr>
          <w:rFonts w:asciiTheme="minorBidi" w:hAnsiTheme="minorBidi" w:cstheme="minorBidi"/>
          <w:sz w:val="18"/>
          <w:szCs w:val="18"/>
        </w:rPr>
        <w:t xml:space="preserve">the 2015/2016 - </w:t>
      </w:r>
      <w:r w:rsidR="00FF5A2B" w:rsidRPr="00446CF3">
        <w:rPr>
          <w:rFonts w:asciiTheme="minorBidi" w:hAnsiTheme="minorBidi" w:cstheme="minorBidi"/>
          <w:sz w:val="18"/>
          <w:szCs w:val="18"/>
        </w:rPr>
        <w:t>2021</w:t>
      </w:r>
      <w:r w:rsidR="00E51950" w:rsidRPr="00446CF3">
        <w:rPr>
          <w:rFonts w:asciiTheme="minorBidi" w:hAnsiTheme="minorBidi" w:cstheme="minorBidi"/>
          <w:sz w:val="18"/>
          <w:szCs w:val="18"/>
        </w:rPr>
        <w:t>/</w:t>
      </w:r>
      <w:r w:rsidR="00FF5A2B" w:rsidRPr="00446CF3">
        <w:rPr>
          <w:rFonts w:asciiTheme="minorBidi" w:hAnsiTheme="minorBidi" w:cstheme="minorBidi"/>
          <w:sz w:val="18"/>
          <w:szCs w:val="18"/>
        </w:rPr>
        <w:t xml:space="preserve">2022 </w:t>
      </w:r>
      <w:r w:rsidRPr="00446CF3">
        <w:rPr>
          <w:rFonts w:asciiTheme="minorBidi" w:hAnsiTheme="minorBidi" w:cstheme="minorBidi"/>
          <w:sz w:val="18"/>
          <w:szCs w:val="18"/>
        </w:rPr>
        <w:t xml:space="preserve">scholastic </w:t>
      </w:r>
      <w:r w:rsidR="00E51950" w:rsidRPr="00446CF3">
        <w:rPr>
          <w:rFonts w:asciiTheme="minorBidi" w:hAnsiTheme="minorBidi" w:cstheme="minorBidi"/>
          <w:sz w:val="18"/>
          <w:szCs w:val="18"/>
        </w:rPr>
        <w:t>y</w:t>
      </w:r>
      <w:r w:rsidRPr="00446CF3">
        <w:rPr>
          <w:rFonts w:asciiTheme="minorBidi" w:hAnsiTheme="minorBidi" w:cstheme="minorBidi"/>
          <w:sz w:val="18"/>
          <w:szCs w:val="18"/>
        </w:rPr>
        <w:t>ears. Ramallah-Palestine</w:t>
      </w:r>
    </w:p>
    <w:p w14:paraId="189C04AD" w14:textId="77777777" w:rsidR="00A830B4" w:rsidRPr="00446CF3" w:rsidRDefault="00A830B4" w:rsidP="00220FF6">
      <w:pPr>
        <w:bidi w:val="0"/>
        <w:spacing w:after="0" w:line="240" w:lineRule="auto"/>
        <w:jc w:val="both"/>
        <w:rPr>
          <w:rFonts w:asciiTheme="minorBidi" w:hAnsiTheme="minorBidi" w:cstheme="minorBidi"/>
          <w:sz w:val="18"/>
          <w:szCs w:val="18"/>
        </w:rPr>
      </w:pPr>
      <w:r w:rsidRPr="00446CF3">
        <w:rPr>
          <w:rFonts w:asciiTheme="minorBidi" w:hAnsiTheme="minorBidi" w:cstheme="minorBidi"/>
          <w:sz w:val="18"/>
          <w:szCs w:val="18"/>
        </w:rPr>
        <w:t xml:space="preserve">Year </w:t>
      </w:r>
      <w:r w:rsidR="00CE401B" w:rsidRPr="00446CF3">
        <w:rPr>
          <w:rFonts w:asciiTheme="minorBidi" w:hAnsiTheme="minorBidi" w:cstheme="minorBidi"/>
          <w:sz w:val="18"/>
          <w:szCs w:val="18"/>
        </w:rPr>
        <w:t>201</w:t>
      </w:r>
      <w:r w:rsidR="00220FF6" w:rsidRPr="00446CF3">
        <w:rPr>
          <w:rFonts w:asciiTheme="minorBidi" w:hAnsiTheme="minorBidi" w:cstheme="minorBidi"/>
          <w:sz w:val="18"/>
          <w:szCs w:val="18"/>
        </w:rPr>
        <w:t>5</w:t>
      </w:r>
      <w:r w:rsidR="00CE401B" w:rsidRPr="00446CF3">
        <w:rPr>
          <w:rFonts w:asciiTheme="minorBidi" w:hAnsiTheme="minorBidi" w:cstheme="minorBidi"/>
          <w:sz w:val="18"/>
          <w:szCs w:val="18"/>
        </w:rPr>
        <w:t>,</w:t>
      </w:r>
      <w:r w:rsidRPr="00446CF3">
        <w:rPr>
          <w:rFonts w:asciiTheme="minorBidi" w:hAnsiTheme="minorBidi" w:cstheme="minorBidi"/>
          <w:sz w:val="18"/>
          <w:szCs w:val="18"/>
        </w:rPr>
        <w:t xml:space="preserve"> mean</w:t>
      </w:r>
      <w:r w:rsidR="00A8328A" w:rsidRPr="00446CF3">
        <w:rPr>
          <w:rFonts w:asciiTheme="minorBidi" w:hAnsiTheme="minorBidi" w:cstheme="minorBidi"/>
          <w:sz w:val="18"/>
          <w:szCs w:val="18"/>
        </w:rPr>
        <w:t>s</w:t>
      </w:r>
      <w:r w:rsidRPr="00446CF3">
        <w:rPr>
          <w:rFonts w:asciiTheme="minorBidi" w:hAnsiTheme="minorBidi" w:cstheme="minorBidi"/>
          <w:sz w:val="18"/>
          <w:szCs w:val="18"/>
        </w:rPr>
        <w:t xml:space="preserve"> the scholastic year 201</w:t>
      </w:r>
      <w:r w:rsidR="00220FF6" w:rsidRPr="00446CF3">
        <w:rPr>
          <w:rFonts w:asciiTheme="minorBidi" w:hAnsiTheme="minorBidi" w:cstheme="minorBidi"/>
          <w:sz w:val="18"/>
          <w:szCs w:val="18"/>
        </w:rPr>
        <w:t>5</w:t>
      </w:r>
      <w:r w:rsidRPr="00446CF3">
        <w:rPr>
          <w:rFonts w:asciiTheme="minorBidi" w:hAnsiTheme="minorBidi" w:cstheme="minorBidi"/>
          <w:sz w:val="18"/>
          <w:szCs w:val="18"/>
        </w:rPr>
        <w:t>/201</w:t>
      </w:r>
      <w:r w:rsidR="00220FF6" w:rsidRPr="00446CF3">
        <w:rPr>
          <w:rFonts w:asciiTheme="minorBidi" w:hAnsiTheme="minorBidi" w:cstheme="minorBidi"/>
          <w:sz w:val="18"/>
          <w:szCs w:val="18"/>
        </w:rPr>
        <w:t>6</w:t>
      </w:r>
    </w:p>
    <w:p w14:paraId="346C16DF" w14:textId="77777777" w:rsidR="00EC0053" w:rsidRPr="00446CF3"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31B6416E" w14:textId="77777777" w:rsidR="00EC0053" w:rsidRPr="00446CF3" w:rsidRDefault="00EC0053" w:rsidP="00FF5A2B">
      <w:pPr>
        <w:autoSpaceDE w:val="0"/>
        <w:autoSpaceDN w:val="0"/>
        <w:bidi w:val="0"/>
        <w:adjustRightInd w:val="0"/>
        <w:spacing w:after="0" w:line="240" w:lineRule="auto"/>
        <w:jc w:val="both"/>
        <w:rPr>
          <w:rFonts w:ascii="Times New Roman" w:hAnsi="Times New Roman" w:cs="Times New Roman"/>
          <w:sz w:val="24"/>
          <w:szCs w:val="24"/>
        </w:rPr>
      </w:pPr>
      <w:r w:rsidRPr="00446CF3">
        <w:rPr>
          <w:rFonts w:ascii="Times New Roman" w:hAnsi="Times New Roman" w:cs="Times New Roman"/>
          <w:sz w:val="24"/>
          <w:szCs w:val="24"/>
        </w:rPr>
        <w:t xml:space="preserve">There is a slight gap between educational stages in the proportion of schools with access to basic hand washing </w:t>
      </w:r>
      <w:r w:rsidR="00AC2E62" w:rsidRPr="00446CF3">
        <w:rPr>
          <w:rFonts w:ascii="Times New Roman" w:hAnsi="Times New Roman" w:cs="Times New Roman"/>
          <w:sz w:val="24"/>
          <w:szCs w:val="24"/>
        </w:rPr>
        <w:t xml:space="preserve">facilities </w:t>
      </w:r>
      <w:r w:rsidR="00E51950" w:rsidRPr="00446CF3">
        <w:rPr>
          <w:rFonts w:ascii="Times New Roman" w:hAnsi="Times New Roman" w:cs="Times New Roman"/>
          <w:sz w:val="24"/>
          <w:szCs w:val="24"/>
        </w:rPr>
        <w:t>in</w:t>
      </w:r>
      <w:r w:rsidRPr="00446CF3">
        <w:rPr>
          <w:rFonts w:ascii="Times New Roman" w:hAnsi="Times New Roman" w:cs="Times New Roman"/>
          <w:sz w:val="24"/>
          <w:szCs w:val="24"/>
        </w:rPr>
        <w:t xml:space="preserve"> the period </w:t>
      </w:r>
      <w:r w:rsidR="00E51950" w:rsidRPr="00446CF3">
        <w:rPr>
          <w:rFonts w:ascii="Times New Roman" w:hAnsi="Times New Roman" w:cs="Times New Roman"/>
          <w:sz w:val="24"/>
          <w:szCs w:val="24"/>
        </w:rPr>
        <w:t xml:space="preserve">of </w:t>
      </w:r>
      <w:r w:rsidRPr="00446CF3">
        <w:rPr>
          <w:rFonts w:ascii="Times New Roman" w:hAnsi="Times New Roman" w:cs="Times New Roman"/>
          <w:sz w:val="24"/>
          <w:szCs w:val="24"/>
        </w:rPr>
        <w:t>20</w:t>
      </w:r>
      <w:r w:rsidR="00313594" w:rsidRPr="00446CF3">
        <w:rPr>
          <w:rFonts w:ascii="Times New Roman" w:hAnsi="Times New Roman" w:cs="Times New Roman"/>
          <w:sz w:val="24"/>
          <w:szCs w:val="24"/>
        </w:rPr>
        <w:t>15/2016</w:t>
      </w:r>
      <w:r w:rsidRPr="00446CF3">
        <w:rPr>
          <w:rFonts w:ascii="Times New Roman" w:hAnsi="Times New Roman" w:cs="Times New Roman"/>
          <w:sz w:val="24"/>
          <w:szCs w:val="24"/>
        </w:rPr>
        <w:t>-</w:t>
      </w:r>
      <w:r w:rsidR="00FF5A2B" w:rsidRPr="00446CF3">
        <w:rPr>
          <w:rFonts w:ascii="Times New Roman" w:hAnsi="Times New Roman" w:cs="Times New Roman"/>
          <w:sz w:val="24"/>
          <w:szCs w:val="24"/>
        </w:rPr>
        <w:t>2021</w:t>
      </w:r>
      <w:r w:rsidRPr="00446CF3">
        <w:rPr>
          <w:rFonts w:ascii="Times New Roman" w:hAnsi="Times New Roman" w:cs="Times New Roman"/>
          <w:sz w:val="24"/>
          <w:szCs w:val="24"/>
        </w:rPr>
        <w:t>/</w:t>
      </w:r>
      <w:r w:rsidR="00FF5A2B" w:rsidRPr="00446CF3">
        <w:rPr>
          <w:rFonts w:ascii="Times New Roman" w:hAnsi="Times New Roman" w:cs="Times New Roman"/>
          <w:sz w:val="24"/>
          <w:szCs w:val="24"/>
        </w:rPr>
        <w:t>2022</w:t>
      </w:r>
      <w:r w:rsidRPr="00446CF3">
        <w:rPr>
          <w:rFonts w:ascii="Times New Roman" w:hAnsi="Times New Roman" w:cs="Times New Roman"/>
          <w:sz w:val="24"/>
          <w:szCs w:val="24"/>
        </w:rPr>
        <w:t>.</w:t>
      </w:r>
    </w:p>
    <w:p w14:paraId="37F8D953" w14:textId="77777777" w:rsidR="009D25D5" w:rsidRPr="00446CF3" w:rsidRDefault="009D25D5" w:rsidP="009D25D5">
      <w:pPr>
        <w:tabs>
          <w:tab w:val="left" w:pos="9072"/>
        </w:tabs>
        <w:bidi w:val="0"/>
        <w:spacing w:after="0" w:line="240" w:lineRule="auto"/>
        <w:jc w:val="center"/>
        <w:rPr>
          <w:rFonts w:ascii="Times New Roman" w:hAnsi="Times New Roman" w:cs="Times New Roman"/>
          <w:sz w:val="24"/>
          <w:szCs w:val="24"/>
        </w:rPr>
      </w:pPr>
    </w:p>
    <w:p w14:paraId="60B6201D" w14:textId="77777777" w:rsidR="003A30DF" w:rsidRPr="00446CF3" w:rsidRDefault="003A30DF" w:rsidP="003A30DF">
      <w:pPr>
        <w:tabs>
          <w:tab w:val="left" w:pos="9072"/>
        </w:tabs>
        <w:bidi w:val="0"/>
        <w:spacing w:after="0" w:line="240" w:lineRule="auto"/>
        <w:jc w:val="center"/>
        <w:rPr>
          <w:rFonts w:ascii="Times New Roman" w:hAnsi="Times New Roman" w:cs="Times New Roman"/>
          <w:sz w:val="24"/>
          <w:szCs w:val="24"/>
        </w:rPr>
      </w:pPr>
    </w:p>
    <w:p w14:paraId="45FAE601" w14:textId="77777777" w:rsidR="00E02452" w:rsidRPr="00446CF3" w:rsidRDefault="00E02452" w:rsidP="00E02452">
      <w:pPr>
        <w:tabs>
          <w:tab w:val="left" w:pos="9072"/>
        </w:tabs>
        <w:bidi w:val="0"/>
        <w:spacing w:after="0" w:line="240" w:lineRule="auto"/>
        <w:jc w:val="center"/>
        <w:rPr>
          <w:rFonts w:ascii="Arial" w:hAnsi="Arial"/>
          <w:b/>
          <w:bCs/>
        </w:rPr>
      </w:pPr>
    </w:p>
    <w:p w14:paraId="45569CAA" w14:textId="77777777" w:rsidR="006D0C5D" w:rsidRPr="00446CF3" w:rsidRDefault="006D0C5D" w:rsidP="006D0C5D">
      <w:pPr>
        <w:tabs>
          <w:tab w:val="left" w:pos="9072"/>
        </w:tabs>
        <w:bidi w:val="0"/>
        <w:spacing w:after="0" w:line="240" w:lineRule="auto"/>
        <w:jc w:val="center"/>
        <w:rPr>
          <w:rFonts w:ascii="Arial" w:hAnsi="Arial"/>
          <w:b/>
          <w:bCs/>
        </w:rPr>
      </w:pPr>
    </w:p>
    <w:p w14:paraId="26C4F99B" w14:textId="77777777" w:rsidR="006D0C5D" w:rsidRPr="00446CF3" w:rsidRDefault="006D0C5D" w:rsidP="006D0C5D">
      <w:pPr>
        <w:tabs>
          <w:tab w:val="left" w:pos="9072"/>
        </w:tabs>
        <w:bidi w:val="0"/>
        <w:spacing w:after="0" w:line="240" w:lineRule="auto"/>
        <w:jc w:val="center"/>
        <w:rPr>
          <w:rFonts w:ascii="Arial" w:hAnsi="Arial"/>
          <w:b/>
          <w:bCs/>
        </w:rPr>
      </w:pPr>
    </w:p>
    <w:p w14:paraId="6DA86C99" w14:textId="77777777" w:rsidR="006D0C5D" w:rsidRPr="00446CF3" w:rsidRDefault="006D0C5D" w:rsidP="006D0C5D">
      <w:pPr>
        <w:tabs>
          <w:tab w:val="left" w:pos="9072"/>
        </w:tabs>
        <w:bidi w:val="0"/>
        <w:spacing w:after="0" w:line="240" w:lineRule="auto"/>
        <w:jc w:val="center"/>
        <w:rPr>
          <w:rFonts w:ascii="Arial" w:hAnsi="Arial"/>
          <w:b/>
          <w:bCs/>
        </w:rPr>
      </w:pPr>
    </w:p>
    <w:p w14:paraId="715B19BF" w14:textId="77777777" w:rsidR="004970D6" w:rsidRPr="00A16230" w:rsidRDefault="004A40F1" w:rsidP="00FF5A2B">
      <w:pPr>
        <w:tabs>
          <w:tab w:val="left" w:pos="9072"/>
        </w:tabs>
        <w:bidi w:val="0"/>
        <w:spacing w:after="0" w:line="240" w:lineRule="auto"/>
        <w:jc w:val="center"/>
        <w:rPr>
          <w:rFonts w:ascii="Arial" w:hAnsi="Arial"/>
          <w:b/>
          <w:bCs/>
        </w:rPr>
      </w:pPr>
      <w:r w:rsidRPr="00446CF3">
        <w:rPr>
          <w:rFonts w:ascii="Arial" w:hAnsi="Arial"/>
          <w:b/>
          <w:bCs/>
        </w:rPr>
        <w:lastRenderedPageBreak/>
        <w:t>Proportion of Schools with Access to Basic Hand Washing Facilities by Stages of Education, 2015/2016-2021/2022(%)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0F5F1C0A" w14:textId="77777777" w:rsidTr="00335608">
        <w:tc>
          <w:tcPr>
            <w:tcW w:w="9286" w:type="dxa"/>
            <w:shd w:val="clear" w:color="auto" w:fill="auto"/>
          </w:tcPr>
          <w:p w14:paraId="4EF7B171"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noProof/>
              </w:rPr>
              <w:drawing>
                <wp:inline distT="0" distB="0" distL="0" distR="0" wp14:anchorId="2772DC50" wp14:editId="56655763">
                  <wp:extent cx="5486400" cy="2393315"/>
                  <wp:effectExtent l="0" t="0" r="0" b="6985"/>
                  <wp:docPr id="55" name="Char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14:paraId="4EC352E5" w14:textId="77777777" w:rsidR="00EC0053" w:rsidRPr="00446CF3" w:rsidRDefault="00EC0053" w:rsidP="00FF5A2B">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w:t>
      </w:r>
      <w:r w:rsidRPr="00446CF3">
        <w:rPr>
          <w:rFonts w:asciiTheme="minorBidi" w:hAnsiTheme="minorBidi" w:cstheme="minorBidi"/>
          <w:b/>
          <w:bCs/>
          <w:sz w:val="18"/>
          <w:szCs w:val="18"/>
        </w:rPr>
        <w:t xml:space="preserve">Ministry of Education, </w:t>
      </w:r>
      <w:r w:rsidRPr="00446CF3">
        <w:rPr>
          <w:rFonts w:asciiTheme="minorBidi" w:hAnsiTheme="minorBidi" w:cstheme="minorBidi"/>
          <w:sz w:val="18"/>
          <w:szCs w:val="18"/>
        </w:rPr>
        <w:t xml:space="preserve">Data Base of Education Survey for </w:t>
      </w:r>
      <w:r w:rsidR="00E51950" w:rsidRPr="00446CF3">
        <w:rPr>
          <w:rFonts w:asciiTheme="minorBidi" w:hAnsiTheme="minorBidi" w:cstheme="minorBidi"/>
          <w:sz w:val="18"/>
          <w:szCs w:val="18"/>
        </w:rPr>
        <w:t xml:space="preserve">the 2015/2016 - </w:t>
      </w:r>
      <w:r w:rsidR="00FF5A2B" w:rsidRPr="00446CF3">
        <w:rPr>
          <w:rFonts w:asciiTheme="minorBidi" w:hAnsiTheme="minorBidi" w:cstheme="minorBidi"/>
          <w:sz w:val="18"/>
          <w:szCs w:val="18"/>
        </w:rPr>
        <w:t>2021</w:t>
      </w:r>
      <w:r w:rsidR="00E51950" w:rsidRPr="00446CF3">
        <w:rPr>
          <w:rFonts w:asciiTheme="minorBidi" w:hAnsiTheme="minorBidi" w:cstheme="minorBidi"/>
          <w:sz w:val="18"/>
          <w:szCs w:val="18"/>
        </w:rPr>
        <w:t>/</w:t>
      </w:r>
      <w:r w:rsidR="00FF5A2B" w:rsidRPr="00446CF3">
        <w:rPr>
          <w:rFonts w:asciiTheme="minorBidi" w:hAnsiTheme="minorBidi" w:cstheme="minorBidi"/>
          <w:sz w:val="18"/>
          <w:szCs w:val="18"/>
        </w:rPr>
        <w:t xml:space="preserve">2022 </w:t>
      </w:r>
      <w:r w:rsidRPr="00446CF3">
        <w:rPr>
          <w:rFonts w:asciiTheme="minorBidi" w:hAnsiTheme="minorBidi" w:cstheme="minorBidi"/>
          <w:sz w:val="18"/>
          <w:szCs w:val="18"/>
        </w:rPr>
        <w:t xml:space="preserve">scholastic </w:t>
      </w:r>
      <w:r w:rsidR="00E51950" w:rsidRPr="00446CF3">
        <w:rPr>
          <w:rFonts w:asciiTheme="minorBidi" w:hAnsiTheme="minorBidi" w:cstheme="minorBidi"/>
          <w:sz w:val="18"/>
          <w:szCs w:val="18"/>
        </w:rPr>
        <w:t>y</w:t>
      </w:r>
      <w:r w:rsidRPr="00446CF3">
        <w:rPr>
          <w:rFonts w:asciiTheme="minorBidi" w:hAnsiTheme="minorBidi" w:cstheme="minorBidi"/>
          <w:sz w:val="18"/>
          <w:szCs w:val="18"/>
        </w:rPr>
        <w:t>ears. Ramallah-Palestine</w:t>
      </w:r>
    </w:p>
    <w:p w14:paraId="364FFBED" w14:textId="77777777" w:rsidR="001A6203" w:rsidRPr="00446CF3" w:rsidRDefault="001A6203" w:rsidP="001A6203">
      <w:pPr>
        <w:bidi w:val="0"/>
        <w:spacing w:after="0" w:line="240" w:lineRule="auto"/>
        <w:jc w:val="both"/>
        <w:rPr>
          <w:rFonts w:asciiTheme="minorBidi" w:hAnsiTheme="minorBidi" w:cstheme="minorBidi"/>
          <w:sz w:val="18"/>
          <w:szCs w:val="18"/>
        </w:rPr>
      </w:pPr>
      <w:r w:rsidRPr="00446CF3">
        <w:rPr>
          <w:rFonts w:asciiTheme="minorBidi" w:hAnsiTheme="minorBidi" w:cstheme="minorBidi"/>
          <w:sz w:val="18"/>
          <w:szCs w:val="18"/>
        </w:rPr>
        <w:t>Year 2015, means the scholastic year 2015/2016</w:t>
      </w:r>
    </w:p>
    <w:p w14:paraId="358079AE" w14:textId="77777777" w:rsidR="00EC0053" w:rsidRPr="00446CF3"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1CC8E619" w14:textId="77777777" w:rsidR="00EC0053" w:rsidRPr="00446CF3" w:rsidRDefault="00EC0053" w:rsidP="008C6258">
      <w:pPr>
        <w:autoSpaceDE w:val="0"/>
        <w:autoSpaceDN w:val="0"/>
        <w:bidi w:val="0"/>
        <w:adjustRightInd w:val="0"/>
        <w:spacing w:after="0" w:line="240" w:lineRule="auto"/>
        <w:jc w:val="both"/>
        <w:rPr>
          <w:rFonts w:asciiTheme="majorBidi" w:hAnsiTheme="majorBidi" w:cstheme="majorBidi"/>
          <w:b/>
          <w:bCs/>
          <w:i/>
          <w:iCs/>
          <w:sz w:val="24"/>
          <w:szCs w:val="24"/>
        </w:rPr>
      </w:pPr>
      <w:r w:rsidRPr="00446CF3">
        <w:rPr>
          <w:rFonts w:asciiTheme="majorBidi" w:hAnsiTheme="majorBidi" w:cstheme="majorBidi"/>
          <w:b/>
          <w:bCs/>
          <w:i/>
          <w:iCs/>
          <w:sz w:val="24"/>
          <w:szCs w:val="24"/>
        </w:rPr>
        <w:t>Indicator 4.c.1 Proportion of teachers in: (a) pre-primary; (b) primary; (c) lower secondary; and (d) upper secondary education who have received at least the minimum organized teacher training (e.g. pedagogical training) pre-service or in-service required for teaching at the relevant level in a given country.</w:t>
      </w:r>
    </w:p>
    <w:p w14:paraId="62301769" w14:textId="77777777" w:rsidR="009D25D5" w:rsidRPr="00446CF3" w:rsidRDefault="009D25D5" w:rsidP="009D25D5">
      <w:pPr>
        <w:autoSpaceDE w:val="0"/>
        <w:autoSpaceDN w:val="0"/>
        <w:bidi w:val="0"/>
        <w:adjustRightInd w:val="0"/>
        <w:spacing w:after="0" w:line="240" w:lineRule="auto"/>
        <w:jc w:val="both"/>
        <w:rPr>
          <w:rFonts w:asciiTheme="majorBidi" w:hAnsiTheme="majorBidi" w:cstheme="majorBidi"/>
          <w:b/>
          <w:bCs/>
          <w:i/>
          <w:iCs/>
          <w:sz w:val="24"/>
          <w:szCs w:val="24"/>
        </w:rPr>
      </w:pPr>
    </w:p>
    <w:p w14:paraId="69FEF82D" w14:textId="77777777" w:rsidR="00EC0053" w:rsidRPr="00446CF3" w:rsidRDefault="00EC0053" w:rsidP="001B7761">
      <w:pPr>
        <w:autoSpaceDE w:val="0"/>
        <w:autoSpaceDN w:val="0"/>
        <w:bidi w:val="0"/>
        <w:adjustRightInd w:val="0"/>
        <w:spacing w:after="0" w:line="240" w:lineRule="auto"/>
        <w:jc w:val="both"/>
        <w:rPr>
          <w:rFonts w:asciiTheme="majorBidi" w:hAnsiTheme="majorBidi" w:cstheme="majorBidi"/>
          <w:sz w:val="24"/>
          <w:szCs w:val="24"/>
        </w:rPr>
      </w:pPr>
      <w:r w:rsidRPr="00446CF3">
        <w:rPr>
          <w:rFonts w:asciiTheme="majorBidi" w:hAnsiTheme="majorBidi" w:cstheme="majorBidi"/>
          <w:sz w:val="24"/>
          <w:szCs w:val="24"/>
        </w:rPr>
        <w:t xml:space="preserve">Since 2000/2001 </w:t>
      </w:r>
      <w:r w:rsidR="00E51950" w:rsidRPr="00446CF3">
        <w:rPr>
          <w:rFonts w:asciiTheme="majorBidi" w:hAnsiTheme="majorBidi" w:cstheme="majorBidi"/>
          <w:sz w:val="24"/>
          <w:szCs w:val="24"/>
        </w:rPr>
        <w:t>un</w:t>
      </w:r>
      <w:r w:rsidRPr="00446CF3">
        <w:rPr>
          <w:rFonts w:asciiTheme="majorBidi" w:hAnsiTheme="majorBidi" w:cstheme="majorBidi"/>
          <w:sz w:val="24"/>
          <w:szCs w:val="24"/>
        </w:rPr>
        <w:t xml:space="preserve">til </w:t>
      </w:r>
      <w:r w:rsidR="001B7761" w:rsidRPr="00446CF3">
        <w:rPr>
          <w:rFonts w:asciiTheme="majorBidi" w:hAnsiTheme="majorBidi" w:cstheme="majorBidi"/>
          <w:sz w:val="24"/>
          <w:szCs w:val="24"/>
        </w:rPr>
        <w:t xml:space="preserve">2021 </w:t>
      </w:r>
      <w:r w:rsidRPr="00446CF3">
        <w:rPr>
          <w:rFonts w:asciiTheme="majorBidi" w:hAnsiTheme="majorBidi" w:cstheme="majorBidi"/>
          <w:sz w:val="24"/>
          <w:szCs w:val="24"/>
        </w:rPr>
        <w:t>all teachers in Palestine received at least the minimum organized teacher training in-service</w:t>
      </w:r>
      <w:r w:rsidRPr="00446CF3">
        <w:rPr>
          <w:rFonts w:asciiTheme="majorBidi" w:hAnsiTheme="majorBidi" w:cstheme="majorBidi"/>
          <w:sz w:val="24"/>
          <w:szCs w:val="24"/>
          <w:vertAlign w:val="superscript"/>
        </w:rPr>
        <w:footnoteReference w:id="5"/>
      </w:r>
      <w:r w:rsidRPr="00446CF3">
        <w:rPr>
          <w:rFonts w:asciiTheme="majorBidi" w:hAnsiTheme="majorBidi" w:cstheme="majorBidi"/>
          <w:sz w:val="24"/>
          <w:szCs w:val="24"/>
        </w:rPr>
        <w:t xml:space="preserve"> required for teaching all stages of education.</w:t>
      </w:r>
    </w:p>
    <w:p w14:paraId="7583B8CD" w14:textId="77777777" w:rsidR="00EC0053" w:rsidRPr="00446CF3" w:rsidRDefault="00EC0053" w:rsidP="008C6258">
      <w:pPr>
        <w:autoSpaceDE w:val="0"/>
        <w:autoSpaceDN w:val="0"/>
        <w:bidi w:val="0"/>
        <w:adjustRightInd w:val="0"/>
        <w:spacing w:after="0" w:line="240" w:lineRule="auto"/>
        <w:jc w:val="both"/>
        <w:rPr>
          <w:rFonts w:asciiTheme="majorBidi" w:hAnsiTheme="majorBidi" w:cstheme="majorBidi"/>
          <w:b/>
          <w:bCs/>
          <w:sz w:val="24"/>
          <w:szCs w:val="24"/>
        </w:rPr>
      </w:pPr>
    </w:p>
    <w:p w14:paraId="5955843C" w14:textId="77777777" w:rsidR="00B07DA6" w:rsidRPr="00446CF3" w:rsidRDefault="00EC0053" w:rsidP="003D4C06">
      <w:pPr>
        <w:autoSpaceDE w:val="0"/>
        <w:autoSpaceDN w:val="0"/>
        <w:bidi w:val="0"/>
        <w:adjustRightInd w:val="0"/>
        <w:spacing w:after="0" w:line="240" w:lineRule="auto"/>
        <w:jc w:val="both"/>
        <w:rPr>
          <w:rFonts w:asciiTheme="majorBidi" w:hAnsiTheme="majorBidi" w:cstheme="majorBidi"/>
          <w:b/>
          <w:bCs/>
          <w:sz w:val="24"/>
          <w:szCs w:val="24"/>
        </w:rPr>
      </w:pPr>
      <w:r w:rsidRPr="00446CF3">
        <w:rPr>
          <w:rFonts w:asciiTheme="majorBidi" w:hAnsiTheme="majorBidi" w:cstheme="majorBidi"/>
          <w:b/>
          <w:bCs/>
          <w:sz w:val="24"/>
          <w:szCs w:val="24"/>
        </w:rPr>
        <w:t>Summary</w:t>
      </w:r>
    </w:p>
    <w:p w14:paraId="40BEE410" w14:textId="77777777" w:rsidR="00EC0053" w:rsidRPr="00446CF3" w:rsidRDefault="00EC0053" w:rsidP="00956767">
      <w:pPr>
        <w:autoSpaceDE w:val="0"/>
        <w:autoSpaceDN w:val="0"/>
        <w:bidi w:val="0"/>
        <w:adjustRightInd w:val="0"/>
        <w:spacing w:after="0" w:line="240" w:lineRule="auto"/>
        <w:jc w:val="both"/>
        <w:rPr>
          <w:rFonts w:asciiTheme="majorBidi" w:hAnsiTheme="majorBidi" w:cstheme="majorBidi"/>
          <w:sz w:val="24"/>
          <w:szCs w:val="24"/>
        </w:rPr>
      </w:pPr>
      <w:r w:rsidRPr="00446CF3">
        <w:rPr>
          <w:rFonts w:asciiTheme="majorBidi" w:hAnsiTheme="majorBidi" w:cstheme="majorBidi"/>
          <w:sz w:val="24"/>
          <w:szCs w:val="24"/>
        </w:rPr>
        <w:t xml:space="preserve">The last ten years </w:t>
      </w:r>
      <w:r w:rsidR="00E51950" w:rsidRPr="00446CF3">
        <w:rPr>
          <w:rFonts w:asciiTheme="majorBidi" w:hAnsiTheme="majorBidi" w:cstheme="majorBidi"/>
          <w:sz w:val="24"/>
          <w:szCs w:val="24"/>
        </w:rPr>
        <w:t>witnessed</w:t>
      </w:r>
      <w:r w:rsidRPr="00446CF3">
        <w:rPr>
          <w:rFonts w:asciiTheme="majorBidi" w:hAnsiTheme="majorBidi" w:cstheme="majorBidi"/>
          <w:sz w:val="24"/>
          <w:szCs w:val="24"/>
        </w:rPr>
        <w:t xml:space="preserve"> widespread progress </w:t>
      </w:r>
      <w:r w:rsidR="00E51950" w:rsidRPr="00446CF3">
        <w:rPr>
          <w:rFonts w:asciiTheme="majorBidi" w:hAnsiTheme="majorBidi" w:cstheme="majorBidi"/>
          <w:sz w:val="24"/>
          <w:szCs w:val="24"/>
        </w:rPr>
        <w:t>i</w:t>
      </w:r>
      <w:r w:rsidRPr="00446CF3">
        <w:rPr>
          <w:rFonts w:asciiTheme="majorBidi" w:hAnsiTheme="majorBidi" w:cstheme="majorBidi"/>
          <w:sz w:val="24"/>
          <w:szCs w:val="24"/>
        </w:rPr>
        <w:t>n the infrastructure of schools. The proportion of schools with access to internet for pedagogical purposes in Palestine rose in the period 2009/2010-</w:t>
      </w:r>
      <w:r w:rsidR="00FF5A2B" w:rsidRPr="00446CF3">
        <w:rPr>
          <w:rFonts w:asciiTheme="majorBidi" w:hAnsiTheme="majorBidi" w:cstheme="majorBidi"/>
          <w:sz w:val="24"/>
          <w:szCs w:val="24"/>
        </w:rPr>
        <w:t>2021</w:t>
      </w:r>
      <w:r w:rsidRPr="00446CF3">
        <w:rPr>
          <w:rFonts w:asciiTheme="majorBidi" w:hAnsiTheme="majorBidi" w:cstheme="majorBidi"/>
          <w:sz w:val="24"/>
          <w:szCs w:val="24"/>
        </w:rPr>
        <w:t>/</w:t>
      </w:r>
      <w:r w:rsidR="00FF5A2B" w:rsidRPr="00446CF3">
        <w:rPr>
          <w:rFonts w:asciiTheme="majorBidi" w:hAnsiTheme="majorBidi" w:cstheme="majorBidi"/>
          <w:sz w:val="24"/>
          <w:szCs w:val="24"/>
        </w:rPr>
        <w:t xml:space="preserve">2022 </w:t>
      </w:r>
      <w:r w:rsidRPr="00446CF3">
        <w:rPr>
          <w:rFonts w:asciiTheme="majorBidi" w:hAnsiTheme="majorBidi" w:cstheme="majorBidi"/>
          <w:sz w:val="24"/>
          <w:szCs w:val="24"/>
        </w:rPr>
        <w:t xml:space="preserve">from 23.2% to </w:t>
      </w:r>
      <w:r w:rsidR="00FF5A2B" w:rsidRPr="00446CF3">
        <w:rPr>
          <w:rFonts w:asciiTheme="majorBidi" w:hAnsiTheme="majorBidi" w:cstheme="majorBidi"/>
          <w:sz w:val="24"/>
          <w:szCs w:val="24"/>
        </w:rPr>
        <w:t>98</w:t>
      </w:r>
      <w:r w:rsidRPr="00446CF3">
        <w:rPr>
          <w:rFonts w:asciiTheme="majorBidi" w:hAnsiTheme="majorBidi" w:cstheme="majorBidi"/>
          <w:sz w:val="24"/>
          <w:szCs w:val="24"/>
        </w:rPr>
        <w:t>.</w:t>
      </w:r>
      <w:r w:rsidR="00B04AD4" w:rsidRPr="00446CF3">
        <w:rPr>
          <w:rFonts w:asciiTheme="majorBidi" w:hAnsiTheme="majorBidi" w:cstheme="majorBidi"/>
          <w:sz w:val="24"/>
          <w:szCs w:val="24"/>
        </w:rPr>
        <w:t>8</w:t>
      </w:r>
      <w:r w:rsidRPr="00446CF3">
        <w:rPr>
          <w:rFonts w:asciiTheme="majorBidi" w:hAnsiTheme="majorBidi" w:cstheme="majorBidi"/>
          <w:sz w:val="24"/>
          <w:szCs w:val="24"/>
        </w:rPr>
        <w:t xml:space="preserve">%. </w:t>
      </w:r>
    </w:p>
    <w:p w14:paraId="764013B9" w14:textId="77777777" w:rsidR="009D25D5" w:rsidRPr="00446CF3" w:rsidRDefault="009D25D5" w:rsidP="009D25D5">
      <w:pPr>
        <w:autoSpaceDE w:val="0"/>
        <w:autoSpaceDN w:val="0"/>
        <w:bidi w:val="0"/>
        <w:adjustRightInd w:val="0"/>
        <w:spacing w:after="0" w:line="240" w:lineRule="auto"/>
        <w:jc w:val="both"/>
        <w:rPr>
          <w:rFonts w:asciiTheme="majorBidi" w:hAnsiTheme="majorBidi" w:cstheme="majorBidi"/>
          <w:sz w:val="24"/>
          <w:szCs w:val="24"/>
        </w:rPr>
      </w:pPr>
    </w:p>
    <w:p w14:paraId="13419F37" w14:textId="77777777" w:rsidR="00EC0053" w:rsidRPr="00E93C76" w:rsidRDefault="00EC0053" w:rsidP="008C6258">
      <w:pPr>
        <w:autoSpaceDE w:val="0"/>
        <w:autoSpaceDN w:val="0"/>
        <w:bidi w:val="0"/>
        <w:adjustRightInd w:val="0"/>
        <w:spacing w:after="0" w:line="240" w:lineRule="auto"/>
        <w:jc w:val="both"/>
        <w:rPr>
          <w:rFonts w:asciiTheme="majorBidi" w:hAnsiTheme="majorBidi" w:cstheme="majorBidi"/>
          <w:sz w:val="24"/>
          <w:szCs w:val="24"/>
        </w:rPr>
      </w:pPr>
      <w:r w:rsidRPr="00446CF3">
        <w:rPr>
          <w:rFonts w:asciiTheme="majorBidi" w:hAnsiTheme="majorBidi" w:cstheme="majorBidi"/>
          <w:sz w:val="24"/>
          <w:szCs w:val="24"/>
        </w:rPr>
        <w:t xml:space="preserve">The participation rate of youth and adults in formal and non-formal education and training </w:t>
      </w:r>
      <w:r w:rsidR="00E51950" w:rsidRPr="00446CF3">
        <w:rPr>
          <w:rFonts w:asciiTheme="majorBidi" w:hAnsiTheme="majorBidi" w:cstheme="majorBidi"/>
          <w:sz w:val="24"/>
          <w:szCs w:val="24"/>
        </w:rPr>
        <w:t>reached</w:t>
      </w:r>
      <w:r w:rsidR="00095785" w:rsidRPr="00446CF3">
        <w:rPr>
          <w:rFonts w:asciiTheme="majorBidi" w:hAnsiTheme="majorBidi" w:cstheme="majorBidi"/>
          <w:sz w:val="24"/>
          <w:szCs w:val="24"/>
        </w:rPr>
        <w:t>18.9</w:t>
      </w:r>
      <w:r w:rsidRPr="00446CF3">
        <w:rPr>
          <w:rFonts w:asciiTheme="majorBidi" w:hAnsiTheme="majorBidi" w:cstheme="majorBidi"/>
          <w:sz w:val="24"/>
          <w:szCs w:val="24"/>
        </w:rPr>
        <w:t>% in 20</w:t>
      </w:r>
      <w:r w:rsidR="00DC0DB3" w:rsidRPr="00446CF3">
        <w:rPr>
          <w:rFonts w:asciiTheme="majorBidi" w:hAnsiTheme="majorBidi" w:cstheme="majorBidi"/>
          <w:sz w:val="24"/>
          <w:szCs w:val="24"/>
        </w:rPr>
        <w:t>20</w:t>
      </w:r>
      <w:r w:rsidRPr="00446CF3">
        <w:rPr>
          <w:rFonts w:asciiTheme="majorBidi" w:hAnsiTheme="majorBidi" w:cstheme="majorBidi"/>
          <w:sz w:val="24"/>
          <w:szCs w:val="24"/>
        </w:rPr>
        <w:t>: 17.</w:t>
      </w:r>
      <w:r w:rsidR="00095785" w:rsidRPr="00446CF3">
        <w:rPr>
          <w:rFonts w:asciiTheme="majorBidi" w:hAnsiTheme="majorBidi" w:cstheme="majorBidi"/>
          <w:sz w:val="24"/>
          <w:szCs w:val="24"/>
        </w:rPr>
        <w:t>0</w:t>
      </w:r>
      <w:r w:rsidRPr="00446CF3">
        <w:rPr>
          <w:rFonts w:asciiTheme="majorBidi" w:hAnsiTheme="majorBidi" w:cstheme="majorBidi"/>
          <w:sz w:val="24"/>
          <w:szCs w:val="24"/>
        </w:rPr>
        <w:t>% for male</w:t>
      </w:r>
      <w:r w:rsidR="00E51950" w:rsidRPr="00446CF3">
        <w:rPr>
          <w:rFonts w:asciiTheme="majorBidi" w:hAnsiTheme="majorBidi" w:cstheme="majorBidi"/>
          <w:sz w:val="24"/>
          <w:szCs w:val="24"/>
        </w:rPr>
        <w:t>s</w:t>
      </w:r>
      <w:r w:rsidRPr="00446CF3">
        <w:rPr>
          <w:rFonts w:asciiTheme="majorBidi" w:hAnsiTheme="majorBidi" w:cstheme="majorBidi"/>
          <w:sz w:val="24"/>
          <w:szCs w:val="24"/>
        </w:rPr>
        <w:t xml:space="preserve"> and </w:t>
      </w:r>
      <w:r w:rsidR="00095785" w:rsidRPr="00446CF3">
        <w:rPr>
          <w:rFonts w:asciiTheme="majorBidi" w:hAnsiTheme="majorBidi" w:cstheme="majorBidi"/>
          <w:sz w:val="24"/>
          <w:szCs w:val="24"/>
        </w:rPr>
        <w:t>20.9</w:t>
      </w:r>
      <w:r w:rsidRPr="00446CF3">
        <w:rPr>
          <w:rFonts w:asciiTheme="majorBidi" w:hAnsiTheme="majorBidi" w:cstheme="majorBidi"/>
          <w:sz w:val="24"/>
          <w:szCs w:val="24"/>
        </w:rPr>
        <w:t>% for female</w:t>
      </w:r>
      <w:r w:rsidR="00E51950" w:rsidRPr="00446CF3">
        <w:rPr>
          <w:rFonts w:asciiTheme="majorBidi" w:hAnsiTheme="majorBidi" w:cstheme="majorBidi"/>
          <w:sz w:val="24"/>
          <w:szCs w:val="24"/>
        </w:rPr>
        <w:t>s</w:t>
      </w:r>
      <w:r w:rsidRPr="00446CF3">
        <w:rPr>
          <w:rFonts w:asciiTheme="majorBidi" w:hAnsiTheme="majorBidi" w:cstheme="majorBidi"/>
          <w:sz w:val="24"/>
          <w:szCs w:val="24"/>
        </w:rPr>
        <w:t>.</w:t>
      </w:r>
    </w:p>
    <w:p w14:paraId="5785AFF6" w14:textId="77777777" w:rsidR="00EC0053"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3EBC45F0"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57D3CC4C"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73515DB7"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13853B15"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79384302"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7E6F8E45"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18B1F8A9" w14:textId="77777777" w:rsidR="004970D6" w:rsidRDefault="004970D6" w:rsidP="008C6258">
      <w:pPr>
        <w:autoSpaceDE w:val="0"/>
        <w:autoSpaceDN w:val="0"/>
        <w:bidi w:val="0"/>
        <w:adjustRightInd w:val="0"/>
        <w:spacing w:after="0" w:line="240" w:lineRule="auto"/>
        <w:jc w:val="both"/>
        <w:rPr>
          <w:rFonts w:ascii="Times New Roman" w:hAnsi="Times New Roman" w:cs="Times New Roman"/>
          <w:sz w:val="24"/>
          <w:szCs w:val="24"/>
        </w:rPr>
      </w:pPr>
    </w:p>
    <w:p w14:paraId="7E9D2E27" w14:textId="77777777" w:rsidR="004970D6" w:rsidRDefault="004970D6" w:rsidP="008C6258">
      <w:pPr>
        <w:autoSpaceDE w:val="0"/>
        <w:autoSpaceDN w:val="0"/>
        <w:bidi w:val="0"/>
        <w:adjustRightInd w:val="0"/>
        <w:spacing w:after="0" w:line="240" w:lineRule="auto"/>
        <w:jc w:val="both"/>
        <w:rPr>
          <w:rFonts w:ascii="Times New Roman" w:hAnsi="Times New Roman" w:cs="Times New Roman"/>
          <w:sz w:val="24"/>
          <w:szCs w:val="24"/>
        </w:rPr>
      </w:pPr>
    </w:p>
    <w:p w14:paraId="6F00884C" w14:textId="77777777" w:rsidR="00B612EB" w:rsidRDefault="00813C3F" w:rsidP="008C6258">
      <w:pPr>
        <w:bidi w:val="0"/>
        <w:spacing w:after="0" w:line="240" w:lineRule="auto"/>
      </w:pPr>
      <w:r>
        <w:br w:type="page"/>
      </w:r>
    </w:p>
    <w:tbl>
      <w:tblPr>
        <w:tblW w:w="9027" w:type="dxa"/>
        <w:tblBorders>
          <w:top w:val="thinThickSmallGap" w:sz="24" w:space="0" w:color="E64531"/>
          <w:left w:val="thinThickSmallGap" w:sz="24" w:space="0" w:color="E64531"/>
          <w:bottom w:val="thinThickSmallGap" w:sz="24" w:space="0" w:color="E64531"/>
          <w:right w:val="thinThickSmallGap" w:sz="24" w:space="0" w:color="E64531"/>
        </w:tblBorders>
        <w:tblLook w:val="04A0" w:firstRow="1" w:lastRow="0" w:firstColumn="1" w:lastColumn="0" w:noHBand="0" w:noVBand="1"/>
      </w:tblPr>
      <w:tblGrid>
        <w:gridCol w:w="2072"/>
        <w:gridCol w:w="6955"/>
      </w:tblGrid>
      <w:tr w:rsidR="00EC0053" w:rsidRPr="000D2E4D" w14:paraId="0E218EB0" w14:textId="77777777" w:rsidTr="009D25D5">
        <w:tc>
          <w:tcPr>
            <w:tcW w:w="2072" w:type="dxa"/>
            <w:shd w:val="clear" w:color="auto" w:fill="auto"/>
            <w:vAlign w:val="center"/>
          </w:tcPr>
          <w:p w14:paraId="0279CED0" w14:textId="77777777" w:rsidR="00EC0053" w:rsidRPr="000D2E4D" w:rsidRDefault="00EC0053"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0B0FDB0D" wp14:editId="7A534814">
                  <wp:extent cx="1081405" cy="1081405"/>
                  <wp:effectExtent l="19050" t="0" r="4445" b="0"/>
                  <wp:docPr id="5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8"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6955" w:type="dxa"/>
            <w:shd w:val="clear" w:color="auto" w:fill="auto"/>
            <w:vAlign w:val="center"/>
          </w:tcPr>
          <w:p w14:paraId="15FFB724" w14:textId="77777777"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5 – Achieve Gender Equality </w:t>
            </w:r>
            <w:r w:rsidR="00E51950">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Empower All Women And Girls</w:t>
            </w:r>
          </w:p>
        </w:tc>
      </w:tr>
    </w:tbl>
    <w:p w14:paraId="386BBFAB" w14:textId="77777777" w:rsidR="00EC0053" w:rsidRDefault="00EC0053" w:rsidP="008C6258">
      <w:pPr>
        <w:autoSpaceDE w:val="0"/>
        <w:autoSpaceDN w:val="0"/>
        <w:bidi w:val="0"/>
        <w:adjustRightInd w:val="0"/>
        <w:spacing w:after="0" w:line="240" w:lineRule="auto"/>
        <w:jc w:val="both"/>
        <w:rPr>
          <w:rFonts w:ascii="Times New Roman" w:hAnsi="Times New Roman" w:cs="Times New Roman"/>
          <w:b/>
          <w:bCs/>
          <w:sz w:val="24"/>
          <w:szCs w:val="24"/>
          <w:rtl/>
        </w:rPr>
      </w:pPr>
    </w:p>
    <w:p w14:paraId="18A4D2C6"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0636ACA2"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540428">
        <w:rPr>
          <w:rFonts w:ascii="Times New Roman" w:hAnsi="Times New Roman" w:cs="Times New Roman"/>
          <w:b/>
          <w:bCs/>
          <w:sz w:val="24"/>
          <w:szCs w:val="24"/>
        </w:rPr>
        <w:t>Introduction to the Goal</w:t>
      </w:r>
    </w:p>
    <w:p w14:paraId="7A8966E4"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Despite theprogress achieved in gender equality and emancipation, women and girls continue to be victims of discrimination and violence worldwide. TheGoal 5 aims to eliminate all forms of discrimination and violence for all women, of all ages, as well as all kinds of harmful practices, such as unwanted children, early or anywayforced marriages</w:t>
      </w:r>
      <w:r w:rsidR="00816E66">
        <w:rPr>
          <w:rFonts w:ascii="Times New Roman" w:hAnsi="Times New Roman" w:cs="Times New Roman"/>
          <w:sz w:val="24"/>
          <w:szCs w:val="24"/>
        </w:rPr>
        <w:t>,</w:t>
      </w:r>
      <w:r w:rsidRPr="00540428">
        <w:rPr>
          <w:rFonts w:ascii="Times New Roman" w:hAnsi="Times New Roman" w:cs="Times New Roman"/>
          <w:sz w:val="24"/>
          <w:szCs w:val="24"/>
        </w:rPr>
        <w:t xml:space="preserve"> and genital mutilation. TheGoal 5 calls for all women and girls equal rights and access to economic, natural</w:t>
      </w:r>
      <w:r w:rsidR="008D6923">
        <w:rPr>
          <w:rFonts w:ascii="Times New Roman" w:hAnsi="Times New Roman" w:cs="Times New Roman"/>
          <w:sz w:val="24"/>
          <w:szCs w:val="24"/>
        </w:rPr>
        <w:t>,</w:t>
      </w:r>
      <w:r w:rsidRPr="00540428">
        <w:rPr>
          <w:rFonts w:ascii="Times New Roman" w:hAnsi="Times New Roman" w:cs="Times New Roman"/>
          <w:sz w:val="24"/>
          <w:szCs w:val="24"/>
        </w:rPr>
        <w:t xml:space="preserve"> and technological resources; full and effective participation and equal opportunities for leadership at all political and economic decision-making levels, as well as the recognition of activities performed free of charge for the care of the family and for domestic work. Gender equality is not only a fundamental human right, but also an indispensable condition for a prosperous, sustainable</w:t>
      </w:r>
      <w:r w:rsidR="008D6923">
        <w:rPr>
          <w:rFonts w:ascii="Times New Roman" w:hAnsi="Times New Roman" w:cs="Times New Roman"/>
          <w:sz w:val="24"/>
          <w:szCs w:val="24"/>
        </w:rPr>
        <w:t>,</w:t>
      </w:r>
      <w:r w:rsidRPr="00540428">
        <w:rPr>
          <w:rFonts w:ascii="Times New Roman" w:hAnsi="Times New Roman" w:cs="Times New Roman"/>
          <w:sz w:val="24"/>
          <w:szCs w:val="24"/>
        </w:rPr>
        <w:t xml:space="preserve"> and peaceful world.</w:t>
      </w:r>
    </w:p>
    <w:p w14:paraId="043D20D5"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821435A"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Targets</w:t>
      </w:r>
    </w:p>
    <w:p w14:paraId="6F21A178"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Goal 5 is broken down into nine targets, of which the last 3 refer to means of implementation:</w:t>
      </w:r>
    </w:p>
    <w:p w14:paraId="783C6742"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5.1</w:t>
      </w:r>
    </w:p>
    <w:p w14:paraId="40525A1E"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End all forms of discrimination against all women and girls everywhere.</w:t>
      </w:r>
    </w:p>
    <w:p w14:paraId="32581694"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866F1E5"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5.2</w:t>
      </w:r>
    </w:p>
    <w:p w14:paraId="205ADEFF"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Eliminate all forms of violence against all women and girls in the public and private spheres, including trafficking and sexual and other types of exploitation.</w:t>
      </w:r>
    </w:p>
    <w:p w14:paraId="59299967"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BEEEA2C"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5.3</w:t>
      </w:r>
    </w:p>
    <w:p w14:paraId="079A6717"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Eliminate all harmful practices such as child, early</w:t>
      </w:r>
      <w:r w:rsidR="008D6923">
        <w:rPr>
          <w:rFonts w:ascii="Times New Roman" w:hAnsi="Times New Roman" w:cs="Times New Roman"/>
          <w:sz w:val="24"/>
          <w:szCs w:val="24"/>
        </w:rPr>
        <w:t>,</w:t>
      </w:r>
      <w:r w:rsidRPr="00C134AE">
        <w:rPr>
          <w:rFonts w:ascii="Times New Roman" w:hAnsi="Times New Roman" w:cs="Times New Roman"/>
          <w:sz w:val="24"/>
          <w:szCs w:val="24"/>
        </w:rPr>
        <w:t xml:space="preserve"> and forced marriage and female genital mutilation.</w:t>
      </w:r>
    </w:p>
    <w:p w14:paraId="49718D4F"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446F322"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5.4</w:t>
      </w:r>
    </w:p>
    <w:p w14:paraId="50EA1440"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Recognize and value unpaid care and domestic work through the provision of public services, infrastructure</w:t>
      </w:r>
      <w:r w:rsidR="008D6923">
        <w:rPr>
          <w:rFonts w:ascii="Times New Roman" w:hAnsi="Times New Roman" w:cs="Times New Roman"/>
          <w:sz w:val="24"/>
          <w:szCs w:val="24"/>
        </w:rPr>
        <w:t>,</w:t>
      </w:r>
      <w:r w:rsidRPr="00C134AE">
        <w:rPr>
          <w:rFonts w:ascii="Times New Roman" w:hAnsi="Times New Roman" w:cs="Times New Roman"/>
          <w:sz w:val="24"/>
          <w:szCs w:val="24"/>
        </w:rPr>
        <w:t xml:space="preserve"> and social protection policies and the promotion of shared responsibility within the household and the family as nationally appropriate.</w:t>
      </w:r>
    </w:p>
    <w:p w14:paraId="3F17BE3B"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CE9B541"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5.5</w:t>
      </w:r>
    </w:p>
    <w:p w14:paraId="7CDB2D97"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Ensure women’s full and effective participation and equal opportunities for leadership at all levels of decision-making in political, economic and public life.</w:t>
      </w:r>
    </w:p>
    <w:p w14:paraId="7F70F5C9"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B920AA5"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5.6</w:t>
      </w:r>
    </w:p>
    <w:p w14:paraId="1CAF21B4"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Ensure universal access to sexual and reproductive health and reproductive rights as agreed in accordance with the Programme of Action of the International Conference on Population and Development and the Beijing Platform for Action and the outcome documents of their review conferences.</w:t>
      </w:r>
    </w:p>
    <w:p w14:paraId="05ACADFE"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C9B9435"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5.a</w:t>
      </w:r>
    </w:p>
    <w:p w14:paraId="0791922B"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Undertake reforms to give women equal rights to economic resources, as well as access to ownership and control over land and other forms of property, financial services, inheritance</w:t>
      </w:r>
      <w:r w:rsidR="008D6923">
        <w:rPr>
          <w:rFonts w:ascii="Times New Roman" w:hAnsi="Times New Roman" w:cs="Times New Roman"/>
          <w:sz w:val="24"/>
          <w:szCs w:val="24"/>
        </w:rPr>
        <w:t>,</w:t>
      </w:r>
      <w:r w:rsidRPr="00540428">
        <w:rPr>
          <w:rFonts w:ascii="Times New Roman" w:hAnsi="Times New Roman" w:cs="Times New Roman"/>
          <w:sz w:val="24"/>
          <w:szCs w:val="24"/>
        </w:rPr>
        <w:t xml:space="preserve"> and natural resources in accordance with national laws.</w:t>
      </w:r>
    </w:p>
    <w:p w14:paraId="76A13816" w14:textId="77777777" w:rsidR="0071415F" w:rsidRPr="009D25D5"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21F1943D"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lastRenderedPageBreak/>
        <w:t>5.b</w:t>
      </w:r>
    </w:p>
    <w:p w14:paraId="4BD09F88"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Enhance the use of enabling technology, in particular information and communications technology to promote the empowerment of women.</w:t>
      </w:r>
    </w:p>
    <w:p w14:paraId="1D85072A"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370992C"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540428">
        <w:rPr>
          <w:rFonts w:ascii="Times New Roman" w:hAnsi="Times New Roman" w:cs="Times New Roman"/>
          <w:b/>
          <w:bCs/>
          <w:sz w:val="24"/>
          <w:szCs w:val="24"/>
        </w:rPr>
        <w:t>5.c</w:t>
      </w:r>
    </w:p>
    <w:p w14:paraId="61B0E853"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Adopt and strengthen sound policies and enforceable legislation for the promotion of gender equality and the empowerment of all women and girls at all levels.</w:t>
      </w:r>
    </w:p>
    <w:p w14:paraId="5ACDB2F5"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2057560B" w14:textId="77777777" w:rsidR="0071415F" w:rsidRPr="001D5BA6" w:rsidRDefault="0071415F" w:rsidP="00FB1314">
      <w:pPr>
        <w:pStyle w:val="ListParagraph"/>
        <w:numPr>
          <w:ilvl w:val="0"/>
          <w:numId w:val="7"/>
        </w:numPr>
        <w:autoSpaceDE w:val="0"/>
        <w:autoSpaceDN w:val="0"/>
        <w:adjustRightInd w:val="0"/>
        <w:spacing w:after="0" w:line="240" w:lineRule="auto"/>
        <w:jc w:val="both"/>
        <w:rPr>
          <w:rFonts w:ascii="Times New Roman" w:hAnsi="Times New Roman" w:cs="Times New Roman"/>
          <w:b/>
          <w:bCs/>
          <w:sz w:val="24"/>
          <w:szCs w:val="24"/>
        </w:rPr>
      </w:pPr>
      <w:r w:rsidRPr="001D5BA6">
        <w:rPr>
          <w:rFonts w:ascii="Times New Roman" w:hAnsi="Times New Roman" w:cs="Times New Roman"/>
          <w:b/>
          <w:bCs/>
          <w:sz w:val="24"/>
          <w:szCs w:val="24"/>
        </w:rPr>
        <w:t xml:space="preserve">Reported </w:t>
      </w:r>
      <w:r w:rsidR="00816E66">
        <w:rPr>
          <w:rFonts w:ascii="Times New Roman" w:hAnsi="Times New Roman" w:cs="Times New Roman"/>
          <w:b/>
          <w:bCs/>
          <w:sz w:val="24"/>
          <w:szCs w:val="24"/>
        </w:rPr>
        <w:t>i</w:t>
      </w:r>
      <w:r w:rsidRPr="001D5BA6">
        <w:rPr>
          <w:rFonts w:ascii="Times New Roman" w:hAnsi="Times New Roman" w:cs="Times New Roman"/>
          <w:b/>
          <w:bCs/>
          <w:sz w:val="24"/>
          <w:szCs w:val="24"/>
        </w:rPr>
        <w:t>ndicators by PCBS</w:t>
      </w:r>
    </w:p>
    <w:p w14:paraId="518CB332"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 xml:space="preserve">There are </w:t>
      </w:r>
      <w:r w:rsidR="008D6923">
        <w:rPr>
          <w:rFonts w:ascii="Times New Roman" w:hAnsi="Times New Roman" w:cs="Times New Roman"/>
          <w:sz w:val="24"/>
          <w:szCs w:val="24"/>
        </w:rPr>
        <w:t>eight</w:t>
      </w:r>
      <w:r w:rsidRPr="00C134AE">
        <w:rPr>
          <w:rFonts w:ascii="Times New Roman" w:hAnsi="Times New Roman" w:cs="Times New Roman"/>
          <w:sz w:val="24"/>
          <w:szCs w:val="24"/>
        </w:rPr>
        <w:t xml:space="preserve"> indicators released by PCBS for Goal 5, represent</w:t>
      </w:r>
      <w:r w:rsidR="008D6923">
        <w:rPr>
          <w:rFonts w:ascii="Times New Roman" w:hAnsi="Times New Roman" w:cs="Times New Roman"/>
          <w:sz w:val="24"/>
          <w:szCs w:val="24"/>
        </w:rPr>
        <w:t>ing</w:t>
      </w:r>
      <w:r>
        <w:rPr>
          <w:rFonts w:ascii="Times New Roman" w:hAnsi="Times New Roman" w:cs="Times New Roman"/>
          <w:sz w:val="24"/>
          <w:szCs w:val="24"/>
        </w:rPr>
        <w:t>13</w:t>
      </w:r>
      <w:r w:rsidRPr="00C134AE">
        <w:rPr>
          <w:rFonts w:ascii="Times New Roman" w:hAnsi="Times New Roman" w:cs="Times New Roman"/>
          <w:sz w:val="24"/>
          <w:szCs w:val="24"/>
        </w:rPr>
        <w:t xml:space="preserve"> data point</w:t>
      </w:r>
      <w:r w:rsidR="008D6923">
        <w:rPr>
          <w:rFonts w:ascii="Times New Roman" w:hAnsi="Times New Roman" w:cs="Times New Roman"/>
          <w:sz w:val="24"/>
          <w:szCs w:val="24"/>
        </w:rPr>
        <w:t>s</w:t>
      </w:r>
      <w:r w:rsidRPr="00C134AE">
        <w:rPr>
          <w:rFonts w:ascii="Times New Roman" w:hAnsi="Times New Roman" w:cs="Times New Roman"/>
          <w:sz w:val="24"/>
          <w:szCs w:val="24"/>
        </w:rPr>
        <w:t xml:space="preserve">, referring to </w:t>
      </w:r>
      <w:r w:rsidR="008D6923">
        <w:rPr>
          <w:rFonts w:ascii="Times New Roman" w:hAnsi="Times New Roman" w:cs="Times New Roman"/>
          <w:sz w:val="24"/>
          <w:szCs w:val="24"/>
        </w:rPr>
        <w:t>six</w:t>
      </w:r>
      <w:r w:rsidRPr="00C134AE">
        <w:rPr>
          <w:rFonts w:ascii="Times New Roman" w:hAnsi="Times New Roman" w:cs="Times New Roman"/>
          <w:sz w:val="24"/>
          <w:szCs w:val="24"/>
        </w:rPr>
        <w:t xml:space="preserve"> of the </w:t>
      </w:r>
      <w:r w:rsidR="008D6923">
        <w:rPr>
          <w:rFonts w:ascii="Times New Roman" w:hAnsi="Times New Roman" w:cs="Times New Roman"/>
          <w:sz w:val="24"/>
          <w:szCs w:val="24"/>
        </w:rPr>
        <w:t>nine</w:t>
      </w:r>
      <w:r w:rsidRPr="00C134AE">
        <w:rPr>
          <w:rFonts w:ascii="Times New Roman" w:hAnsi="Times New Roman" w:cs="Times New Roman"/>
          <w:sz w:val="24"/>
          <w:szCs w:val="24"/>
        </w:rPr>
        <w:t xml:space="preserve"> targets.</w:t>
      </w:r>
    </w:p>
    <w:p w14:paraId="1DC35EC8"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6B17DB6C" w14:textId="77777777" w:rsidR="0071415F" w:rsidRDefault="0071415F" w:rsidP="0071415F">
      <w:pPr>
        <w:bidi w:val="0"/>
        <w:spacing w:after="0" w:line="240" w:lineRule="auto"/>
        <w:jc w:val="center"/>
        <w:rPr>
          <w:rFonts w:ascii="Arial" w:hAnsi="Arial"/>
          <w:b/>
          <w:bCs/>
          <w:lang w:eastAsia="ar-SA"/>
        </w:rPr>
      </w:pPr>
      <w:r w:rsidRPr="00080517">
        <w:rPr>
          <w:rFonts w:ascii="Arial" w:hAnsi="Arial"/>
          <w:b/>
          <w:bCs/>
          <w:lang w:eastAsia="ar-SA"/>
        </w:rPr>
        <w:t xml:space="preserve">Table 5.1: List of SDGs </w:t>
      </w:r>
      <w:r w:rsidR="008D6923">
        <w:rPr>
          <w:rFonts w:ascii="Arial" w:hAnsi="Arial"/>
          <w:b/>
          <w:bCs/>
          <w:lang w:eastAsia="ar-SA"/>
        </w:rPr>
        <w:t>I</w:t>
      </w:r>
      <w:r w:rsidRPr="00080517">
        <w:rPr>
          <w:rFonts w:ascii="Arial" w:hAnsi="Arial"/>
          <w:b/>
          <w:bCs/>
          <w:lang w:eastAsia="ar-SA"/>
        </w:rPr>
        <w:t xml:space="preserve">ndicators </w:t>
      </w:r>
      <w:r w:rsidR="008D6923">
        <w:rPr>
          <w:rFonts w:ascii="Arial" w:hAnsi="Arial"/>
          <w:b/>
          <w:bCs/>
          <w:lang w:eastAsia="ar-SA"/>
        </w:rPr>
        <w:t>R</w:t>
      </w:r>
      <w:r w:rsidRPr="00080517">
        <w:rPr>
          <w:rFonts w:ascii="Arial" w:hAnsi="Arial"/>
          <w:b/>
          <w:bCs/>
          <w:lang w:eastAsia="ar-SA"/>
        </w:rPr>
        <w:t>eleased by PCBS</w:t>
      </w:r>
    </w:p>
    <w:p w14:paraId="0D49A3FE" w14:textId="77777777" w:rsidR="0071415F" w:rsidRPr="00080517" w:rsidRDefault="0071415F" w:rsidP="0071415F">
      <w:pPr>
        <w:bidi w:val="0"/>
        <w:spacing w:after="0" w:line="240" w:lineRule="auto"/>
        <w:jc w:val="center"/>
        <w:rPr>
          <w:rStyle w:val="Bodytext8pt"/>
          <w:bCs w:val="0"/>
          <w:sz w:val="12"/>
          <w:szCs w:val="12"/>
        </w:rPr>
      </w:pPr>
    </w:p>
    <w:tbl>
      <w:tblPr>
        <w:tblW w:w="5000" w:type="pct"/>
        <w:jc w:val="center"/>
        <w:tblLook w:val="04A0" w:firstRow="1" w:lastRow="0" w:firstColumn="1" w:lastColumn="0" w:noHBand="0" w:noVBand="1"/>
      </w:tblPr>
      <w:tblGrid>
        <w:gridCol w:w="4547"/>
        <w:gridCol w:w="1118"/>
        <w:gridCol w:w="1244"/>
        <w:gridCol w:w="1028"/>
        <w:gridCol w:w="1123"/>
      </w:tblGrid>
      <w:tr w:rsidR="0071415F" w:rsidRPr="00E93C76" w14:paraId="5A679A5D" w14:textId="77777777" w:rsidTr="00E6392C">
        <w:trPr>
          <w:trHeight w:val="504"/>
          <w:tblHeader/>
          <w:jc w:val="center"/>
        </w:trPr>
        <w:tc>
          <w:tcPr>
            <w:tcW w:w="4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4EE29" w14:textId="77777777" w:rsidR="0071415F" w:rsidRPr="00E93C76" w:rsidRDefault="0071415F" w:rsidP="00E02452">
            <w:pPr>
              <w:bidi w:val="0"/>
              <w:spacing w:after="0" w:line="240" w:lineRule="auto"/>
              <w:jc w:val="center"/>
              <w:rPr>
                <w:rFonts w:asciiTheme="minorBidi" w:hAnsiTheme="minorBidi" w:cstheme="minorBidi"/>
                <w:b/>
                <w:sz w:val="18"/>
                <w:szCs w:val="18"/>
              </w:rPr>
            </w:pPr>
            <w:r w:rsidRPr="00E93C76">
              <w:rPr>
                <w:rFonts w:asciiTheme="minorBidi" w:hAnsiTheme="minorBidi" w:cstheme="minorBidi"/>
                <w:b/>
                <w:sz w:val="18"/>
                <w:szCs w:val="18"/>
              </w:rPr>
              <w:t>Indicator</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6CD17F25" w14:textId="77777777" w:rsidR="0071415F" w:rsidRPr="00E93C76" w:rsidRDefault="0071415F" w:rsidP="00E02452">
            <w:pPr>
              <w:bidi w:val="0"/>
              <w:spacing w:after="0" w:line="240" w:lineRule="auto"/>
              <w:jc w:val="center"/>
              <w:rPr>
                <w:rFonts w:asciiTheme="minorBidi" w:hAnsiTheme="minorBidi" w:cstheme="minorBidi"/>
                <w:b/>
                <w:sz w:val="18"/>
                <w:szCs w:val="18"/>
                <w:lang w:val="en-GB"/>
              </w:rPr>
            </w:pPr>
            <w:r w:rsidRPr="00E93C76">
              <w:rPr>
                <w:rStyle w:val="Bodytext8ptBoldSpacing0pt2"/>
                <w:rFonts w:asciiTheme="minorBidi" w:hAnsiTheme="minorBidi" w:cstheme="minorBidi"/>
                <w:sz w:val="18"/>
                <w:szCs w:val="18"/>
              </w:rPr>
              <w:t xml:space="preserve">Referring to the SDG </w:t>
            </w:r>
            <w:r w:rsidR="008D6923">
              <w:rPr>
                <w:rStyle w:val="Bodytext8ptBoldSpacing0pt2"/>
                <w:rFonts w:asciiTheme="minorBidi" w:hAnsiTheme="minorBidi" w:cstheme="minorBidi"/>
                <w:sz w:val="18"/>
                <w:szCs w:val="18"/>
              </w:rPr>
              <w:t>i</w:t>
            </w:r>
            <w:r w:rsidRPr="00E93C76">
              <w:rPr>
                <w:rStyle w:val="Bodytext8ptBoldSpacing0pt2"/>
                <w:rFonts w:asciiTheme="minorBidi" w:hAnsiTheme="minorBidi" w:cstheme="minorBidi"/>
                <w:sz w:val="18"/>
                <w:szCs w:val="18"/>
              </w:rPr>
              <w:t>ndicator</w:t>
            </w:r>
          </w:p>
        </w:tc>
        <w:tc>
          <w:tcPr>
            <w:tcW w:w="1158" w:type="dxa"/>
            <w:tcBorders>
              <w:top w:val="single" w:sz="4" w:space="0" w:color="auto"/>
              <w:left w:val="nil"/>
              <w:bottom w:val="single" w:sz="4" w:space="0" w:color="auto"/>
              <w:right w:val="single" w:sz="4" w:space="0" w:color="auto"/>
            </w:tcBorders>
            <w:vAlign w:val="center"/>
          </w:tcPr>
          <w:p w14:paraId="3C07AFFE" w14:textId="77777777" w:rsidR="0071415F" w:rsidRPr="00E93C76" w:rsidRDefault="0071415F" w:rsidP="00E02452">
            <w:pPr>
              <w:bidi w:val="0"/>
              <w:spacing w:after="0" w:line="240" w:lineRule="auto"/>
              <w:jc w:val="center"/>
              <w:rPr>
                <w:rStyle w:val="Bodytext8ptBoldSpacing0pt2"/>
                <w:rFonts w:asciiTheme="minorBidi" w:hAnsiTheme="minorBidi" w:cstheme="minorBidi"/>
                <w:sz w:val="18"/>
                <w:szCs w:val="18"/>
              </w:rPr>
            </w:pPr>
            <w:r w:rsidRPr="00E93C76">
              <w:rPr>
                <w:rStyle w:val="Bodytext8ptBoldSpacing0pt2"/>
                <w:rFonts w:asciiTheme="minorBidi" w:hAnsiTheme="minorBidi" w:cstheme="minorBidi"/>
                <w:sz w:val="18"/>
                <w:szCs w:val="18"/>
              </w:rPr>
              <w:t>Previous data point</w:t>
            </w:r>
          </w:p>
        </w:tc>
        <w:tc>
          <w:tcPr>
            <w:tcW w:w="1080" w:type="dxa"/>
            <w:tcBorders>
              <w:top w:val="single" w:sz="4" w:space="0" w:color="auto"/>
              <w:left w:val="single" w:sz="4" w:space="0" w:color="auto"/>
              <w:bottom w:val="single" w:sz="4" w:space="0" w:color="auto"/>
              <w:right w:val="single" w:sz="4" w:space="0" w:color="auto"/>
            </w:tcBorders>
            <w:vAlign w:val="center"/>
          </w:tcPr>
          <w:p w14:paraId="0DF77F5D" w14:textId="77777777" w:rsidR="0071415F" w:rsidRPr="00E93C76" w:rsidRDefault="0071415F" w:rsidP="00E02452">
            <w:pPr>
              <w:bidi w:val="0"/>
              <w:spacing w:after="0" w:line="240" w:lineRule="auto"/>
              <w:jc w:val="center"/>
              <w:rPr>
                <w:rFonts w:asciiTheme="minorBidi" w:hAnsiTheme="minorBidi" w:cstheme="minorBidi"/>
                <w:b/>
                <w:sz w:val="18"/>
                <w:szCs w:val="18"/>
              </w:rPr>
            </w:pPr>
            <w:r w:rsidRPr="00E93C76">
              <w:rPr>
                <w:rStyle w:val="Bodytext8ptBoldSpacing0pt2"/>
                <w:rFonts w:asciiTheme="minorBidi" w:hAnsiTheme="minorBidi" w:cstheme="minorBidi"/>
                <w:sz w:val="18"/>
                <w:szCs w:val="18"/>
              </w:rPr>
              <w:t xml:space="preserve">Last </w:t>
            </w:r>
            <w:r w:rsidR="008D6923">
              <w:rPr>
                <w:rStyle w:val="Bodytext8ptBoldSpacing0pt2"/>
                <w:rFonts w:asciiTheme="minorBidi" w:hAnsiTheme="minorBidi" w:cstheme="minorBidi"/>
                <w:sz w:val="18"/>
                <w:szCs w:val="18"/>
              </w:rPr>
              <w:t>a</w:t>
            </w:r>
            <w:r w:rsidRPr="00E93C76">
              <w:rPr>
                <w:rStyle w:val="Bodytext8ptBoldSpacing0pt2"/>
                <w:rFonts w:asciiTheme="minorBidi" w:hAnsiTheme="minorBidi" w:cstheme="minorBidi"/>
                <w:sz w:val="18"/>
                <w:szCs w:val="18"/>
              </w:rPr>
              <w:t xml:space="preserve">vailable </w:t>
            </w:r>
            <w:r w:rsidR="008D6923">
              <w:rPr>
                <w:rStyle w:val="Bodytext8ptBoldSpacing0pt2"/>
                <w:rFonts w:asciiTheme="minorBidi" w:hAnsiTheme="minorBidi" w:cstheme="minorBidi"/>
                <w:sz w:val="18"/>
                <w:szCs w:val="18"/>
              </w:rPr>
              <w:t>v</w:t>
            </w:r>
            <w:r w:rsidRPr="00E93C76">
              <w:rPr>
                <w:rStyle w:val="Bodytext8ptBoldSpacing0pt2"/>
                <w:rFonts w:asciiTheme="minorBidi" w:hAnsiTheme="minorBidi" w:cstheme="minorBidi"/>
                <w:sz w:val="18"/>
                <w:szCs w:val="18"/>
              </w:rPr>
              <w:t>alue</w:t>
            </w:r>
          </w:p>
        </w:tc>
        <w:tc>
          <w:tcPr>
            <w:tcW w:w="1157" w:type="dxa"/>
            <w:tcBorders>
              <w:top w:val="single" w:sz="4" w:space="0" w:color="auto"/>
              <w:left w:val="single" w:sz="4" w:space="0" w:color="auto"/>
              <w:bottom w:val="single" w:sz="4" w:space="0" w:color="auto"/>
              <w:right w:val="single" w:sz="4" w:space="0" w:color="auto"/>
            </w:tcBorders>
            <w:vAlign w:val="center"/>
          </w:tcPr>
          <w:p w14:paraId="6ADDCF53" w14:textId="77777777" w:rsidR="0071415F" w:rsidRPr="00E93C76" w:rsidRDefault="0071415F" w:rsidP="00E02452">
            <w:pPr>
              <w:bidi w:val="0"/>
              <w:spacing w:after="0" w:line="240" w:lineRule="auto"/>
              <w:jc w:val="center"/>
              <w:rPr>
                <w:rStyle w:val="Bodytext8ptBoldSpacing0pt2"/>
                <w:rFonts w:asciiTheme="minorBidi" w:hAnsiTheme="minorBidi" w:cstheme="minorBidi"/>
                <w:b w:val="0"/>
                <w:bCs w:val="0"/>
                <w:sz w:val="18"/>
                <w:szCs w:val="18"/>
              </w:rPr>
            </w:pPr>
            <w:r w:rsidRPr="00E93C76">
              <w:rPr>
                <w:rFonts w:asciiTheme="minorBidi" w:hAnsiTheme="minorBidi" w:cstheme="minorBidi"/>
                <w:b/>
                <w:bCs/>
                <w:sz w:val="18"/>
                <w:szCs w:val="18"/>
              </w:rPr>
              <w:t>Compared to the previous data point</w:t>
            </w:r>
          </w:p>
        </w:tc>
      </w:tr>
      <w:tr w:rsidR="00387F56" w:rsidRPr="00E93C76" w14:paraId="4C155A41"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bottom"/>
          </w:tcPr>
          <w:p w14:paraId="5399BB53" w14:textId="77777777" w:rsidR="00387F56" w:rsidRPr="00E93C76" w:rsidRDefault="00387F56" w:rsidP="00387F56">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 xml:space="preserve">Indicator 5.2.1 </w:t>
            </w:r>
            <w:r w:rsidRPr="00E93C76">
              <w:rPr>
                <w:rFonts w:asciiTheme="minorBidi" w:hAnsiTheme="minorBidi" w:cstheme="minorBidi"/>
                <w:sz w:val="18"/>
                <w:szCs w:val="18"/>
              </w:rPr>
              <w:t>Proportion of ever-partnered women and girls age 15 years and older subjected to physical, sexual or psychological violence by a current or former intimate partner in the previous 12 months, by form of violence and by age (PCBS, 2019, Percentage)</w:t>
            </w:r>
          </w:p>
        </w:tc>
        <w:tc>
          <w:tcPr>
            <w:tcW w:w="1118" w:type="dxa"/>
            <w:tcBorders>
              <w:top w:val="single" w:sz="4" w:space="0" w:color="auto"/>
              <w:left w:val="nil"/>
              <w:right w:val="single" w:sz="4" w:space="0" w:color="auto"/>
            </w:tcBorders>
            <w:shd w:val="clear" w:color="auto" w:fill="auto"/>
            <w:noWrap/>
          </w:tcPr>
          <w:p w14:paraId="4BB43B50" w14:textId="77777777" w:rsidR="00387F56" w:rsidRPr="00E93C76" w:rsidRDefault="00387F56" w:rsidP="00387F56">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top w:val="single" w:sz="4" w:space="0" w:color="auto"/>
              <w:left w:val="nil"/>
              <w:right w:val="single" w:sz="4" w:space="0" w:color="auto"/>
            </w:tcBorders>
          </w:tcPr>
          <w:p w14:paraId="5C5455EF" w14:textId="77777777" w:rsidR="00387F56" w:rsidRPr="00E93C76" w:rsidRDefault="00387F56" w:rsidP="00387F56">
            <w:pPr>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2A71A4EA" w14:textId="77777777" w:rsidR="00387F56" w:rsidRPr="00E93C76" w:rsidRDefault="00387F56" w:rsidP="00387F56">
            <w:pPr>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58.2</w:t>
            </w:r>
          </w:p>
        </w:tc>
        <w:tc>
          <w:tcPr>
            <w:tcW w:w="1157" w:type="dxa"/>
            <w:tcBorders>
              <w:top w:val="single" w:sz="4" w:space="0" w:color="auto"/>
              <w:left w:val="single" w:sz="4" w:space="0" w:color="auto"/>
              <w:right w:val="single" w:sz="4" w:space="0" w:color="auto"/>
            </w:tcBorders>
          </w:tcPr>
          <w:p w14:paraId="64D07ED8" w14:textId="77777777" w:rsidR="00387F56" w:rsidRPr="00E93C76" w:rsidRDefault="00387F56" w:rsidP="00387F56">
            <w:pPr>
              <w:bidi w:val="0"/>
              <w:spacing w:after="0" w:line="240" w:lineRule="auto"/>
              <w:jc w:val="both"/>
              <w:rPr>
                <w:rFonts w:asciiTheme="minorBidi" w:hAnsiTheme="minorBidi" w:cstheme="minorBidi"/>
                <w:sz w:val="18"/>
                <w:szCs w:val="18"/>
              </w:rPr>
            </w:pPr>
          </w:p>
          <w:p w14:paraId="2D9F1C81" w14:textId="77777777" w:rsidR="00387F56" w:rsidRPr="00E93C76" w:rsidRDefault="00387F56" w:rsidP="00387F56">
            <w:pPr>
              <w:spacing w:after="0" w:line="240" w:lineRule="auto"/>
              <w:ind w:right="57"/>
              <w:jc w:val="center"/>
              <w:rPr>
                <w:rFonts w:asciiTheme="minorBidi" w:hAnsiTheme="minorBidi" w:cstheme="minorBidi"/>
                <w:color w:val="000000"/>
                <w:sz w:val="18"/>
                <w:szCs w:val="18"/>
              </w:rPr>
            </w:pPr>
          </w:p>
        </w:tc>
      </w:tr>
      <w:tr w:rsidR="0071415F" w:rsidRPr="00E93C76" w14:paraId="7D2F76AD"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bottom"/>
          </w:tcPr>
          <w:p w14:paraId="6A343DD6" w14:textId="77777777" w:rsidR="0071415F" w:rsidRPr="004F6A1A" w:rsidRDefault="0071415F" w:rsidP="00E02452">
            <w:pPr>
              <w:tabs>
                <w:tab w:val="left" w:pos="9072"/>
              </w:tabs>
              <w:bidi w:val="0"/>
              <w:spacing w:after="0" w:line="240" w:lineRule="auto"/>
              <w:rPr>
                <w:rFonts w:asciiTheme="minorBidi" w:hAnsiTheme="minorBidi" w:cstheme="minorBidi"/>
                <w:color w:val="000000"/>
                <w:sz w:val="18"/>
                <w:szCs w:val="18"/>
              </w:rPr>
            </w:pPr>
            <w:r w:rsidRPr="004F6A1A">
              <w:rPr>
                <w:rFonts w:asciiTheme="minorBidi" w:hAnsiTheme="minorBidi" w:cstheme="minorBidi"/>
                <w:b/>
                <w:sz w:val="18"/>
                <w:szCs w:val="18"/>
              </w:rPr>
              <w:t>Indicator 5.2.2</w:t>
            </w:r>
            <w:r w:rsidRPr="004F6A1A">
              <w:rPr>
                <w:rFonts w:asciiTheme="minorBidi" w:hAnsiTheme="minorBidi" w:cstheme="minorBidi"/>
                <w:sz w:val="18"/>
                <w:szCs w:val="18"/>
              </w:rPr>
              <w:t>Proportion of women and girls aged 15 years and older subjected to sexual violence by persons other than an intimate partner in the previous 12 months, by age and place of occurrence</w:t>
            </w:r>
          </w:p>
        </w:tc>
        <w:tc>
          <w:tcPr>
            <w:tcW w:w="1118" w:type="dxa"/>
            <w:tcBorders>
              <w:top w:val="single" w:sz="4" w:space="0" w:color="auto"/>
              <w:left w:val="nil"/>
              <w:right w:val="single" w:sz="4" w:space="0" w:color="auto"/>
            </w:tcBorders>
            <w:shd w:val="clear" w:color="auto" w:fill="auto"/>
            <w:noWrap/>
          </w:tcPr>
          <w:p w14:paraId="71352CDB"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p>
        </w:tc>
        <w:tc>
          <w:tcPr>
            <w:tcW w:w="1158" w:type="dxa"/>
            <w:tcBorders>
              <w:top w:val="single" w:sz="4" w:space="0" w:color="auto"/>
              <w:left w:val="nil"/>
              <w:right w:val="single" w:sz="4" w:space="0" w:color="auto"/>
            </w:tcBorders>
          </w:tcPr>
          <w:p w14:paraId="2006BFE7"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3DFCBB96"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157" w:type="dxa"/>
            <w:tcBorders>
              <w:top w:val="single" w:sz="4" w:space="0" w:color="auto"/>
              <w:left w:val="single" w:sz="4" w:space="0" w:color="auto"/>
              <w:right w:val="single" w:sz="4" w:space="0" w:color="auto"/>
            </w:tcBorders>
          </w:tcPr>
          <w:p w14:paraId="23B54BF3"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r>
      <w:tr w:rsidR="0071415F" w:rsidRPr="00E93C76" w14:paraId="37209C89" w14:textId="77777777" w:rsidTr="00E6392C">
        <w:trPr>
          <w:trHeight w:val="389"/>
          <w:jc w:val="center"/>
        </w:trPr>
        <w:tc>
          <w:tcPr>
            <w:tcW w:w="4547" w:type="dxa"/>
            <w:tcBorders>
              <w:left w:val="single" w:sz="4" w:space="0" w:color="auto"/>
              <w:bottom w:val="single" w:sz="4" w:space="0" w:color="auto"/>
              <w:right w:val="single" w:sz="4" w:space="0" w:color="auto"/>
            </w:tcBorders>
            <w:shd w:val="clear" w:color="auto" w:fill="auto"/>
            <w:noWrap/>
            <w:vAlign w:val="bottom"/>
          </w:tcPr>
          <w:p w14:paraId="20E8BD0A" w14:textId="2F2CEA48" w:rsidR="0071415F" w:rsidRPr="004F6A1A" w:rsidRDefault="0071415F" w:rsidP="00290E60">
            <w:pPr>
              <w:tabs>
                <w:tab w:val="left" w:pos="9072"/>
              </w:tabs>
              <w:bidi w:val="0"/>
              <w:spacing w:after="0" w:line="240" w:lineRule="auto"/>
              <w:ind w:left="336"/>
              <w:jc w:val="both"/>
              <w:rPr>
                <w:rFonts w:asciiTheme="minorBidi" w:hAnsiTheme="minorBidi" w:cstheme="minorBidi"/>
                <w:sz w:val="18"/>
                <w:szCs w:val="18"/>
              </w:rPr>
            </w:pPr>
            <w:r w:rsidRPr="004F6A1A">
              <w:rPr>
                <w:rFonts w:asciiTheme="minorBidi" w:hAnsiTheme="minorBidi" w:cstheme="minorBidi"/>
                <w:sz w:val="18"/>
                <w:szCs w:val="18"/>
              </w:rPr>
              <w:t xml:space="preserve">Percentage of women </w:t>
            </w:r>
            <w:r w:rsidR="00290E60" w:rsidRPr="004F6A1A">
              <w:rPr>
                <w:rFonts w:asciiTheme="minorBidi" w:hAnsiTheme="minorBidi" w:cstheme="minorBidi"/>
                <w:sz w:val="18"/>
                <w:szCs w:val="18"/>
              </w:rPr>
              <w:t xml:space="preserve">and girls </w:t>
            </w:r>
            <w:r w:rsidRPr="004F6A1A">
              <w:rPr>
                <w:rFonts w:asciiTheme="minorBidi" w:hAnsiTheme="minorBidi" w:cstheme="minorBidi"/>
                <w:sz w:val="18"/>
                <w:szCs w:val="18"/>
              </w:rPr>
              <w:t>who have never been married (1</w:t>
            </w:r>
            <w:r w:rsidR="00290E60" w:rsidRPr="004F6A1A">
              <w:rPr>
                <w:rFonts w:asciiTheme="minorBidi" w:hAnsiTheme="minorBidi" w:cstheme="minorBidi"/>
                <w:sz w:val="18"/>
                <w:szCs w:val="18"/>
              </w:rPr>
              <w:t>5</w:t>
            </w:r>
            <w:r w:rsidRPr="004F6A1A">
              <w:rPr>
                <w:rFonts w:asciiTheme="minorBidi" w:hAnsiTheme="minorBidi" w:cstheme="minorBidi"/>
                <w:sz w:val="18"/>
                <w:szCs w:val="18"/>
              </w:rPr>
              <w:t xml:space="preserve">-64 years) who were exposed to </w:t>
            </w:r>
            <w:r w:rsidR="008D6923" w:rsidRPr="004F6A1A">
              <w:rPr>
                <w:rFonts w:asciiTheme="minorBidi" w:hAnsiTheme="minorBidi" w:cstheme="minorBidi"/>
                <w:sz w:val="18"/>
                <w:szCs w:val="18"/>
              </w:rPr>
              <w:t>s</w:t>
            </w:r>
            <w:r w:rsidRPr="004F6A1A">
              <w:rPr>
                <w:rFonts w:asciiTheme="minorBidi" w:hAnsiTheme="minorBidi" w:cstheme="minorBidi"/>
                <w:sz w:val="18"/>
                <w:szCs w:val="18"/>
              </w:rPr>
              <w:t>exual violence during the last 12 months by persons other than intimate (PCBS, 2019, Percentage)</w:t>
            </w:r>
          </w:p>
        </w:tc>
        <w:tc>
          <w:tcPr>
            <w:tcW w:w="1118" w:type="dxa"/>
            <w:tcBorders>
              <w:left w:val="nil"/>
              <w:bottom w:val="single" w:sz="4" w:space="0" w:color="auto"/>
              <w:right w:val="single" w:sz="4" w:space="0" w:color="auto"/>
            </w:tcBorders>
            <w:shd w:val="clear" w:color="auto" w:fill="auto"/>
            <w:noWrap/>
          </w:tcPr>
          <w:p w14:paraId="1BA8FB95" w14:textId="7CC5C4BB" w:rsidR="0071415F" w:rsidRPr="00E93C76" w:rsidRDefault="00290E60"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bottom w:val="single" w:sz="4" w:space="0" w:color="auto"/>
              <w:right w:val="single" w:sz="4" w:space="0" w:color="auto"/>
            </w:tcBorders>
          </w:tcPr>
          <w:p w14:paraId="3CC83987"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p>
        </w:tc>
        <w:tc>
          <w:tcPr>
            <w:tcW w:w="1080" w:type="dxa"/>
            <w:tcBorders>
              <w:left w:val="single" w:sz="4" w:space="0" w:color="auto"/>
              <w:bottom w:val="single" w:sz="4" w:space="0" w:color="auto"/>
              <w:right w:val="single" w:sz="4" w:space="0" w:color="auto"/>
            </w:tcBorders>
          </w:tcPr>
          <w:p w14:paraId="6853C4EF"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3.7</w:t>
            </w:r>
          </w:p>
        </w:tc>
        <w:tc>
          <w:tcPr>
            <w:tcW w:w="1157" w:type="dxa"/>
            <w:tcBorders>
              <w:left w:val="single" w:sz="4" w:space="0" w:color="auto"/>
              <w:bottom w:val="single" w:sz="4" w:space="0" w:color="auto"/>
              <w:right w:val="single" w:sz="4" w:space="0" w:color="auto"/>
            </w:tcBorders>
          </w:tcPr>
          <w:p w14:paraId="70B6FD4E"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p>
        </w:tc>
      </w:tr>
      <w:tr w:rsidR="0071415F" w:rsidRPr="00E93C76" w14:paraId="51B11036"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center"/>
          </w:tcPr>
          <w:p w14:paraId="79220FB4" w14:textId="77777777" w:rsidR="0071415F" w:rsidRPr="00E93C76" w:rsidRDefault="0071415F" w:rsidP="00E02452">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Indicator 5.3.1</w:t>
            </w:r>
            <w:r w:rsidRPr="00E93C76">
              <w:rPr>
                <w:rFonts w:asciiTheme="minorBidi" w:hAnsiTheme="minorBidi" w:cstheme="minorBidi"/>
                <w:sz w:val="18"/>
                <w:szCs w:val="18"/>
              </w:rPr>
              <w:t>Proportion of women age 20–24 years who were married or in a union before age 15 and before age 18</w:t>
            </w:r>
          </w:p>
        </w:tc>
        <w:tc>
          <w:tcPr>
            <w:tcW w:w="1118" w:type="dxa"/>
            <w:tcBorders>
              <w:top w:val="single" w:sz="4" w:space="0" w:color="auto"/>
              <w:left w:val="nil"/>
              <w:right w:val="single" w:sz="4" w:space="0" w:color="auto"/>
            </w:tcBorders>
            <w:shd w:val="clear" w:color="auto" w:fill="auto"/>
            <w:noWrap/>
          </w:tcPr>
          <w:p w14:paraId="2AC167B9"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p>
        </w:tc>
        <w:tc>
          <w:tcPr>
            <w:tcW w:w="1158" w:type="dxa"/>
            <w:tcBorders>
              <w:top w:val="single" w:sz="4" w:space="0" w:color="auto"/>
              <w:left w:val="nil"/>
              <w:right w:val="single" w:sz="4" w:space="0" w:color="auto"/>
            </w:tcBorders>
          </w:tcPr>
          <w:p w14:paraId="58B4FD72"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326BE511"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157" w:type="dxa"/>
            <w:tcBorders>
              <w:top w:val="single" w:sz="4" w:space="0" w:color="auto"/>
              <w:left w:val="single" w:sz="4" w:space="0" w:color="auto"/>
              <w:right w:val="single" w:sz="4" w:space="0" w:color="auto"/>
            </w:tcBorders>
          </w:tcPr>
          <w:p w14:paraId="703F912B"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r>
      <w:tr w:rsidR="0071415F" w:rsidRPr="00E93C76" w14:paraId="75FB1CBB" w14:textId="77777777" w:rsidTr="00E6392C">
        <w:trPr>
          <w:trHeight w:val="389"/>
          <w:jc w:val="center"/>
        </w:trPr>
        <w:tc>
          <w:tcPr>
            <w:tcW w:w="4547" w:type="dxa"/>
            <w:tcBorders>
              <w:left w:val="single" w:sz="4" w:space="0" w:color="auto"/>
              <w:right w:val="single" w:sz="4" w:space="0" w:color="auto"/>
            </w:tcBorders>
            <w:shd w:val="clear" w:color="auto" w:fill="auto"/>
            <w:noWrap/>
            <w:vAlign w:val="center"/>
          </w:tcPr>
          <w:p w14:paraId="10C7CF8C" w14:textId="77777777" w:rsidR="0071415F" w:rsidRPr="00E93C76" w:rsidRDefault="008D6923" w:rsidP="00E02452">
            <w:pPr>
              <w:tabs>
                <w:tab w:val="left" w:pos="9072"/>
              </w:tabs>
              <w:bidi w:val="0"/>
              <w:spacing w:after="0" w:line="240" w:lineRule="auto"/>
              <w:ind w:left="336"/>
              <w:jc w:val="both"/>
              <w:rPr>
                <w:rFonts w:asciiTheme="minorBidi" w:hAnsiTheme="minorBidi" w:cstheme="minorBidi"/>
                <w:sz w:val="18"/>
                <w:szCs w:val="18"/>
              </w:rPr>
            </w:pPr>
            <w:r>
              <w:rPr>
                <w:rFonts w:asciiTheme="minorBidi" w:hAnsiTheme="minorBidi" w:cstheme="minorBidi"/>
                <w:sz w:val="18"/>
                <w:szCs w:val="18"/>
              </w:rPr>
              <w:t>M</w:t>
            </w:r>
            <w:r w:rsidR="0071415F" w:rsidRPr="00E93C76">
              <w:rPr>
                <w:rFonts w:asciiTheme="minorBidi" w:hAnsiTheme="minorBidi" w:cstheme="minorBidi"/>
                <w:sz w:val="18"/>
                <w:szCs w:val="18"/>
              </w:rPr>
              <w:t xml:space="preserve">arried or in a union before age 15 (PCBS, </w:t>
            </w:r>
            <w:r w:rsidR="0071415F" w:rsidRPr="00E93C76">
              <w:rPr>
                <w:rFonts w:asciiTheme="minorBidi" w:hAnsiTheme="minorBidi" w:cstheme="minorBidi"/>
                <w:sz w:val="18"/>
                <w:szCs w:val="18"/>
                <w:rtl/>
              </w:rPr>
              <w:t>2019</w:t>
            </w:r>
            <w:r w:rsidR="0071415F" w:rsidRPr="00E93C76">
              <w:rPr>
                <w:rFonts w:asciiTheme="minorBidi" w:hAnsiTheme="minorBidi" w:cstheme="minorBidi"/>
                <w:sz w:val="18"/>
                <w:szCs w:val="18"/>
              </w:rPr>
              <w:t xml:space="preserve">, </w:t>
            </w:r>
            <w:r>
              <w:rPr>
                <w:rFonts w:asciiTheme="minorBidi" w:hAnsiTheme="minorBidi" w:cstheme="minorBidi"/>
                <w:sz w:val="18"/>
                <w:szCs w:val="18"/>
              </w:rPr>
              <w:t>p</w:t>
            </w:r>
            <w:r w:rsidR="0071415F" w:rsidRPr="00E93C76">
              <w:rPr>
                <w:rFonts w:asciiTheme="minorBidi" w:hAnsiTheme="minorBidi" w:cstheme="minorBidi"/>
                <w:sz w:val="18"/>
                <w:szCs w:val="18"/>
              </w:rPr>
              <w:t>ercentage)</w:t>
            </w:r>
          </w:p>
        </w:tc>
        <w:tc>
          <w:tcPr>
            <w:tcW w:w="1118" w:type="dxa"/>
            <w:tcBorders>
              <w:left w:val="nil"/>
              <w:right w:val="single" w:sz="4" w:space="0" w:color="auto"/>
            </w:tcBorders>
            <w:shd w:val="clear" w:color="auto" w:fill="auto"/>
            <w:noWrap/>
          </w:tcPr>
          <w:p w14:paraId="5C71DEDC"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177F962F" w14:textId="77777777" w:rsidR="0071415F" w:rsidRPr="00E93C76" w:rsidRDefault="00871858"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1.0 (2014)</w:t>
            </w:r>
          </w:p>
        </w:tc>
        <w:tc>
          <w:tcPr>
            <w:tcW w:w="1080" w:type="dxa"/>
            <w:tcBorders>
              <w:left w:val="single" w:sz="4" w:space="0" w:color="auto"/>
              <w:right w:val="single" w:sz="4" w:space="0" w:color="auto"/>
            </w:tcBorders>
          </w:tcPr>
          <w:p w14:paraId="14B15102"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0.7</w:t>
            </w:r>
          </w:p>
        </w:tc>
        <w:tc>
          <w:tcPr>
            <w:tcW w:w="1157" w:type="dxa"/>
            <w:tcBorders>
              <w:left w:val="single" w:sz="4" w:space="0" w:color="auto"/>
              <w:right w:val="single" w:sz="4" w:space="0" w:color="auto"/>
            </w:tcBorders>
          </w:tcPr>
          <w:p w14:paraId="717D7B96"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Pr>
            </w:pPr>
            <w:r w:rsidRPr="00E93C76">
              <w:rPr>
                <w:rFonts w:asciiTheme="minorBidi" w:hAnsiTheme="minorBidi" w:cstheme="minorBidi"/>
                <w:sz w:val="18"/>
                <w:szCs w:val="18"/>
              </w:rPr>
              <w:t>Increase</w:t>
            </w:r>
          </w:p>
        </w:tc>
      </w:tr>
      <w:tr w:rsidR="0071415F" w:rsidRPr="00E93C76" w14:paraId="0BA910E0" w14:textId="77777777" w:rsidTr="00E6392C">
        <w:trPr>
          <w:trHeight w:val="389"/>
          <w:jc w:val="center"/>
        </w:trPr>
        <w:tc>
          <w:tcPr>
            <w:tcW w:w="4547" w:type="dxa"/>
            <w:tcBorders>
              <w:left w:val="single" w:sz="4" w:space="0" w:color="auto"/>
              <w:bottom w:val="single" w:sz="4" w:space="0" w:color="auto"/>
              <w:right w:val="single" w:sz="4" w:space="0" w:color="auto"/>
            </w:tcBorders>
            <w:shd w:val="clear" w:color="auto" w:fill="auto"/>
            <w:noWrap/>
            <w:vAlign w:val="center"/>
          </w:tcPr>
          <w:p w14:paraId="3D8A19DC" w14:textId="77777777" w:rsidR="0071415F" w:rsidRPr="00E93C76" w:rsidRDefault="008D6923" w:rsidP="00E02452">
            <w:pPr>
              <w:tabs>
                <w:tab w:val="left" w:pos="9072"/>
              </w:tabs>
              <w:bidi w:val="0"/>
              <w:spacing w:after="0" w:line="240" w:lineRule="auto"/>
              <w:ind w:left="336"/>
              <w:jc w:val="both"/>
              <w:rPr>
                <w:rFonts w:asciiTheme="minorBidi" w:hAnsiTheme="minorBidi" w:cstheme="minorBidi"/>
                <w:sz w:val="18"/>
                <w:szCs w:val="18"/>
              </w:rPr>
            </w:pPr>
            <w:r>
              <w:rPr>
                <w:rFonts w:asciiTheme="minorBidi" w:hAnsiTheme="minorBidi" w:cstheme="minorBidi"/>
                <w:sz w:val="18"/>
                <w:szCs w:val="18"/>
              </w:rPr>
              <w:t>M</w:t>
            </w:r>
            <w:r w:rsidR="0071415F" w:rsidRPr="00E93C76">
              <w:rPr>
                <w:rFonts w:asciiTheme="minorBidi" w:hAnsiTheme="minorBidi" w:cstheme="minorBidi"/>
                <w:sz w:val="18"/>
                <w:szCs w:val="18"/>
              </w:rPr>
              <w:t xml:space="preserve">arried or in a union before age 18 (PCBS, </w:t>
            </w:r>
            <w:r w:rsidR="0071415F" w:rsidRPr="00E93C76">
              <w:rPr>
                <w:rFonts w:asciiTheme="minorBidi" w:hAnsiTheme="minorBidi" w:cstheme="minorBidi"/>
                <w:sz w:val="18"/>
                <w:szCs w:val="18"/>
                <w:rtl/>
              </w:rPr>
              <w:t>2019</w:t>
            </w:r>
            <w:r w:rsidR="0071415F" w:rsidRPr="00E93C76">
              <w:rPr>
                <w:rFonts w:asciiTheme="minorBidi" w:hAnsiTheme="minorBidi" w:cstheme="minorBidi"/>
                <w:sz w:val="18"/>
                <w:szCs w:val="18"/>
              </w:rPr>
              <w:t xml:space="preserve">, </w:t>
            </w:r>
            <w:r>
              <w:rPr>
                <w:rFonts w:asciiTheme="minorBidi" w:hAnsiTheme="minorBidi" w:cstheme="minorBidi"/>
                <w:sz w:val="18"/>
                <w:szCs w:val="18"/>
              </w:rPr>
              <w:t>p</w:t>
            </w:r>
            <w:r w:rsidR="0071415F" w:rsidRPr="00E93C76">
              <w:rPr>
                <w:rFonts w:asciiTheme="minorBidi" w:hAnsiTheme="minorBidi" w:cstheme="minorBidi"/>
                <w:sz w:val="18"/>
                <w:szCs w:val="18"/>
              </w:rPr>
              <w:t>ercentage)</w:t>
            </w:r>
          </w:p>
        </w:tc>
        <w:tc>
          <w:tcPr>
            <w:tcW w:w="1118" w:type="dxa"/>
            <w:tcBorders>
              <w:left w:val="nil"/>
              <w:bottom w:val="single" w:sz="4" w:space="0" w:color="auto"/>
              <w:right w:val="single" w:sz="4" w:space="0" w:color="auto"/>
            </w:tcBorders>
            <w:shd w:val="clear" w:color="auto" w:fill="auto"/>
            <w:noWrap/>
          </w:tcPr>
          <w:p w14:paraId="760EE45C"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bottom w:val="single" w:sz="4" w:space="0" w:color="auto"/>
              <w:right w:val="single" w:sz="4" w:space="0" w:color="auto"/>
            </w:tcBorders>
          </w:tcPr>
          <w:p w14:paraId="345B9CA7" w14:textId="77777777" w:rsidR="0071415F" w:rsidRPr="00E93C76" w:rsidRDefault="00871858" w:rsidP="006246D1">
            <w:pPr>
              <w:tabs>
                <w:tab w:val="left" w:pos="9072"/>
              </w:tabs>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Pr>
              <w:t>15.3</w:t>
            </w:r>
            <w:r w:rsidR="006246D1" w:rsidRPr="00E93C76">
              <w:rPr>
                <w:rFonts w:asciiTheme="minorBidi" w:hAnsiTheme="minorBidi" w:cstheme="minorBidi"/>
                <w:color w:val="000000"/>
                <w:sz w:val="18"/>
                <w:szCs w:val="18"/>
              </w:rPr>
              <w:t>(2014)</w:t>
            </w:r>
          </w:p>
        </w:tc>
        <w:tc>
          <w:tcPr>
            <w:tcW w:w="1080" w:type="dxa"/>
            <w:tcBorders>
              <w:left w:val="single" w:sz="4" w:space="0" w:color="auto"/>
              <w:bottom w:val="single" w:sz="4" w:space="0" w:color="auto"/>
              <w:right w:val="single" w:sz="4" w:space="0" w:color="auto"/>
            </w:tcBorders>
          </w:tcPr>
          <w:p w14:paraId="399576A1"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13.4</w:t>
            </w:r>
          </w:p>
        </w:tc>
        <w:tc>
          <w:tcPr>
            <w:tcW w:w="1157" w:type="dxa"/>
            <w:tcBorders>
              <w:left w:val="single" w:sz="4" w:space="0" w:color="auto"/>
              <w:bottom w:val="single" w:sz="4" w:space="0" w:color="auto"/>
              <w:right w:val="single" w:sz="4" w:space="0" w:color="auto"/>
            </w:tcBorders>
          </w:tcPr>
          <w:p w14:paraId="35F4CEAA"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Pr>
            </w:pPr>
            <w:r w:rsidRPr="00E93C76">
              <w:rPr>
                <w:rFonts w:asciiTheme="minorBidi" w:hAnsiTheme="minorBidi" w:cstheme="minorBidi"/>
                <w:sz w:val="18"/>
                <w:szCs w:val="18"/>
              </w:rPr>
              <w:t>Increase</w:t>
            </w:r>
          </w:p>
        </w:tc>
      </w:tr>
      <w:tr w:rsidR="0071415F" w:rsidRPr="00E93C76" w14:paraId="2433C52A"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center"/>
          </w:tcPr>
          <w:p w14:paraId="6FF90EEE" w14:textId="77777777" w:rsidR="0071415F" w:rsidRPr="00E93C76" w:rsidRDefault="0071415F" w:rsidP="00E02452">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Indicator 5.4.1</w:t>
            </w:r>
            <w:r w:rsidRPr="00E93C76">
              <w:rPr>
                <w:rFonts w:asciiTheme="minorBidi" w:hAnsiTheme="minorBidi" w:cstheme="minorBidi"/>
                <w:sz w:val="18"/>
                <w:szCs w:val="18"/>
              </w:rPr>
              <w:t>Proportion of time spent on unpaid domestic and care work, by sex, age</w:t>
            </w:r>
            <w:r w:rsidR="008D6923">
              <w:rPr>
                <w:rFonts w:asciiTheme="minorBidi" w:hAnsiTheme="minorBidi" w:cstheme="minorBidi"/>
                <w:sz w:val="18"/>
                <w:szCs w:val="18"/>
              </w:rPr>
              <w:t>,</w:t>
            </w:r>
            <w:r w:rsidRPr="00E93C76">
              <w:rPr>
                <w:rFonts w:asciiTheme="minorBidi" w:hAnsiTheme="minorBidi" w:cstheme="minorBidi"/>
                <w:sz w:val="18"/>
                <w:szCs w:val="18"/>
              </w:rPr>
              <w:t xml:space="preserve"> and location</w:t>
            </w:r>
          </w:p>
        </w:tc>
        <w:tc>
          <w:tcPr>
            <w:tcW w:w="1118" w:type="dxa"/>
            <w:tcBorders>
              <w:top w:val="single" w:sz="4" w:space="0" w:color="auto"/>
              <w:left w:val="nil"/>
              <w:right w:val="single" w:sz="4" w:space="0" w:color="auto"/>
            </w:tcBorders>
            <w:shd w:val="clear" w:color="auto" w:fill="auto"/>
            <w:noWrap/>
          </w:tcPr>
          <w:p w14:paraId="40BEAB16"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p>
        </w:tc>
        <w:tc>
          <w:tcPr>
            <w:tcW w:w="1158" w:type="dxa"/>
            <w:tcBorders>
              <w:top w:val="single" w:sz="4" w:space="0" w:color="auto"/>
              <w:left w:val="nil"/>
              <w:right w:val="single" w:sz="4" w:space="0" w:color="auto"/>
            </w:tcBorders>
          </w:tcPr>
          <w:p w14:paraId="6DB630BF"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017913B7"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157" w:type="dxa"/>
            <w:tcBorders>
              <w:top w:val="single" w:sz="4" w:space="0" w:color="auto"/>
              <w:left w:val="single" w:sz="4" w:space="0" w:color="auto"/>
              <w:right w:val="single" w:sz="4" w:space="0" w:color="auto"/>
            </w:tcBorders>
          </w:tcPr>
          <w:p w14:paraId="1CF5FE91"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Pr>
            </w:pPr>
          </w:p>
        </w:tc>
      </w:tr>
      <w:tr w:rsidR="0071415F" w:rsidRPr="00E93C76" w14:paraId="31DFF95B" w14:textId="77777777" w:rsidTr="00E02452">
        <w:trPr>
          <w:trHeight w:val="389"/>
          <w:jc w:val="center"/>
        </w:trPr>
        <w:tc>
          <w:tcPr>
            <w:tcW w:w="4547" w:type="dxa"/>
            <w:tcBorders>
              <w:left w:val="single" w:sz="4" w:space="0" w:color="auto"/>
              <w:right w:val="single" w:sz="4" w:space="0" w:color="auto"/>
            </w:tcBorders>
            <w:shd w:val="clear" w:color="auto" w:fill="auto"/>
            <w:noWrap/>
            <w:vAlign w:val="center"/>
          </w:tcPr>
          <w:p w14:paraId="711F9BFB" w14:textId="77777777" w:rsidR="0071415F" w:rsidRPr="00E93C76" w:rsidRDefault="0071415F"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Proportion of time spent on unpaid domestic and care work by females (PCBS, 2012/2013, </w:t>
            </w:r>
            <w:r w:rsidR="008D6923">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left w:val="nil"/>
              <w:right w:val="single" w:sz="4" w:space="0" w:color="auto"/>
            </w:tcBorders>
            <w:shd w:val="clear" w:color="auto" w:fill="auto"/>
            <w:noWrap/>
          </w:tcPr>
          <w:p w14:paraId="64AFEBD2"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4BF6D4A5" w14:textId="77777777" w:rsidR="0071415F" w:rsidRPr="00E93C76" w:rsidRDefault="0071415F" w:rsidP="00E6392C">
            <w:pPr>
              <w:tabs>
                <w:tab w:val="left" w:pos="9072"/>
              </w:tabs>
              <w:bidi w:val="0"/>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20.2 (</w:t>
            </w:r>
            <w:r w:rsidR="00D03527" w:rsidRPr="00E93C76">
              <w:rPr>
                <w:rFonts w:asciiTheme="minorBidi" w:hAnsiTheme="minorBidi" w:cstheme="minorBidi"/>
                <w:color w:val="000000"/>
                <w:sz w:val="18"/>
                <w:szCs w:val="18"/>
              </w:rPr>
              <w:t>1999/2000</w:t>
            </w:r>
            <w:r w:rsidRPr="00E93C76">
              <w:rPr>
                <w:rFonts w:asciiTheme="minorBidi" w:hAnsiTheme="minorBidi" w:cstheme="minorBidi"/>
                <w:color w:val="000000"/>
                <w:sz w:val="18"/>
                <w:szCs w:val="18"/>
              </w:rPr>
              <w:t>)</w:t>
            </w:r>
          </w:p>
        </w:tc>
        <w:tc>
          <w:tcPr>
            <w:tcW w:w="1080" w:type="dxa"/>
            <w:tcBorders>
              <w:left w:val="single" w:sz="4" w:space="0" w:color="auto"/>
              <w:right w:val="single" w:sz="4" w:space="0" w:color="auto"/>
            </w:tcBorders>
          </w:tcPr>
          <w:p w14:paraId="5748935C"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tl/>
              </w:rPr>
              <w:t>17.8</w:t>
            </w:r>
          </w:p>
        </w:tc>
        <w:tc>
          <w:tcPr>
            <w:tcW w:w="1157" w:type="dxa"/>
            <w:tcBorders>
              <w:left w:val="single" w:sz="4" w:space="0" w:color="auto"/>
              <w:right w:val="single" w:sz="4" w:space="0" w:color="auto"/>
            </w:tcBorders>
          </w:tcPr>
          <w:p w14:paraId="164A0CF6" w14:textId="77777777" w:rsidR="0071415F" w:rsidRPr="00E93C76" w:rsidRDefault="0071415F" w:rsidP="002C2204">
            <w:pPr>
              <w:bidi w:val="0"/>
              <w:spacing w:after="0" w:line="240" w:lineRule="auto"/>
              <w:jc w:val="center"/>
              <w:rPr>
                <w:rFonts w:asciiTheme="minorBidi" w:hAnsiTheme="minorBidi" w:cstheme="minorBidi"/>
                <w:sz w:val="18"/>
                <w:szCs w:val="18"/>
              </w:rPr>
            </w:pPr>
            <w:r w:rsidRPr="00E93C76">
              <w:rPr>
                <w:rFonts w:asciiTheme="minorBidi" w:hAnsiTheme="minorBidi" w:cstheme="minorBidi"/>
                <w:sz w:val="18"/>
                <w:szCs w:val="18"/>
              </w:rPr>
              <w:t>Decrease</w:t>
            </w:r>
          </w:p>
        </w:tc>
      </w:tr>
      <w:tr w:rsidR="0071415F" w:rsidRPr="00E93C76" w14:paraId="069F1149" w14:textId="77777777" w:rsidTr="00E02452">
        <w:trPr>
          <w:trHeight w:val="389"/>
          <w:jc w:val="center"/>
        </w:trPr>
        <w:tc>
          <w:tcPr>
            <w:tcW w:w="4547" w:type="dxa"/>
            <w:tcBorders>
              <w:left w:val="single" w:sz="4" w:space="0" w:color="auto"/>
              <w:right w:val="single" w:sz="4" w:space="0" w:color="auto"/>
            </w:tcBorders>
            <w:shd w:val="clear" w:color="auto" w:fill="auto"/>
            <w:noWrap/>
            <w:vAlign w:val="center"/>
          </w:tcPr>
          <w:p w14:paraId="786DF68A" w14:textId="77777777" w:rsidR="0071415F" w:rsidRPr="00E93C76" w:rsidRDefault="0071415F"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Proportion of time spent on unpaid care work, by sex, age and location  (PCBS, 2012/2013, </w:t>
            </w:r>
            <w:r w:rsidR="008D6923">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left w:val="nil"/>
              <w:right w:val="single" w:sz="4" w:space="0" w:color="auto"/>
            </w:tcBorders>
            <w:shd w:val="clear" w:color="auto" w:fill="auto"/>
            <w:noWrap/>
          </w:tcPr>
          <w:p w14:paraId="2D980E36"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3D65EDAE" w14:textId="77777777" w:rsidR="00D03527" w:rsidRPr="00E93C76" w:rsidRDefault="0071415F" w:rsidP="00D03527">
            <w:pPr>
              <w:tabs>
                <w:tab w:val="left" w:pos="9072"/>
              </w:tabs>
              <w:bidi w:val="0"/>
              <w:spacing w:after="0" w:line="240" w:lineRule="auto"/>
              <w:ind w:right="57"/>
              <w:jc w:val="center"/>
              <w:rPr>
                <w:rFonts w:asciiTheme="minorBidi" w:hAnsiTheme="minorBidi" w:cstheme="minorBidi"/>
                <w:color w:val="000000"/>
                <w:sz w:val="18"/>
                <w:szCs w:val="18"/>
                <w:lang w:bidi="ar-JO"/>
              </w:rPr>
            </w:pPr>
            <w:r w:rsidRPr="00E93C76">
              <w:rPr>
                <w:rFonts w:asciiTheme="minorBidi" w:hAnsiTheme="minorBidi" w:cstheme="minorBidi"/>
                <w:color w:val="000000"/>
                <w:sz w:val="18"/>
                <w:szCs w:val="18"/>
                <w:rtl/>
                <w:lang w:bidi="ar-JO"/>
              </w:rPr>
              <w:t>4.7</w:t>
            </w:r>
          </w:p>
          <w:p w14:paraId="0A5C11AB" w14:textId="77777777" w:rsidR="0071415F" w:rsidRPr="00E93C76" w:rsidRDefault="00D03527" w:rsidP="006246D1">
            <w:pPr>
              <w:tabs>
                <w:tab w:val="left" w:pos="9072"/>
              </w:tabs>
              <w:bidi w:val="0"/>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lang w:bidi="ar-JO"/>
              </w:rPr>
              <w:t>(1999/2000</w:t>
            </w:r>
            <w:r w:rsidR="006246D1" w:rsidRPr="00E93C76">
              <w:rPr>
                <w:rFonts w:asciiTheme="minorBidi" w:hAnsiTheme="minorBidi" w:cstheme="minorBidi"/>
                <w:color w:val="000000"/>
                <w:sz w:val="18"/>
                <w:szCs w:val="18"/>
                <w:lang w:bidi="ar-JO"/>
              </w:rPr>
              <w:t>)</w:t>
            </w:r>
          </w:p>
        </w:tc>
        <w:tc>
          <w:tcPr>
            <w:tcW w:w="1080" w:type="dxa"/>
            <w:tcBorders>
              <w:left w:val="single" w:sz="4" w:space="0" w:color="auto"/>
              <w:right w:val="single" w:sz="4" w:space="0" w:color="auto"/>
            </w:tcBorders>
          </w:tcPr>
          <w:p w14:paraId="091E7E5A"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tl/>
                <w:lang w:bidi="ar-JO"/>
              </w:rPr>
              <w:t>3.8</w:t>
            </w:r>
          </w:p>
        </w:tc>
        <w:tc>
          <w:tcPr>
            <w:tcW w:w="1157" w:type="dxa"/>
            <w:tcBorders>
              <w:left w:val="single" w:sz="4" w:space="0" w:color="auto"/>
              <w:right w:val="single" w:sz="4" w:space="0" w:color="auto"/>
            </w:tcBorders>
          </w:tcPr>
          <w:p w14:paraId="71E20322" w14:textId="77777777" w:rsidR="0071415F" w:rsidRPr="00E93C76" w:rsidRDefault="0071415F" w:rsidP="002C2204">
            <w:pPr>
              <w:bidi w:val="0"/>
              <w:spacing w:after="0" w:line="240" w:lineRule="auto"/>
              <w:jc w:val="center"/>
              <w:rPr>
                <w:rFonts w:asciiTheme="minorBidi" w:hAnsiTheme="minorBidi" w:cstheme="minorBidi"/>
                <w:sz w:val="18"/>
                <w:szCs w:val="18"/>
                <w:rtl/>
              </w:rPr>
            </w:pPr>
            <w:r w:rsidRPr="00E93C76">
              <w:rPr>
                <w:rFonts w:asciiTheme="minorBidi" w:hAnsiTheme="minorBidi" w:cstheme="minorBidi"/>
                <w:sz w:val="18"/>
                <w:szCs w:val="18"/>
              </w:rPr>
              <w:t>Decrease</w:t>
            </w:r>
          </w:p>
        </w:tc>
      </w:tr>
      <w:tr w:rsidR="0071415F" w:rsidRPr="00E93C76" w14:paraId="1003C147" w14:textId="77777777" w:rsidTr="00E02452">
        <w:trPr>
          <w:trHeight w:val="389"/>
          <w:jc w:val="center"/>
        </w:trPr>
        <w:tc>
          <w:tcPr>
            <w:tcW w:w="4547" w:type="dxa"/>
            <w:tcBorders>
              <w:left w:val="single" w:sz="4" w:space="0" w:color="auto"/>
              <w:bottom w:val="single" w:sz="4" w:space="0" w:color="auto"/>
              <w:right w:val="single" w:sz="4" w:space="0" w:color="auto"/>
            </w:tcBorders>
            <w:shd w:val="clear" w:color="auto" w:fill="auto"/>
            <w:noWrap/>
            <w:vAlign w:val="center"/>
          </w:tcPr>
          <w:p w14:paraId="1F66E095" w14:textId="77777777" w:rsidR="0071415F" w:rsidRPr="00E93C76" w:rsidRDefault="0071415F"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Proportion of time spent on unpaid domestic chores, by sex, age and location   (PCBS, 2012/2013, </w:t>
            </w:r>
            <w:r w:rsidR="00816E66">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left w:val="nil"/>
              <w:bottom w:val="single" w:sz="4" w:space="0" w:color="auto"/>
              <w:right w:val="single" w:sz="4" w:space="0" w:color="auto"/>
            </w:tcBorders>
            <w:shd w:val="clear" w:color="auto" w:fill="auto"/>
            <w:noWrap/>
          </w:tcPr>
          <w:p w14:paraId="48C27D69"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bottom w:val="single" w:sz="4" w:space="0" w:color="auto"/>
              <w:right w:val="single" w:sz="4" w:space="0" w:color="auto"/>
            </w:tcBorders>
          </w:tcPr>
          <w:p w14:paraId="6851F158" w14:textId="77777777" w:rsidR="0071415F" w:rsidRPr="00E93C76" w:rsidRDefault="0071415F" w:rsidP="00373E0A">
            <w:pPr>
              <w:tabs>
                <w:tab w:val="left" w:pos="9072"/>
              </w:tabs>
              <w:bidi w:val="0"/>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15.6</w:t>
            </w:r>
          </w:p>
          <w:p w14:paraId="2AA4B2C2" w14:textId="77777777" w:rsidR="0071415F" w:rsidRPr="00E93C76" w:rsidRDefault="00D03527" w:rsidP="006246D1">
            <w:pPr>
              <w:tabs>
                <w:tab w:val="left" w:pos="9072"/>
              </w:tabs>
              <w:bidi w:val="0"/>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Pr>
              <w:t>(1999/2000</w:t>
            </w:r>
            <w:r w:rsidR="006246D1" w:rsidRPr="00E93C76">
              <w:rPr>
                <w:rFonts w:asciiTheme="minorBidi" w:hAnsiTheme="minorBidi" w:cstheme="minorBidi"/>
                <w:color w:val="000000"/>
                <w:sz w:val="18"/>
                <w:szCs w:val="18"/>
              </w:rPr>
              <w:t>)</w:t>
            </w:r>
          </w:p>
        </w:tc>
        <w:tc>
          <w:tcPr>
            <w:tcW w:w="1080" w:type="dxa"/>
            <w:tcBorders>
              <w:left w:val="single" w:sz="4" w:space="0" w:color="auto"/>
              <w:bottom w:val="single" w:sz="4" w:space="0" w:color="auto"/>
              <w:right w:val="single" w:sz="4" w:space="0" w:color="auto"/>
            </w:tcBorders>
          </w:tcPr>
          <w:p w14:paraId="0B6A84A3"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tl/>
                <w:lang w:bidi="ar-JO"/>
              </w:rPr>
              <w:t>14.0</w:t>
            </w:r>
          </w:p>
        </w:tc>
        <w:tc>
          <w:tcPr>
            <w:tcW w:w="1157" w:type="dxa"/>
            <w:tcBorders>
              <w:left w:val="single" w:sz="4" w:space="0" w:color="auto"/>
              <w:bottom w:val="single" w:sz="4" w:space="0" w:color="auto"/>
              <w:right w:val="single" w:sz="4" w:space="0" w:color="auto"/>
            </w:tcBorders>
          </w:tcPr>
          <w:p w14:paraId="106F119F" w14:textId="77777777" w:rsidR="0071415F" w:rsidRPr="00E93C76" w:rsidRDefault="0071415F" w:rsidP="002C2204">
            <w:pPr>
              <w:bidi w:val="0"/>
              <w:spacing w:after="0" w:line="240" w:lineRule="auto"/>
              <w:jc w:val="center"/>
              <w:rPr>
                <w:rFonts w:asciiTheme="minorBidi" w:hAnsiTheme="minorBidi" w:cstheme="minorBidi"/>
                <w:sz w:val="18"/>
                <w:szCs w:val="18"/>
                <w:rtl/>
              </w:rPr>
            </w:pPr>
            <w:r w:rsidRPr="00E93C76">
              <w:rPr>
                <w:rFonts w:asciiTheme="minorBidi" w:hAnsiTheme="minorBidi" w:cstheme="minorBidi"/>
                <w:sz w:val="18"/>
                <w:szCs w:val="18"/>
              </w:rPr>
              <w:t>Decrease</w:t>
            </w:r>
          </w:p>
        </w:tc>
      </w:tr>
      <w:tr w:rsidR="0071415F" w:rsidRPr="00E93C76" w14:paraId="29B91D48"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center"/>
          </w:tcPr>
          <w:p w14:paraId="7B1A8353" w14:textId="77777777" w:rsidR="0071415F" w:rsidRPr="00E93C76" w:rsidRDefault="0071415F" w:rsidP="00E02452">
            <w:pPr>
              <w:tabs>
                <w:tab w:val="left" w:pos="9072"/>
              </w:tabs>
              <w:bidi w:val="0"/>
              <w:spacing w:after="0" w:line="240" w:lineRule="auto"/>
              <w:rPr>
                <w:rFonts w:asciiTheme="minorBidi" w:hAnsiTheme="minorBidi" w:cstheme="minorBidi"/>
                <w:sz w:val="18"/>
                <w:szCs w:val="18"/>
              </w:rPr>
            </w:pPr>
            <w:r w:rsidRPr="00E93C76">
              <w:rPr>
                <w:rFonts w:asciiTheme="minorBidi" w:hAnsiTheme="minorBidi" w:cstheme="minorBidi"/>
                <w:b/>
                <w:sz w:val="18"/>
                <w:szCs w:val="18"/>
              </w:rPr>
              <w:t xml:space="preserve">Indicator 5.5.1 </w:t>
            </w:r>
            <w:r w:rsidRPr="00E93C76">
              <w:rPr>
                <w:rFonts w:asciiTheme="minorBidi" w:hAnsiTheme="minorBidi" w:cstheme="minorBidi"/>
                <w:sz w:val="18"/>
                <w:szCs w:val="18"/>
              </w:rPr>
              <w:t>Proportion of seats held by women in (a) national parliaments and (b) local governments</w:t>
            </w:r>
          </w:p>
        </w:tc>
        <w:tc>
          <w:tcPr>
            <w:tcW w:w="1118" w:type="dxa"/>
            <w:tcBorders>
              <w:top w:val="single" w:sz="4" w:space="0" w:color="auto"/>
              <w:left w:val="nil"/>
              <w:right w:val="single" w:sz="4" w:space="0" w:color="auto"/>
            </w:tcBorders>
            <w:shd w:val="clear" w:color="auto" w:fill="auto"/>
            <w:noWrap/>
          </w:tcPr>
          <w:p w14:paraId="432D12BE"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p>
        </w:tc>
        <w:tc>
          <w:tcPr>
            <w:tcW w:w="1158" w:type="dxa"/>
            <w:tcBorders>
              <w:top w:val="single" w:sz="4" w:space="0" w:color="auto"/>
              <w:left w:val="nil"/>
              <w:right w:val="single" w:sz="4" w:space="0" w:color="auto"/>
            </w:tcBorders>
          </w:tcPr>
          <w:p w14:paraId="3334EC26"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10544194"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157" w:type="dxa"/>
            <w:tcBorders>
              <w:top w:val="single" w:sz="4" w:space="0" w:color="auto"/>
              <w:left w:val="single" w:sz="4" w:space="0" w:color="auto"/>
              <w:right w:val="single" w:sz="4" w:space="0" w:color="auto"/>
            </w:tcBorders>
          </w:tcPr>
          <w:p w14:paraId="0B648118"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Pr>
            </w:pPr>
          </w:p>
        </w:tc>
      </w:tr>
      <w:tr w:rsidR="0071415F" w:rsidRPr="00E93C76" w14:paraId="7D775591" w14:textId="77777777" w:rsidTr="00E02452">
        <w:trPr>
          <w:trHeight w:val="389"/>
          <w:jc w:val="center"/>
        </w:trPr>
        <w:tc>
          <w:tcPr>
            <w:tcW w:w="4547" w:type="dxa"/>
            <w:tcBorders>
              <w:left w:val="single" w:sz="4" w:space="0" w:color="auto"/>
              <w:right w:val="single" w:sz="4" w:space="0" w:color="auto"/>
            </w:tcBorders>
            <w:shd w:val="clear" w:color="auto" w:fill="auto"/>
            <w:noWrap/>
            <w:vAlign w:val="bottom"/>
          </w:tcPr>
          <w:p w14:paraId="3DA52966" w14:textId="77777777" w:rsidR="0071415F" w:rsidRPr="00E93C76" w:rsidRDefault="0071415F"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Seats or members women in national parliaments (PCBS, 2018, </w:t>
            </w:r>
            <w:r w:rsidR="008D6923">
              <w:rPr>
                <w:rFonts w:asciiTheme="minorBidi" w:hAnsiTheme="minorBidi" w:cstheme="minorBidi"/>
                <w:sz w:val="18"/>
                <w:szCs w:val="18"/>
              </w:rPr>
              <w:t>p</w:t>
            </w:r>
            <w:r w:rsidRPr="00E93C76">
              <w:rPr>
                <w:rFonts w:asciiTheme="minorBidi" w:hAnsiTheme="minorBidi" w:cstheme="minorBidi"/>
                <w:sz w:val="18"/>
                <w:szCs w:val="18"/>
              </w:rPr>
              <w:t xml:space="preserve">ercentage) </w:t>
            </w:r>
          </w:p>
        </w:tc>
        <w:tc>
          <w:tcPr>
            <w:tcW w:w="1118" w:type="dxa"/>
            <w:tcBorders>
              <w:left w:val="nil"/>
              <w:right w:val="single" w:sz="4" w:space="0" w:color="auto"/>
            </w:tcBorders>
            <w:shd w:val="clear" w:color="auto" w:fill="auto"/>
            <w:noWrap/>
          </w:tcPr>
          <w:p w14:paraId="04320A85"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0ECA4957" w14:textId="77777777" w:rsidR="0071415F" w:rsidRPr="00E93C76" w:rsidRDefault="0071415F" w:rsidP="00E6392C">
            <w:pPr>
              <w:tabs>
                <w:tab w:val="left" w:pos="9072"/>
              </w:tabs>
              <w:bidi w:val="0"/>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(2017)</w:t>
            </w:r>
            <w:r w:rsidR="006246D1" w:rsidRPr="00E93C76">
              <w:rPr>
                <w:rFonts w:asciiTheme="minorBidi" w:hAnsiTheme="minorBidi" w:cstheme="minorBidi"/>
                <w:color w:val="000000"/>
                <w:sz w:val="18"/>
                <w:szCs w:val="18"/>
                <w:rtl/>
                <w:lang w:bidi="ar-JO"/>
              </w:rPr>
              <w:t xml:space="preserve"> 11.3</w:t>
            </w:r>
          </w:p>
        </w:tc>
        <w:tc>
          <w:tcPr>
            <w:tcW w:w="1080" w:type="dxa"/>
            <w:tcBorders>
              <w:left w:val="single" w:sz="4" w:space="0" w:color="auto"/>
              <w:right w:val="single" w:sz="4" w:space="0" w:color="auto"/>
            </w:tcBorders>
          </w:tcPr>
          <w:p w14:paraId="016C4ADA"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11.3</w:t>
            </w:r>
          </w:p>
        </w:tc>
        <w:tc>
          <w:tcPr>
            <w:tcW w:w="1157" w:type="dxa"/>
            <w:tcBorders>
              <w:left w:val="single" w:sz="4" w:space="0" w:color="auto"/>
              <w:right w:val="single" w:sz="4" w:space="0" w:color="auto"/>
            </w:tcBorders>
          </w:tcPr>
          <w:p w14:paraId="3280422C" w14:textId="77777777" w:rsidR="0071415F" w:rsidRPr="00E93C76" w:rsidRDefault="0071415F" w:rsidP="002C2204">
            <w:pPr>
              <w:bidi w:val="0"/>
              <w:spacing w:after="0" w:line="240" w:lineRule="auto"/>
              <w:jc w:val="center"/>
              <w:rPr>
                <w:rFonts w:asciiTheme="minorBidi" w:hAnsiTheme="minorBidi" w:cstheme="minorBidi"/>
                <w:sz w:val="18"/>
                <w:szCs w:val="18"/>
                <w:rtl/>
              </w:rPr>
            </w:pPr>
            <w:r w:rsidRPr="00E93C76">
              <w:rPr>
                <w:rFonts w:asciiTheme="minorBidi" w:hAnsiTheme="minorBidi" w:cstheme="minorBidi"/>
                <w:sz w:val="18"/>
                <w:szCs w:val="18"/>
              </w:rPr>
              <w:t>No change</w:t>
            </w:r>
          </w:p>
        </w:tc>
      </w:tr>
      <w:tr w:rsidR="0071415F" w:rsidRPr="00E93C76" w14:paraId="44E67352" w14:textId="77777777" w:rsidTr="00E02452">
        <w:trPr>
          <w:trHeight w:val="389"/>
          <w:jc w:val="center"/>
        </w:trPr>
        <w:tc>
          <w:tcPr>
            <w:tcW w:w="4547" w:type="dxa"/>
            <w:tcBorders>
              <w:left w:val="single" w:sz="4" w:space="0" w:color="auto"/>
              <w:right w:val="single" w:sz="4" w:space="0" w:color="auto"/>
            </w:tcBorders>
            <w:shd w:val="clear" w:color="auto" w:fill="auto"/>
            <w:noWrap/>
          </w:tcPr>
          <w:p w14:paraId="661AA13C" w14:textId="77777777" w:rsidR="0071415F" w:rsidRPr="00E93C76" w:rsidRDefault="00060570"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Proportion of seats held by women in l</w:t>
            </w:r>
            <w:r w:rsidR="0071415F" w:rsidRPr="00E93C76">
              <w:rPr>
                <w:rFonts w:asciiTheme="minorBidi" w:hAnsiTheme="minorBidi" w:cstheme="minorBidi"/>
                <w:sz w:val="18"/>
                <w:szCs w:val="18"/>
              </w:rPr>
              <w:t xml:space="preserve">ocal governments (MOLG, 2020, </w:t>
            </w:r>
            <w:r w:rsidR="008D6923">
              <w:rPr>
                <w:rFonts w:asciiTheme="minorBidi" w:hAnsiTheme="minorBidi" w:cstheme="minorBidi"/>
                <w:sz w:val="18"/>
                <w:szCs w:val="18"/>
              </w:rPr>
              <w:t>p</w:t>
            </w:r>
            <w:r w:rsidR="0071415F" w:rsidRPr="00E93C76">
              <w:rPr>
                <w:rFonts w:asciiTheme="minorBidi" w:hAnsiTheme="minorBidi" w:cstheme="minorBidi"/>
                <w:sz w:val="18"/>
                <w:szCs w:val="18"/>
              </w:rPr>
              <w:t>ercentage)</w:t>
            </w:r>
          </w:p>
        </w:tc>
        <w:tc>
          <w:tcPr>
            <w:tcW w:w="1118" w:type="dxa"/>
            <w:tcBorders>
              <w:left w:val="nil"/>
              <w:right w:val="single" w:sz="4" w:space="0" w:color="auto"/>
            </w:tcBorders>
            <w:shd w:val="clear" w:color="auto" w:fill="auto"/>
            <w:noWrap/>
          </w:tcPr>
          <w:p w14:paraId="26A85F47"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245BF086" w14:textId="77777777" w:rsidR="0071415F" w:rsidRPr="00E93C76" w:rsidRDefault="0071415F" w:rsidP="00E6392C">
            <w:pPr>
              <w:tabs>
                <w:tab w:val="left" w:pos="9072"/>
              </w:tabs>
              <w:bidi w:val="0"/>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(2019)</w:t>
            </w:r>
            <w:r w:rsidR="006246D1" w:rsidRPr="00E93C76">
              <w:rPr>
                <w:rFonts w:asciiTheme="minorBidi" w:hAnsiTheme="minorBidi" w:cstheme="minorBidi"/>
                <w:color w:val="000000"/>
                <w:sz w:val="18"/>
                <w:szCs w:val="18"/>
                <w:rtl/>
                <w:lang w:bidi="ar-JO"/>
              </w:rPr>
              <w:t xml:space="preserve"> 20.1</w:t>
            </w:r>
          </w:p>
        </w:tc>
        <w:tc>
          <w:tcPr>
            <w:tcW w:w="1080" w:type="dxa"/>
            <w:tcBorders>
              <w:left w:val="single" w:sz="4" w:space="0" w:color="auto"/>
              <w:right w:val="single" w:sz="4" w:space="0" w:color="auto"/>
            </w:tcBorders>
          </w:tcPr>
          <w:p w14:paraId="76271453"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20.0</w:t>
            </w:r>
          </w:p>
        </w:tc>
        <w:tc>
          <w:tcPr>
            <w:tcW w:w="1157" w:type="dxa"/>
            <w:tcBorders>
              <w:left w:val="single" w:sz="4" w:space="0" w:color="auto"/>
              <w:right w:val="single" w:sz="4" w:space="0" w:color="auto"/>
            </w:tcBorders>
          </w:tcPr>
          <w:p w14:paraId="5443B793"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tl/>
                <w:lang w:bidi="ar-JO"/>
              </w:rPr>
            </w:pPr>
            <w:r w:rsidRPr="00E93C76">
              <w:rPr>
                <w:rFonts w:asciiTheme="minorBidi" w:hAnsiTheme="minorBidi" w:cstheme="minorBidi"/>
                <w:sz w:val="18"/>
                <w:szCs w:val="18"/>
              </w:rPr>
              <w:t>Decrease</w:t>
            </w:r>
          </w:p>
        </w:tc>
      </w:tr>
      <w:tr w:rsidR="0071415F" w:rsidRPr="00E93C76" w14:paraId="7A719A05" w14:textId="77777777" w:rsidTr="00E6392C">
        <w:trPr>
          <w:trHeight w:val="389"/>
          <w:jc w:val="center"/>
        </w:trPr>
        <w:tc>
          <w:tcPr>
            <w:tcW w:w="4547" w:type="dxa"/>
            <w:tcBorders>
              <w:left w:val="single" w:sz="4" w:space="0" w:color="auto"/>
              <w:bottom w:val="single" w:sz="4" w:space="0" w:color="auto"/>
              <w:right w:val="single" w:sz="4" w:space="0" w:color="auto"/>
            </w:tcBorders>
            <w:shd w:val="clear" w:color="auto" w:fill="auto"/>
            <w:noWrap/>
          </w:tcPr>
          <w:p w14:paraId="57E2E05D" w14:textId="77777777" w:rsidR="0071415F" w:rsidRPr="00E93C76" w:rsidRDefault="0071415F" w:rsidP="00725009">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Proportion of elected seats held by women in deliberative bodies of local government (Central Elections Commission, </w:t>
            </w:r>
            <w:r w:rsidR="00725009" w:rsidRPr="00E93C76">
              <w:rPr>
                <w:rFonts w:asciiTheme="minorBidi" w:hAnsiTheme="minorBidi" w:cstheme="minorBidi"/>
                <w:sz w:val="18"/>
                <w:szCs w:val="18"/>
              </w:rPr>
              <w:t>2021</w:t>
            </w:r>
            <w:r w:rsidRPr="00E93C76">
              <w:rPr>
                <w:rFonts w:asciiTheme="minorBidi" w:hAnsiTheme="minorBidi" w:cstheme="minorBidi"/>
                <w:sz w:val="18"/>
                <w:szCs w:val="18"/>
              </w:rPr>
              <w:t xml:space="preserve">, </w:t>
            </w:r>
            <w:r w:rsidR="00624BB0">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left w:val="nil"/>
              <w:bottom w:val="single" w:sz="4" w:space="0" w:color="auto"/>
              <w:right w:val="single" w:sz="4" w:space="0" w:color="auto"/>
            </w:tcBorders>
            <w:shd w:val="clear" w:color="auto" w:fill="auto"/>
            <w:noWrap/>
          </w:tcPr>
          <w:p w14:paraId="35C625E1"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bottom w:val="single" w:sz="4" w:space="0" w:color="auto"/>
              <w:right w:val="single" w:sz="4" w:space="0" w:color="auto"/>
            </w:tcBorders>
          </w:tcPr>
          <w:p w14:paraId="0DA7F744" w14:textId="77777777" w:rsidR="0071415F" w:rsidRPr="00E93C76" w:rsidRDefault="0071415F" w:rsidP="0072500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(201</w:t>
            </w:r>
            <w:r w:rsidR="00725009" w:rsidRPr="00E93C76">
              <w:rPr>
                <w:rFonts w:asciiTheme="minorBidi" w:hAnsiTheme="minorBidi" w:cstheme="minorBidi"/>
                <w:color w:val="000000"/>
                <w:sz w:val="18"/>
                <w:szCs w:val="18"/>
                <w:rtl/>
                <w:lang w:bidi="ar-JO"/>
              </w:rPr>
              <w:t>9</w:t>
            </w:r>
            <w:r w:rsidRPr="00E93C76">
              <w:rPr>
                <w:rFonts w:asciiTheme="minorBidi" w:hAnsiTheme="minorBidi" w:cstheme="minorBidi"/>
                <w:color w:val="000000"/>
                <w:sz w:val="18"/>
                <w:szCs w:val="18"/>
                <w:rtl/>
                <w:lang w:bidi="ar-JO"/>
              </w:rPr>
              <w:t>)</w:t>
            </w:r>
            <w:r w:rsidR="006246D1" w:rsidRPr="00E93C76">
              <w:rPr>
                <w:rFonts w:asciiTheme="minorBidi" w:hAnsiTheme="minorBidi" w:cstheme="minorBidi"/>
                <w:color w:val="000000"/>
                <w:sz w:val="18"/>
                <w:szCs w:val="18"/>
                <w:rtl/>
                <w:lang w:bidi="ar-JO"/>
              </w:rPr>
              <w:t xml:space="preserve"> 21.2</w:t>
            </w:r>
          </w:p>
        </w:tc>
        <w:tc>
          <w:tcPr>
            <w:tcW w:w="1080" w:type="dxa"/>
            <w:tcBorders>
              <w:left w:val="single" w:sz="4" w:space="0" w:color="auto"/>
              <w:bottom w:val="single" w:sz="4" w:space="0" w:color="auto"/>
              <w:right w:val="single" w:sz="4" w:space="0" w:color="auto"/>
            </w:tcBorders>
          </w:tcPr>
          <w:p w14:paraId="7FC5ACF6" w14:textId="77777777" w:rsidR="0071415F" w:rsidRPr="00E93C76" w:rsidRDefault="00725009"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21.8</w:t>
            </w:r>
          </w:p>
        </w:tc>
        <w:tc>
          <w:tcPr>
            <w:tcW w:w="1157" w:type="dxa"/>
            <w:tcBorders>
              <w:left w:val="single" w:sz="4" w:space="0" w:color="auto"/>
              <w:bottom w:val="single" w:sz="4" w:space="0" w:color="auto"/>
              <w:right w:val="single" w:sz="4" w:space="0" w:color="auto"/>
            </w:tcBorders>
          </w:tcPr>
          <w:p w14:paraId="5D896196" w14:textId="77777777" w:rsidR="0071415F" w:rsidRPr="00E93C76" w:rsidRDefault="00725009" w:rsidP="00E02452">
            <w:pPr>
              <w:tabs>
                <w:tab w:val="left" w:pos="9072"/>
              </w:tabs>
              <w:spacing w:after="0" w:line="240" w:lineRule="auto"/>
              <w:ind w:right="57"/>
              <w:jc w:val="center"/>
              <w:rPr>
                <w:rFonts w:asciiTheme="minorBidi" w:hAnsiTheme="minorBidi" w:cstheme="minorBidi"/>
                <w:sz w:val="18"/>
                <w:szCs w:val="18"/>
                <w:rtl/>
                <w:lang w:bidi="ar-JO"/>
              </w:rPr>
            </w:pPr>
            <w:r w:rsidRPr="00E93C76">
              <w:rPr>
                <w:rFonts w:asciiTheme="minorBidi" w:hAnsiTheme="minorBidi" w:cstheme="minorBidi"/>
                <w:sz w:val="18"/>
                <w:szCs w:val="18"/>
              </w:rPr>
              <w:t>Increase</w:t>
            </w:r>
          </w:p>
        </w:tc>
      </w:tr>
      <w:tr w:rsidR="00087C99" w:rsidRPr="00E93C76" w14:paraId="7A1D5A7A" w14:textId="77777777" w:rsidTr="00E6392C">
        <w:trPr>
          <w:trHeight w:val="389"/>
          <w:jc w:val="center"/>
        </w:trPr>
        <w:tc>
          <w:tcPr>
            <w:tcW w:w="4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EAC8C" w14:textId="77777777" w:rsidR="00087C99" w:rsidRPr="00E93C76" w:rsidRDefault="00087C99" w:rsidP="00087C99">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Indicator 5.5.2</w:t>
            </w:r>
            <w:r w:rsidRPr="00E93C76">
              <w:rPr>
                <w:rFonts w:asciiTheme="minorBidi" w:hAnsiTheme="minorBidi" w:cstheme="minorBidi"/>
                <w:sz w:val="18"/>
                <w:szCs w:val="18"/>
              </w:rPr>
              <w:t xml:space="preserve"> Proportion of women in managerial positions(PCBS, </w:t>
            </w:r>
            <w:r w:rsidRPr="00E93C76">
              <w:rPr>
                <w:rFonts w:asciiTheme="minorBidi" w:hAnsiTheme="minorBidi" w:cstheme="minorBidi"/>
                <w:sz w:val="18"/>
                <w:szCs w:val="18"/>
                <w:rtl/>
              </w:rPr>
              <w:t>2021</w:t>
            </w:r>
            <w:r w:rsidRPr="00E93C76">
              <w:rPr>
                <w:rFonts w:asciiTheme="minorBidi" w:hAnsiTheme="minorBidi" w:cstheme="minorBidi"/>
                <w:sz w:val="18"/>
                <w:szCs w:val="18"/>
              </w:rPr>
              <w:t xml:space="preserve">, </w:t>
            </w:r>
            <w:r w:rsidR="00624BB0">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top w:val="single" w:sz="4" w:space="0" w:color="auto"/>
              <w:left w:val="nil"/>
              <w:bottom w:val="single" w:sz="4" w:space="0" w:color="auto"/>
              <w:right w:val="single" w:sz="4" w:space="0" w:color="auto"/>
            </w:tcBorders>
            <w:shd w:val="clear" w:color="auto" w:fill="auto"/>
            <w:noWrap/>
          </w:tcPr>
          <w:p w14:paraId="609E6514" w14:textId="77777777" w:rsidR="00087C99" w:rsidRPr="00E93C76" w:rsidRDefault="00087C99" w:rsidP="00087C99">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top w:val="single" w:sz="4" w:space="0" w:color="auto"/>
              <w:left w:val="nil"/>
              <w:bottom w:val="single" w:sz="4" w:space="0" w:color="auto"/>
              <w:right w:val="single" w:sz="4" w:space="0" w:color="auto"/>
            </w:tcBorders>
          </w:tcPr>
          <w:p w14:paraId="37989199"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22.2 (2020)</w:t>
            </w:r>
          </w:p>
        </w:tc>
        <w:tc>
          <w:tcPr>
            <w:tcW w:w="1080" w:type="dxa"/>
            <w:tcBorders>
              <w:top w:val="single" w:sz="4" w:space="0" w:color="auto"/>
              <w:left w:val="single" w:sz="4" w:space="0" w:color="auto"/>
              <w:bottom w:val="single" w:sz="4" w:space="0" w:color="auto"/>
              <w:right w:val="single" w:sz="4" w:space="0" w:color="auto"/>
            </w:tcBorders>
          </w:tcPr>
          <w:p w14:paraId="7316728C"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21.4</w:t>
            </w:r>
          </w:p>
        </w:tc>
        <w:tc>
          <w:tcPr>
            <w:tcW w:w="1157" w:type="dxa"/>
            <w:tcBorders>
              <w:top w:val="single" w:sz="4" w:space="0" w:color="auto"/>
              <w:left w:val="single" w:sz="4" w:space="0" w:color="auto"/>
              <w:bottom w:val="single" w:sz="4" w:space="0" w:color="auto"/>
              <w:right w:val="single" w:sz="4" w:space="0" w:color="auto"/>
            </w:tcBorders>
          </w:tcPr>
          <w:p w14:paraId="3F354824"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sz w:val="18"/>
                <w:szCs w:val="18"/>
              </w:rPr>
              <w:t>Decrease</w:t>
            </w:r>
          </w:p>
        </w:tc>
      </w:tr>
      <w:tr w:rsidR="00087C99" w:rsidRPr="00E93C76" w14:paraId="68F36B8D" w14:textId="77777777" w:rsidTr="00E6392C">
        <w:trPr>
          <w:trHeight w:val="389"/>
          <w:jc w:val="center"/>
        </w:trPr>
        <w:tc>
          <w:tcPr>
            <w:tcW w:w="4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4EC83" w14:textId="77777777" w:rsidR="00087C99" w:rsidRPr="00E93C76" w:rsidRDefault="00087C99" w:rsidP="00BC7315">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Indicator 5.b.1</w:t>
            </w:r>
            <w:r w:rsidRPr="00E93C76">
              <w:rPr>
                <w:rFonts w:asciiTheme="minorBidi" w:hAnsiTheme="minorBidi" w:cstheme="minorBidi"/>
                <w:sz w:val="18"/>
                <w:szCs w:val="18"/>
              </w:rPr>
              <w:t xml:space="preserve"> Proportion of individuals who own a mobile telephone, by sex (PCBS, </w:t>
            </w:r>
            <w:r w:rsidR="00BC7315" w:rsidRPr="00E93C76">
              <w:rPr>
                <w:rFonts w:asciiTheme="minorBidi" w:hAnsiTheme="minorBidi" w:cstheme="minorBidi"/>
                <w:sz w:val="18"/>
                <w:szCs w:val="18"/>
              </w:rPr>
              <w:t>2022</w:t>
            </w:r>
            <w:r w:rsidRPr="00E93C76">
              <w:rPr>
                <w:rFonts w:asciiTheme="minorBidi" w:hAnsiTheme="minorBidi" w:cstheme="minorBidi"/>
                <w:sz w:val="18"/>
                <w:szCs w:val="18"/>
              </w:rPr>
              <w:t xml:space="preserve">, </w:t>
            </w:r>
            <w:r w:rsidR="00816E66">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top w:val="single" w:sz="4" w:space="0" w:color="auto"/>
              <w:left w:val="nil"/>
              <w:bottom w:val="single" w:sz="4" w:space="0" w:color="auto"/>
              <w:right w:val="single" w:sz="4" w:space="0" w:color="auto"/>
            </w:tcBorders>
            <w:shd w:val="clear" w:color="auto" w:fill="auto"/>
            <w:noWrap/>
          </w:tcPr>
          <w:p w14:paraId="4A923089" w14:textId="77777777" w:rsidR="00087C99" w:rsidRPr="00E93C76" w:rsidRDefault="00087C99" w:rsidP="00087C99">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top w:val="single" w:sz="4" w:space="0" w:color="auto"/>
              <w:left w:val="nil"/>
              <w:bottom w:val="single" w:sz="4" w:space="0" w:color="auto"/>
              <w:right w:val="single" w:sz="4" w:space="0" w:color="auto"/>
            </w:tcBorders>
          </w:tcPr>
          <w:p w14:paraId="655CD487" w14:textId="77777777" w:rsidR="00087C99" w:rsidRPr="00446CF3" w:rsidRDefault="00BC7315" w:rsidP="00087C99">
            <w:pPr>
              <w:tabs>
                <w:tab w:val="left" w:pos="9072"/>
              </w:tabs>
              <w:spacing w:after="0" w:line="240" w:lineRule="auto"/>
              <w:ind w:right="57"/>
              <w:jc w:val="center"/>
              <w:rPr>
                <w:rFonts w:asciiTheme="minorBidi" w:hAnsiTheme="minorBidi" w:cstheme="minorBidi"/>
                <w:color w:val="000000"/>
                <w:sz w:val="18"/>
                <w:szCs w:val="18"/>
              </w:rPr>
            </w:pPr>
            <w:r w:rsidRPr="00446CF3">
              <w:rPr>
                <w:rFonts w:asciiTheme="minorBidi" w:hAnsiTheme="minorBidi" w:cstheme="minorBidi"/>
                <w:color w:val="000000"/>
                <w:sz w:val="18"/>
                <w:szCs w:val="18"/>
                <w:rtl/>
              </w:rPr>
              <w:t>(2019)</w:t>
            </w:r>
            <w:r w:rsidR="006246D1" w:rsidRPr="00446CF3">
              <w:rPr>
                <w:rFonts w:asciiTheme="minorBidi" w:hAnsiTheme="minorBidi" w:cstheme="minorBidi"/>
                <w:color w:val="000000"/>
                <w:sz w:val="18"/>
                <w:szCs w:val="18"/>
                <w:rtl/>
              </w:rPr>
              <w:t xml:space="preserve"> 74.9</w:t>
            </w:r>
          </w:p>
        </w:tc>
        <w:tc>
          <w:tcPr>
            <w:tcW w:w="1080" w:type="dxa"/>
            <w:tcBorders>
              <w:top w:val="single" w:sz="4" w:space="0" w:color="auto"/>
              <w:left w:val="single" w:sz="4" w:space="0" w:color="auto"/>
              <w:bottom w:val="single" w:sz="4" w:space="0" w:color="auto"/>
              <w:right w:val="single" w:sz="4" w:space="0" w:color="auto"/>
            </w:tcBorders>
          </w:tcPr>
          <w:p w14:paraId="35523A4D" w14:textId="77777777" w:rsidR="00087C99" w:rsidRPr="00446CF3" w:rsidRDefault="009B4B58" w:rsidP="00087C99">
            <w:pPr>
              <w:tabs>
                <w:tab w:val="left" w:pos="9072"/>
              </w:tabs>
              <w:spacing w:after="0" w:line="240" w:lineRule="auto"/>
              <w:ind w:right="57"/>
              <w:jc w:val="center"/>
              <w:rPr>
                <w:rFonts w:asciiTheme="minorBidi" w:hAnsiTheme="minorBidi" w:cstheme="minorBidi"/>
                <w:color w:val="000000"/>
                <w:sz w:val="18"/>
                <w:szCs w:val="18"/>
              </w:rPr>
            </w:pPr>
            <w:r w:rsidRPr="00446CF3">
              <w:rPr>
                <w:rFonts w:asciiTheme="minorBidi" w:hAnsiTheme="minorBidi" w:cstheme="minorBidi"/>
                <w:color w:val="000000"/>
                <w:sz w:val="18"/>
                <w:szCs w:val="18"/>
              </w:rPr>
              <w:t>79.2</w:t>
            </w:r>
          </w:p>
        </w:tc>
        <w:tc>
          <w:tcPr>
            <w:tcW w:w="1157" w:type="dxa"/>
            <w:tcBorders>
              <w:top w:val="single" w:sz="4" w:space="0" w:color="auto"/>
              <w:left w:val="single" w:sz="4" w:space="0" w:color="auto"/>
              <w:bottom w:val="single" w:sz="4" w:space="0" w:color="auto"/>
              <w:right w:val="single" w:sz="4" w:space="0" w:color="auto"/>
            </w:tcBorders>
          </w:tcPr>
          <w:p w14:paraId="2E936E18" w14:textId="77777777" w:rsidR="00087C99" w:rsidRPr="00446CF3" w:rsidRDefault="00087C99" w:rsidP="00087C99">
            <w:pPr>
              <w:tabs>
                <w:tab w:val="left" w:pos="9072"/>
              </w:tabs>
              <w:spacing w:after="0" w:line="240" w:lineRule="auto"/>
              <w:ind w:right="57"/>
              <w:jc w:val="center"/>
              <w:rPr>
                <w:rFonts w:asciiTheme="minorBidi" w:hAnsiTheme="minorBidi" w:cstheme="minorBidi"/>
                <w:sz w:val="18"/>
                <w:szCs w:val="18"/>
              </w:rPr>
            </w:pPr>
            <w:r w:rsidRPr="00446CF3">
              <w:rPr>
                <w:rFonts w:asciiTheme="minorBidi" w:hAnsiTheme="minorBidi" w:cstheme="minorBidi"/>
                <w:sz w:val="18"/>
                <w:szCs w:val="18"/>
              </w:rPr>
              <w:t>Increase</w:t>
            </w:r>
          </w:p>
        </w:tc>
      </w:tr>
      <w:tr w:rsidR="00087C99" w:rsidRPr="00E93C76" w14:paraId="32185443" w14:textId="77777777" w:rsidTr="00E6392C">
        <w:trPr>
          <w:trHeight w:val="389"/>
          <w:jc w:val="center"/>
        </w:trPr>
        <w:tc>
          <w:tcPr>
            <w:tcW w:w="4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20272" w14:textId="77777777" w:rsidR="00087C99" w:rsidRPr="00E93C76" w:rsidRDefault="00087C99" w:rsidP="00087C99">
            <w:pPr>
              <w:tabs>
                <w:tab w:val="left" w:pos="9072"/>
              </w:tabs>
              <w:bidi w:val="0"/>
              <w:spacing w:after="0" w:line="240" w:lineRule="auto"/>
              <w:rPr>
                <w:rFonts w:asciiTheme="minorBidi" w:hAnsiTheme="minorBidi" w:cstheme="minorBidi"/>
                <w:b/>
                <w:sz w:val="18"/>
                <w:szCs w:val="18"/>
              </w:rPr>
            </w:pPr>
            <w:r w:rsidRPr="00E93C76">
              <w:rPr>
                <w:rFonts w:asciiTheme="minorBidi" w:hAnsiTheme="minorBidi" w:cstheme="minorBidi"/>
                <w:b/>
                <w:sz w:val="18"/>
                <w:szCs w:val="18"/>
              </w:rPr>
              <w:lastRenderedPageBreak/>
              <w:t>Indicator 5.c.</w:t>
            </w:r>
            <w:r w:rsidRPr="00E93C76">
              <w:rPr>
                <w:rFonts w:asciiTheme="minorBidi" w:hAnsiTheme="minorBidi" w:cstheme="minorBidi"/>
                <w:sz w:val="18"/>
                <w:szCs w:val="18"/>
              </w:rPr>
              <w:t>1 Proportion of countries with systems to track and make public allocations for gender equality and women’s empowerment(</w:t>
            </w:r>
            <w:r w:rsidR="00624BB0">
              <w:rPr>
                <w:rFonts w:asciiTheme="minorBidi" w:hAnsiTheme="minorBidi" w:cstheme="minorBidi"/>
                <w:sz w:val="18"/>
                <w:szCs w:val="18"/>
              </w:rPr>
              <w:t>M</w:t>
            </w:r>
            <w:r w:rsidRPr="00E93C76">
              <w:rPr>
                <w:rFonts w:asciiTheme="minorBidi" w:hAnsiTheme="minorBidi" w:cstheme="minorBidi"/>
                <w:sz w:val="18"/>
                <w:szCs w:val="18"/>
              </w:rPr>
              <w:t xml:space="preserve">inistry of </w:t>
            </w:r>
            <w:r w:rsidR="00624BB0">
              <w:rPr>
                <w:rFonts w:asciiTheme="minorBidi" w:hAnsiTheme="minorBidi" w:cstheme="minorBidi"/>
                <w:sz w:val="18"/>
                <w:szCs w:val="18"/>
              </w:rPr>
              <w:t>F</w:t>
            </w:r>
            <w:r w:rsidRPr="00E93C76">
              <w:rPr>
                <w:rFonts w:asciiTheme="minorBidi" w:hAnsiTheme="minorBidi" w:cstheme="minorBidi"/>
                <w:sz w:val="18"/>
                <w:szCs w:val="18"/>
              </w:rPr>
              <w:t>inance, 2020, 0: Does not meet requirement/ 1: Approaches requirement/ 2: Fully meets requirement)</w:t>
            </w:r>
          </w:p>
        </w:tc>
        <w:tc>
          <w:tcPr>
            <w:tcW w:w="1118" w:type="dxa"/>
            <w:tcBorders>
              <w:top w:val="single" w:sz="4" w:space="0" w:color="auto"/>
              <w:left w:val="nil"/>
              <w:bottom w:val="single" w:sz="4" w:space="0" w:color="auto"/>
              <w:right w:val="single" w:sz="4" w:space="0" w:color="auto"/>
            </w:tcBorders>
            <w:shd w:val="clear" w:color="auto" w:fill="auto"/>
            <w:noWrap/>
          </w:tcPr>
          <w:p w14:paraId="79D4C3C6" w14:textId="77777777" w:rsidR="00087C99" w:rsidRPr="00E93C76" w:rsidRDefault="00087C99" w:rsidP="00087C99">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top w:val="single" w:sz="4" w:space="0" w:color="auto"/>
              <w:left w:val="nil"/>
              <w:bottom w:val="single" w:sz="4" w:space="0" w:color="auto"/>
              <w:right w:val="single" w:sz="4" w:space="0" w:color="auto"/>
            </w:tcBorders>
          </w:tcPr>
          <w:p w14:paraId="72678680"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89FDB35"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1</w:t>
            </w:r>
          </w:p>
        </w:tc>
        <w:tc>
          <w:tcPr>
            <w:tcW w:w="1157" w:type="dxa"/>
            <w:tcBorders>
              <w:top w:val="single" w:sz="4" w:space="0" w:color="auto"/>
              <w:left w:val="single" w:sz="4" w:space="0" w:color="auto"/>
              <w:bottom w:val="single" w:sz="4" w:space="0" w:color="auto"/>
              <w:right w:val="single" w:sz="4" w:space="0" w:color="auto"/>
            </w:tcBorders>
          </w:tcPr>
          <w:p w14:paraId="77A939B9"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FF0000"/>
                <w:sz w:val="18"/>
                <w:szCs w:val="18"/>
              </w:rPr>
            </w:pPr>
          </w:p>
        </w:tc>
      </w:tr>
    </w:tbl>
    <w:p w14:paraId="6A655119" w14:textId="77777777" w:rsidR="0071415F" w:rsidRDefault="0071415F" w:rsidP="0071415F">
      <w:pPr>
        <w:tabs>
          <w:tab w:val="left" w:pos="9072"/>
        </w:tabs>
        <w:bidi w:val="0"/>
        <w:spacing w:after="0" w:line="240" w:lineRule="auto"/>
        <w:jc w:val="center"/>
        <w:rPr>
          <w:rFonts w:ascii="Arial" w:hAnsi="Arial"/>
          <w:b/>
          <w:bCs/>
        </w:rPr>
      </w:pPr>
    </w:p>
    <w:p w14:paraId="4BE52637"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b. Reported </w:t>
      </w:r>
      <w:r w:rsidR="00816E66">
        <w:rPr>
          <w:rFonts w:ascii="Times New Roman" w:hAnsi="Times New Roman" w:cs="Times New Roman"/>
          <w:b/>
          <w:bCs/>
          <w:sz w:val="24"/>
          <w:szCs w:val="24"/>
        </w:rPr>
        <w:t>i</w:t>
      </w:r>
      <w:r w:rsidRPr="00540428">
        <w:rPr>
          <w:rFonts w:ascii="Times New Roman" w:hAnsi="Times New Roman" w:cs="Times New Roman"/>
          <w:b/>
          <w:bCs/>
          <w:sz w:val="24"/>
          <w:szCs w:val="24"/>
        </w:rPr>
        <w:t xml:space="preserve">ndicators by </w:t>
      </w:r>
      <w:r w:rsidR="00624BB0">
        <w:rPr>
          <w:rFonts w:ascii="Times New Roman" w:hAnsi="Times New Roman" w:cs="Times New Roman"/>
          <w:b/>
          <w:bCs/>
          <w:sz w:val="24"/>
          <w:szCs w:val="24"/>
        </w:rPr>
        <w:t>o</w:t>
      </w:r>
      <w:r>
        <w:rPr>
          <w:rFonts w:ascii="Times New Roman" w:hAnsi="Times New Roman" w:cs="Times New Roman"/>
          <w:b/>
          <w:bCs/>
          <w:sz w:val="24"/>
          <w:szCs w:val="24"/>
        </w:rPr>
        <w:t xml:space="preserve">ther </w:t>
      </w:r>
      <w:r w:rsidR="00624BB0">
        <w:rPr>
          <w:rFonts w:ascii="Times New Roman" w:hAnsi="Times New Roman" w:cs="Times New Roman"/>
          <w:b/>
          <w:bCs/>
          <w:sz w:val="24"/>
          <w:szCs w:val="24"/>
        </w:rPr>
        <w:t>s</w:t>
      </w:r>
      <w:r>
        <w:rPr>
          <w:rFonts w:ascii="Times New Roman" w:hAnsi="Times New Roman" w:cs="Times New Roman"/>
          <w:b/>
          <w:bCs/>
          <w:sz w:val="24"/>
          <w:szCs w:val="24"/>
        </w:rPr>
        <w:t>ources</w:t>
      </w:r>
    </w:p>
    <w:p w14:paraId="30F7E8AB" w14:textId="77777777" w:rsidR="0071415F" w:rsidRPr="001D5BA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 are</w:t>
      </w:r>
      <w:r w:rsidR="00624BB0">
        <w:rPr>
          <w:rFonts w:ascii="Times New Roman" w:hAnsi="Times New Roman" w:cs="Times New Roman"/>
          <w:sz w:val="24"/>
          <w:szCs w:val="24"/>
        </w:rPr>
        <w:t xml:space="preserve">three </w:t>
      </w:r>
      <w:r>
        <w:rPr>
          <w:rFonts w:ascii="Times New Roman" w:hAnsi="Times New Roman" w:cs="Times New Roman"/>
          <w:sz w:val="24"/>
          <w:szCs w:val="24"/>
        </w:rPr>
        <w:t>additional</w:t>
      </w:r>
      <w:r w:rsidRPr="00C134AE">
        <w:rPr>
          <w:rFonts w:ascii="Times New Roman" w:hAnsi="Times New Roman" w:cs="Times New Roman"/>
          <w:sz w:val="24"/>
          <w:szCs w:val="24"/>
        </w:rPr>
        <w:t xml:space="preserve">indicators </w:t>
      </w:r>
      <w:r w:rsidR="00624BB0">
        <w:rPr>
          <w:rFonts w:ascii="Times New Roman" w:hAnsi="Times New Roman" w:cs="Times New Roman"/>
          <w:sz w:val="24"/>
          <w:szCs w:val="24"/>
        </w:rPr>
        <w:t xml:space="preserve">reported </w:t>
      </w:r>
      <w:r w:rsidRPr="00C134AE">
        <w:rPr>
          <w:rFonts w:ascii="Times New Roman" w:hAnsi="Times New Roman" w:cs="Times New Roman"/>
          <w:sz w:val="24"/>
          <w:szCs w:val="24"/>
        </w:rPr>
        <w:t>by</w:t>
      </w:r>
      <w:r>
        <w:rPr>
          <w:rFonts w:ascii="Times New Roman" w:hAnsi="Times New Roman" w:cs="Times New Roman"/>
          <w:sz w:val="24"/>
          <w:szCs w:val="24"/>
        </w:rPr>
        <w:t xml:space="preserve"> other sources that </w:t>
      </w:r>
      <w:r w:rsidR="00624BB0">
        <w:rPr>
          <w:rFonts w:ascii="Times New Roman" w:hAnsi="Times New Roman" w:cs="Times New Roman"/>
          <w:sz w:val="24"/>
          <w:szCs w:val="24"/>
        </w:rPr>
        <w:t xml:space="preserve">are </w:t>
      </w:r>
      <w:r>
        <w:rPr>
          <w:rFonts w:ascii="Times New Roman" w:hAnsi="Times New Roman" w:cs="Times New Roman"/>
          <w:sz w:val="24"/>
          <w:szCs w:val="24"/>
        </w:rPr>
        <w:t>available on</w:t>
      </w:r>
      <w:r w:rsidRPr="001D5BA6">
        <w:rPr>
          <w:rFonts w:ascii="Times New Roman" w:hAnsi="Times New Roman" w:cs="Times New Roman"/>
          <w:sz w:val="24"/>
          <w:szCs w:val="24"/>
        </w:rPr>
        <w:t>UNSD-Database</w:t>
      </w:r>
      <w:r>
        <w:rPr>
          <w:rFonts w:ascii="Times New Roman" w:hAnsi="Times New Roman" w:cs="Times New Roman"/>
          <w:sz w:val="24"/>
          <w:szCs w:val="24"/>
        </w:rPr>
        <w:t xml:space="preserve"> for Goal 5 </w:t>
      </w:r>
      <w:r w:rsidRPr="00C134AE">
        <w:rPr>
          <w:rFonts w:ascii="Times New Roman" w:hAnsi="Times New Roman" w:cs="Times New Roman"/>
          <w:sz w:val="24"/>
          <w:szCs w:val="24"/>
        </w:rPr>
        <w:t xml:space="preserve">referring to </w:t>
      </w:r>
      <w:r w:rsidR="00624BB0">
        <w:rPr>
          <w:rFonts w:ascii="Times New Roman" w:hAnsi="Times New Roman" w:cs="Times New Roman"/>
          <w:sz w:val="24"/>
          <w:szCs w:val="24"/>
        </w:rPr>
        <w:t>three</w:t>
      </w:r>
      <w:r w:rsidRPr="00C134AE">
        <w:rPr>
          <w:rFonts w:ascii="Times New Roman" w:hAnsi="Times New Roman" w:cs="Times New Roman"/>
          <w:sz w:val="24"/>
          <w:szCs w:val="24"/>
        </w:rPr>
        <w:t xml:space="preserve">of the </w:t>
      </w:r>
      <w:r w:rsidR="00624BB0">
        <w:rPr>
          <w:rFonts w:ascii="Times New Roman" w:hAnsi="Times New Roman" w:cs="Times New Roman"/>
          <w:sz w:val="24"/>
          <w:szCs w:val="24"/>
        </w:rPr>
        <w:t>nine</w:t>
      </w:r>
      <w:r w:rsidRPr="00C134AE">
        <w:rPr>
          <w:rFonts w:ascii="Times New Roman" w:hAnsi="Times New Roman" w:cs="Times New Roman"/>
          <w:sz w:val="24"/>
          <w:szCs w:val="24"/>
        </w:rPr>
        <w:t xml:space="preserve"> targets</w:t>
      </w:r>
      <w:r w:rsidR="003D20F9">
        <w:rPr>
          <w:rFonts w:ascii="Times New Roman" w:hAnsi="Times New Roman" w:cs="Times New Roman"/>
          <w:sz w:val="24"/>
          <w:szCs w:val="24"/>
        </w:rPr>
        <w:t>; t</w:t>
      </w:r>
      <w:r w:rsidRPr="001D5BA6">
        <w:rPr>
          <w:rFonts w:ascii="Times New Roman" w:hAnsi="Times New Roman" w:cs="Times New Roman"/>
          <w:sz w:val="24"/>
          <w:szCs w:val="24"/>
        </w:rPr>
        <w:t xml:space="preserve">herefore, all of the goal targets </w:t>
      </w:r>
      <w:r w:rsidR="00624BB0">
        <w:rPr>
          <w:rFonts w:ascii="Times New Roman" w:hAnsi="Times New Roman" w:cs="Times New Roman"/>
          <w:sz w:val="24"/>
          <w:szCs w:val="24"/>
        </w:rPr>
        <w:t xml:space="preserve">have </w:t>
      </w:r>
      <w:r w:rsidRPr="001D5BA6">
        <w:rPr>
          <w:rFonts w:ascii="Times New Roman" w:hAnsi="Times New Roman" w:cs="Times New Roman"/>
          <w:sz w:val="24"/>
          <w:szCs w:val="24"/>
        </w:rPr>
        <w:t xml:space="preserve">either </w:t>
      </w:r>
      <w:r w:rsidR="00624BB0">
        <w:rPr>
          <w:rFonts w:ascii="Times New Roman" w:hAnsi="Times New Roman" w:cs="Times New Roman"/>
          <w:sz w:val="24"/>
          <w:szCs w:val="24"/>
        </w:rPr>
        <w:t>been</w:t>
      </w:r>
      <w:r w:rsidRPr="001D5BA6">
        <w:rPr>
          <w:rFonts w:ascii="Times New Roman" w:hAnsi="Times New Roman" w:cs="Times New Roman"/>
          <w:sz w:val="24"/>
          <w:szCs w:val="24"/>
        </w:rPr>
        <w:t>fully or partially</w:t>
      </w:r>
      <w:r w:rsidR="00624BB0">
        <w:rPr>
          <w:rFonts w:ascii="Times New Roman" w:hAnsi="Times New Roman" w:cs="Times New Roman"/>
          <w:sz w:val="24"/>
          <w:szCs w:val="24"/>
        </w:rPr>
        <w:t xml:space="preserve"> covered</w:t>
      </w:r>
      <w:r w:rsidRPr="001D5BA6">
        <w:rPr>
          <w:rFonts w:ascii="Times New Roman" w:hAnsi="Times New Roman" w:cs="Times New Roman"/>
          <w:sz w:val="24"/>
          <w:szCs w:val="24"/>
        </w:rPr>
        <w:t>.</w:t>
      </w:r>
    </w:p>
    <w:p w14:paraId="31A5B60C"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D45C09A" w14:textId="77777777" w:rsidR="00624BB0" w:rsidRDefault="0071415F" w:rsidP="0071415F">
      <w:pPr>
        <w:bidi w:val="0"/>
        <w:spacing w:after="0" w:line="240" w:lineRule="auto"/>
        <w:jc w:val="center"/>
        <w:rPr>
          <w:rFonts w:asciiTheme="minorBidi" w:hAnsiTheme="minorBidi" w:cstheme="minorBidi"/>
          <w:b/>
          <w:bCs/>
          <w:lang w:eastAsia="ar-SA"/>
        </w:rPr>
      </w:pPr>
      <w:r w:rsidRPr="00E93C76">
        <w:rPr>
          <w:rFonts w:asciiTheme="minorBidi" w:hAnsiTheme="minorBidi" w:cstheme="minorBidi"/>
          <w:b/>
          <w:bCs/>
          <w:lang w:eastAsia="ar-SA"/>
        </w:rPr>
        <w:t xml:space="preserve">Table 5.2: List of SDGs indicators </w:t>
      </w:r>
    </w:p>
    <w:p w14:paraId="37FAB068" w14:textId="77777777" w:rsidR="0071415F" w:rsidRPr="00E93C76" w:rsidRDefault="00624BB0" w:rsidP="00624BB0">
      <w:pPr>
        <w:bidi w:val="0"/>
        <w:spacing w:after="0" w:line="240" w:lineRule="auto"/>
        <w:jc w:val="center"/>
        <w:rPr>
          <w:rFonts w:asciiTheme="minorBidi" w:hAnsiTheme="minorBidi" w:cstheme="minorBidi"/>
          <w:b/>
          <w:bCs/>
          <w:lang w:eastAsia="ar-SA"/>
        </w:rPr>
      </w:pPr>
      <w:r>
        <w:rPr>
          <w:rFonts w:asciiTheme="minorBidi" w:hAnsiTheme="minorBidi" w:cstheme="minorBidi"/>
          <w:b/>
          <w:bCs/>
          <w:lang w:eastAsia="ar-SA"/>
        </w:rPr>
        <w:t>R</w:t>
      </w:r>
      <w:r w:rsidR="0071415F" w:rsidRPr="00E93C76">
        <w:rPr>
          <w:rFonts w:asciiTheme="minorBidi" w:hAnsiTheme="minorBidi" w:cstheme="minorBidi"/>
          <w:b/>
          <w:bCs/>
          <w:lang w:eastAsia="ar-SA"/>
        </w:rPr>
        <w:t xml:space="preserve">eleased by </w:t>
      </w:r>
      <w:r w:rsidR="0071415F" w:rsidRPr="00E93C76">
        <w:rPr>
          <w:rFonts w:asciiTheme="minorBidi" w:hAnsiTheme="minorBidi" w:cstheme="minorBidi"/>
          <w:b/>
          <w:bCs/>
        </w:rPr>
        <w:t>Other Sources</w:t>
      </w:r>
    </w:p>
    <w:p w14:paraId="274E652B" w14:textId="77777777" w:rsidR="0071415F" w:rsidRPr="00080517" w:rsidRDefault="0071415F" w:rsidP="0071415F">
      <w:pPr>
        <w:bidi w:val="0"/>
        <w:spacing w:after="0" w:line="240" w:lineRule="auto"/>
        <w:jc w:val="center"/>
        <w:rPr>
          <w:rStyle w:val="Bodytext8pt"/>
          <w:bCs w:val="0"/>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BD3E97" w14:paraId="0D8580B7" w14:textId="77777777" w:rsidTr="005404F9">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8BDEDE" w14:textId="77777777" w:rsidR="0071415F" w:rsidRPr="00BD3E97" w:rsidRDefault="0071415F" w:rsidP="0071415F">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61F19F9F" w14:textId="77777777" w:rsidR="0071415F" w:rsidRPr="00BD3E97" w:rsidRDefault="0071415F" w:rsidP="0071415F">
            <w:pPr>
              <w:bidi w:val="0"/>
              <w:spacing w:after="0" w:line="240" w:lineRule="auto"/>
              <w:jc w:val="center"/>
              <w:rPr>
                <w:rFonts w:asciiTheme="minorBidi" w:hAnsiTheme="minorBidi" w:cstheme="minorBidi"/>
              </w:rPr>
            </w:pPr>
            <w:r w:rsidRPr="00BD3E97">
              <w:rPr>
                <w:rFonts w:asciiTheme="minorBidi" w:hAnsiTheme="minorBidi" w:cstheme="minorBidi"/>
                <w:b/>
                <w:bCs/>
                <w:sz w:val="18"/>
                <w:szCs w:val="18"/>
              </w:rPr>
              <w:t>Most Recent Year</w:t>
            </w:r>
          </w:p>
        </w:tc>
      </w:tr>
      <w:tr w:rsidR="0071415F" w:rsidRPr="00BD3E97" w14:paraId="25C61A34" w14:textId="77777777" w:rsidTr="005404F9">
        <w:trPr>
          <w:trHeight w:val="576"/>
        </w:trPr>
        <w:tc>
          <w:tcPr>
            <w:tcW w:w="6826" w:type="dxa"/>
            <w:tcBorders>
              <w:top w:val="single" w:sz="4" w:space="0" w:color="auto"/>
              <w:left w:val="single" w:sz="4" w:space="0" w:color="auto"/>
              <w:right w:val="single" w:sz="4" w:space="0" w:color="auto"/>
            </w:tcBorders>
            <w:shd w:val="clear" w:color="auto" w:fill="auto"/>
            <w:noWrap/>
            <w:vAlign w:val="center"/>
          </w:tcPr>
          <w:p w14:paraId="55A799D0" w14:textId="77777777" w:rsidR="0071415F" w:rsidRPr="00BD3E97" w:rsidRDefault="0071415F" w:rsidP="005404F9">
            <w:pPr>
              <w:tabs>
                <w:tab w:val="left" w:pos="9072"/>
              </w:tabs>
              <w:bidi w:val="0"/>
              <w:spacing w:after="0" w:line="240" w:lineRule="auto"/>
              <w:rPr>
                <w:rFonts w:asciiTheme="minorBidi" w:hAnsiTheme="minorBidi" w:cstheme="minorBidi"/>
                <w:color w:val="000000"/>
                <w:sz w:val="18"/>
                <w:szCs w:val="18"/>
              </w:rPr>
            </w:pPr>
            <w:r w:rsidRPr="00BD3E97">
              <w:rPr>
                <w:rFonts w:asciiTheme="minorBidi" w:hAnsiTheme="minorBidi" w:cstheme="minorBidi"/>
                <w:b/>
                <w:sz w:val="18"/>
                <w:szCs w:val="18"/>
              </w:rPr>
              <w:t>Indicator</w:t>
            </w:r>
            <w:r w:rsidRPr="00BD3E97">
              <w:rPr>
                <w:rFonts w:asciiTheme="minorBidi" w:hAnsiTheme="minorBidi" w:cstheme="minorBidi"/>
                <w:b/>
                <w:bCs/>
                <w:sz w:val="18"/>
                <w:szCs w:val="18"/>
              </w:rPr>
              <w:t xml:space="preserve">5.1.1 </w:t>
            </w:r>
            <w:r w:rsidRPr="00BD3E97">
              <w:rPr>
                <w:rFonts w:asciiTheme="minorBidi" w:hAnsiTheme="minorBidi" w:cstheme="minorBidi"/>
                <w:sz w:val="18"/>
                <w:szCs w:val="18"/>
              </w:rPr>
              <w:t>Whether or not legal frameworks are in place to promote, enforce</w:t>
            </w:r>
            <w:r w:rsidR="00624BB0">
              <w:rPr>
                <w:rFonts w:asciiTheme="minorBidi" w:hAnsiTheme="minorBidi" w:cstheme="minorBidi"/>
                <w:sz w:val="18"/>
                <w:szCs w:val="18"/>
              </w:rPr>
              <w:t>,</w:t>
            </w:r>
            <w:r w:rsidRPr="00BD3E97">
              <w:rPr>
                <w:rFonts w:asciiTheme="minorBidi" w:hAnsiTheme="minorBidi" w:cstheme="minorBidi"/>
                <w:sz w:val="18"/>
                <w:szCs w:val="18"/>
              </w:rPr>
              <w:t xml:space="preserve"> and monitor equality and non</w:t>
            </w:r>
            <w:r w:rsidRPr="00BD3E97">
              <w:rPr>
                <w:rFonts w:ascii="Cambria Math" w:hAnsi="Cambria Math" w:cs="Cambria Math"/>
                <w:sz w:val="18"/>
                <w:szCs w:val="18"/>
              </w:rPr>
              <w:t>‑</w:t>
            </w:r>
            <w:r w:rsidRPr="00BD3E97">
              <w:rPr>
                <w:rFonts w:asciiTheme="minorBidi" w:hAnsiTheme="minorBidi" w:cstheme="minorBidi"/>
                <w:sz w:val="18"/>
                <w:szCs w:val="18"/>
              </w:rPr>
              <w:t>discrimination on the basis of sex</w:t>
            </w:r>
          </w:p>
        </w:tc>
        <w:tc>
          <w:tcPr>
            <w:tcW w:w="2234" w:type="dxa"/>
            <w:tcBorders>
              <w:top w:val="single" w:sz="4" w:space="0" w:color="auto"/>
              <w:left w:val="nil"/>
              <w:right w:val="single" w:sz="4" w:space="0" w:color="auto"/>
            </w:tcBorders>
            <w:vAlign w:val="center"/>
          </w:tcPr>
          <w:p w14:paraId="19C49648" w14:textId="77777777" w:rsidR="0071415F" w:rsidRPr="00BD3E97" w:rsidRDefault="0071415F" w:rsidP="005404F9">
            <w:pPr>
              <w:spacing w:after="0" w:line="240" w:lineRule="auto"/>
              <w:ind w:right="57"/>
              <w:jc w:val="center"/>
              <w:rPr>
                <w:rFonts w:asciiTheme="minorBidi" w:hAnsiTheme="minorBidi" w:cstheme="minorBidi"/>
                <w:color w:val="000000"/>
                <w:sz w:val="18"/>
                <w:szCs w:val="18"/>
              </w:rPr>
            </w:pPr>
            <w:r w:rsidRPr="00BD3E97">
              <w:rPr>
                <w:rFonts w:asciiTheme="minorBidi" w:hAnsiTheme="minorBidi" w:cstheme="minorBidi"/>
                <w:color w:val="000000"/>
                <w:sz w:val="18"/>
                <w:szCs w:val="18"/>
                <w:rtl/>
              </w:rPr>
              <w:t>2020</w:t>
            </w:r>
          </w:p>
        </w:tc>
      </w:tr>
      <w:tr w:rsidR="0071415F" w:rsidRPr="00BD3E97" w14:paraId="7FC7887D" w14:textId="77777777" w:rsidTr="005404F9">
        <w:trPr>
          <w:trHeight w:val="576"/>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812C2" w14:textId="77777777" w:rsidR="0071415F" w:rsidRPr="00BD3E97" w:rsidRDefault="0071415F" w:rsidP="005404F9">
            <w:pPr>
              <w:tabs>
                <w:tab w:val="left" w:pos="9072"/>
              </w:tabs>
              <w:bidi w:val="0"/>
              <w:spacing w:after="0" w:line="240" w:lineRule="auto"/>
              <w:rPr>
                <w:rFonts w:asciiTheme="minorBidi" w:hAnsiTheme="minorBidi" w:cstheme="minorBidi"/>
                <w:color w:val="000000"/>
                <w:sz w:val="18"/>
                <w:szCs w:val="18"/>
              </w:rPr>
            </w:pPr>
            <w:r w:rsidRPr="00BD3E97">
              <w:rPr>
                <w:rFonts w:asciiTheme="minorBidi" w:hAnsiTheme="minorBidi" w:cstheme="minorBidi"/>
                <w:b/>
                <w:sz w:val="18"/>
                <w:szCs w:val="18"/>
              </w:rPr>
              <w:t>Indicator</w:t>
            </w:r>
            <w:r w:rsidRPr="00BD3E97">
              <w:rPr>
                <w:rFonts w:asciiTheme="minorBidi" w:hAnsiTheme="minorBidi" w:cstheme="minorBidi"/>
                <w:b/>
                <w:color w:val="000000"/>
                <w:sz w:val="18"/>
                <w:szCs w:val="18"/>
              </w:rPr>
              <w:t xml:space="preserve"> 5.6.2</w:t>
            </w:r>
            <w:r w:rsidRPr="00BD3E97">
              <w:rPr>
                <w:rFonts w:asciiTheme="minorBidi" w:hAnsiTheme="minorBidi" w:cstheme="minorBidi"/>
                <w:color w:val="000000"/>
                <w:sz w:val="18"/>
                <w:szCs w:val="18"/>
              </w:rPr>
              <w:t xml:space="preserve"> Number of countries with laws and regulations that guarantee full and equal access to women and men aged 15 years and older to sexual and reproductive health care, information and education</w:t>
            </w:r>
          </w:p>
        </w:tc>
        <w:tc>
          <w:tcPr>
            <w:tcW w:w="2234" w:type="dxa"/>
            <w:tcBorders>
              <w:top w:val="single" w:sz="4" w:space="0" w:color="auto"/>
              <w:left w:val="nil"/>
              <w:bottom w:val="single" w:sz="4" w:space="0" w:color="auto"/>
              <w:right w:val="single" w:sz="4" w:space="0" w:color="auto"/>
            </w:tcBorders>
            <w:vAlign w:val="center"/>
          </w:tcPr>
          <w:p w14:paraId="51247C75" w14:textId="77777777" w:rsidR="0071415F" w:rsidRPr="00BD3E97" w:rsidRDefault="0071415F" w:rsidP="005404F9">
            <w:pPr>
              <w:tabs>
                <w:tab w:val="left" w:pos="9072"/>
              </w:tabs>
              <w:spacing w:after="0" w:line="240" w:lineRule="auto"/>
              <w:ind w:right="57"/>
              <w:jc w:val="center"/>
              <w:rPr>
                <w:rFonts w:asciiTheme="minorBidi" w:hAnsiTheme="minorBidi" w:cstheme="minorBidi"/>
                <w:color w:val="000000"/>
                <w:sz w:val="18"/>
                <w:szCs w:val="18"/>
                <w:rtl/>
              </w:rPr>
            </w:pPr>
            <w:r w:rsidRPr="00BD3E97">
              <w:rPr>
                <w:rFonts w:asciiTheme="minorBidi" w:hAnsiTheme="minorBidi" w:cstheme="minorBidi"/>
                <w:color w:val="000000"/>
                <w:sz w:val="18"/>
                <w:szCs w:val="18"/>
                <w:rtl/>
              </w:rPr>
              <w:t>2022</w:t>
            </w:r>
          </w:p>
        </w:tc>
      </w:tr>
      <w:tr w:rsidR="0071415F" w:rsidRPr="00BD3E97" w14:paraId="34DB59F5" w14:textId="77777777" w:rsidTr="005404F9">
        <w:trPr>
          <w:trHeight w:val="576"/>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C2A82" w14:textId="77777777" w:rsidR="0071415F" w:rsidRPr="00BD3E97" w:rsidRDefault="0071415F" w:rsidP="005404F9">
            <w:pPr>
              <w:tabs>
                <w:tab w:val="left" w:pos="9072"/>
              </w:tabs>
              <w:bidi w:val="0"/>
              <w:spacing w:after="0" w:line="240" w:lineRule="auto"/>
              <w:rPr>
                <w:rFonts w:asciiTheme="minorBidi" w:hAnsiTheme="minorBidi" w:cstheme="minorBidi"/>
                <w:color w:val="000000"/>
                <w:sz w:val="18"/>
                <w:szCs w:val="18"/>
              </w:rPr>
            </w:pPr>
            <w:r w:rsidRPr="00BD3E97">
              <w:rPr>
                <w:rFonts w:asciiTheme="minorBidi" w:hAnsiTheme="minorBidi" w:cstheme="minorBidi"/>
                <w:b/>
                <w:sz w:val="18"/>
                <w:szCs w:val="18"/>
              </w:rPr>
              <w:t>Indicator</w:t>
            </w:r>
            <w:r w:rsidRPr="00BD3E97">
              <w:rPr>
                <w:rFonts w:asciiTheme="minorBidi" w:hAnsiTheme="minorBidi" w:cstheme="minorBidi"/>
                <w:b/>
                <w:color w:val="000000"/>
                <w:sz w:val="18"/>
                <w:szCs w:val="18"/>
              </w:rPr>
              <w:t xml:space="preserve"> 5.a.2</w:t>
            </w:r>
            <w:r w:rsidRPr="00BD3E97">
              <w:rPr>
                <w:rFonts w:asciiTheme="minorBidi" w:hAnsiTheme="minorBidi" w:cstheme="minorBidi"/>
                <w:color w:val="000000"/>
                <w:sz w:val="18"/>
                <w:szCs w:val="18"/>
              </w:rPr>
              <w:t xml:space="preserve"> Proportion of countries where the legal framework (including customary law) guarantees women’s equal rights to land ownership and/or control</w:t>
            </w:r>
          </w:p>
        </w:tc>
        <w:tc>
          <w:tcPr>
            <w:tcW w:w="2234" w:type="dxa"/>
            <w:tcBorders>
              <w:top w:val="single" w:sz="4" w:space="0" w:color="auto"/>
              <w:left w:val="nil"/>
              <w:bottom w:val="single" w:sz="4" w:space="0" w:color="auto"/>
              <w:right w:val="single" w:sz="4" w:space="0" w:color="auto"/>
            </w:tcBorders>
            <w:vAlign w:val="center"/>
          </w:tcPr>
          <w:p w14:paraId="478783E2" w14:textId="77777777" w:rsidR="0071415F" w:rsidRPr="00BD3E97" w:rsidRDefault="0071415F" w:rsidP="005404F9">
            <w:pPr>
              <w:tabs>
                <w:tab w:val="left" w:pos="9072"/>
              </w:tabs>
              <w:spacing w:after="0" w:line="240" w:lineRule="auto"/>
              <w:ind w:right="57"/>
              <w:jc w:val="center"/>
              <w:rPr>
                <w:rFonts w:asciiTheme="minorBidi" w:hAnsiTheme="minorBidi" w:cstheme="minorBidi"/>
                <w:color w:val="000000"/>
                <w:sz w:val="18"/>
                <w:szCs w:val="18"/>
              </w:rPr>
            </w:pPr>
            <w:r w:rsidRPr="00BD3E97">
              <w:rPr>
                <w:rFonts w:asciiTheme="minorBidi" w:hAnsiTheme="minorBidi" w:cstheme="minorBidi"/>
                <w:color w:val="000000"/>
                <w:sz w:val="18"/>
                <w:szCs w:val="18"/>
                <w:rtl/>
              </w:rPr>
              <w:t>2021</w:t>
            </w:r>
          </w:p>
        </w:tc>
      </w:tr>
    </w:tbl>
    <w:p w14:paraId="5E16D236" w14:textId="77777777" w:rsidR="0071415F" w:rsidRPr="00F24DAC" w:rsidRDefault="0071415F" w:rsidP="0071415F">
      <w:pPr>
        <w:tabs>
          <w:tab w:val="left" w:pos="9072"/>
        </w:tabs>
        <w:bidi w:val="0"/>
        <w:spacing w:after="0" w:line="240" w:lineRule="auto"/>
        <w:jc w:val="center"/>
        <w:rPr>
          <w:rFonts w:ascii="Arial" w:hAnsi="Arial"/>
          <w:b/>
          <w:bCs/>
        </w:rPr>
      </w:pPr>
    </w:p>
    <w:p w14:paraId="2C8B4307" w14:textId="77777777" w:rsidR="0071415F" w:rsidRDefault="0071415F" w:rsidP="00C03B9B">
      <w:pPr>
        <w:autoSpaceDE w:val="0"/>
        <w:autoSpaceDN w:val="0"/>
        <w:bidi w:val="0"/>
        <w:adjustRightInd w:val="0"/>
        <w:spacing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5.2.1 Proportion of ever-partnered women and girls aged 15 years and older subjected to physical, sexual or psychological violence by a current or former intimate partner in the previous 12 months, by form of violence and by age.</w:t>
      </w:r>
    </w:p>
    <w:p w14:paraId="75971C1C"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About </w:t>
      </w:r>
      <w:r>
        <w:rPr>
          <w:rFonts w:ascii="Times New Roman" w:hAnsi="Times New Roman" w:cs="Times New Roman"/>
          <w:sz w:val="24"/>
          <w:szCs w:val="24"/>
        </w:rPr>
        <w:t>58.2</w:t>
      </w:r>
      <w:r w:rsidRPr="00540428">
        <w:rPr>
          <w:rFonts w:ascii="Times New Roman" w:hAnsi="Times New Roman" w:cs="Times New Roman"/>
          <w:sz w:val="24"/>
          <w:szCs w:val="24"/>
        </w:rPr>
        <w:t xml:space="preserve">% of </w:t>
      </w:r>
      <w:r>
        <w:rPr>
          <w:rFonts w:ascii="Times New Roman" w:hAnsi="Times New Roman" w:cs="Times New Roman"/>
          <w:sz w:val="24"/>
          <w:szCs w:val="24"/>
        </w:rPr>
        <w:t xml:space="preserve">ever </w:t>
      </w:r>
      <w:r w:rsidRPr="00540428">
        <w:rPr>
          <w:rFonts w:ascii="Times New Roman" w:hAnsi="Times New Roman" w:cs="Times New Roman"/>
          <w:sz w:val="24"/>
          <w:szCs w:val="24"/>
        </w:rPr>
        <w:t>married women were exposed to violence from the husband in Palestine in 2019</w:t>
      </w:r>
      <w:r w:rsidR="00624BB0">
        <w:rPr>
          <w:rFonts w:ascii="Times New Roman" w:hAnsi="Times New Roman" w:cs="Times New Roman"/>
          <w:sz w:val="24"/>
          <w:szCs w:val="24"/>
        </w:rPr>
        <w:t xml:space="preserve"> representing</w:t>
      </w:r>
      <w:r>
        <w:rPr>
          <w:rFonts w:ascii="Times New Roman" w:hAnsi="Times New Roman" w:cs="Times New Roman"/>
          <w:sz w:val="24"/>
          <w:szCs w:val="24"/>
        </w:rPr>
        <w:t>51.5</w:t>
      </w:r>
      <w:r w:rsidRPr="00540428">
        <w:rPr>
          <w:rFonts w:ascii="Times New Roman" w:hAnsi="Times New Roman" w:cs="Times New Roman"/>
          <w:sz w:val="24"/>
          <w:szCs w:val="24"/>
        </w:rPr>
        <w:t xml:space="preserve">% in the West Bank and </w:t>
      </w:r>
      <w:r>
        <w:rPr>
          <w:rFonts w:ascii="Times New Roman" w:hAnsi="Times New Roman" w:cs="Times New Roman" w:hint="cs"/>
          <w:sz w:val="24"/>
          <w:szCs w:val="24"/>
          <w:rtl/>
        </w:rPr>
        <w:t>68.9</w:t>
      </w:r>
      <w:r w:rsidRPr="00540428">
        <w:rPr>
          <w:rFonts w:ascii="Times New Roman" w:hAnsi="Times New Roman" w:cs="Times New Roman"/>
          <w:sz w:val="24"/>
          <w:szCs w:val="24"/>
        </w:rPr>
        <w:t xml:space="preserve">% in </w:t>
      </w:r>
      <w:r w:rsidR="00624BB0">
        <w:rPr>
          <w:rFonts w:ascii="Times New Roman" w:hAnsi="Times New Roman" w:cs="Times New Roman"/>
          <w:sz w:val="24"/>
          <w:szCs w:val="24"/>
        </w:rPr>
        <w:t xml:space="preserve">the </w:t>
      </w:r>
      <w:r w:rsidRPr="00540428">
        <w:rPr>
          <w:rFonts w:ascii="Times New Roman" w:hAnsi="Times New Roman" w:cs="Times New Roman"/>
          <w:sz w:val="24"/>
          <w:szCs w:val="24"/>
        </w:rPr>
        <w:t>Gaza Strip</w:t>
      </w:r>
      <w:r>
        <w:rPr>
          <w:rFonts w:ascii="Times New Roman" w:hAnsi="Times New Roman" w:cs="Times New Roman"/>
          <w:sz w:val="24"/>
          <w:szCs w:val="24"/>
        </w:rPr>
        <w:t>.</w:t>
      </w:r>
    </w:p>
    <w:p w14:paraId="411E63B2" w14:textId="77777777" w:rsidR="00E02452" w:rsidRDefault="00E02452" w:rsidP="00E02452">
      <w:pPr>
        <w:tabs>
          <w:tab w:val="left" w:pos="9072"/>
        </w:tabs>
        <w:bidi w:val="0"/>
        <w:spacing w:after="0" w:line="240" w:lineRule="auto"/>
        <w:jc w:val="center"/>
        <w:rPr>
          <w:rFonts w:ascii="Arial" w:hAnsi="Arial"/>
          <w:b/>
          <w:bCs/>
        </w:rPr>
      </w:pPr>
    </w:p>
    <w:p w14:paraId="45E37184" w14:textId="77777777" w:rsidR="0071415F" w:rsidRPr="00CD5DFB" w:rsidRDefault="0071415F" w:rsidP="00E02452">
      <w:pPr>
        <w:tabs>
          <w:tab w:val="left" w:pos="9072"/>
        </w:tabs>
        <w:bidi w:val="0"/>
        <w:spacing w:after="0" w:line="240" w:lineRule="auto"/>
        <w:jc w:val="center"/>
        <w:rPr>
          <w:rFonts w:ascii="Arial" w:hAnsi="Arial"/>
          <w:b/>
          <w:bCs/>
        </w:rPr>
      </w:pPr>
      <w:r w:rsidRPr="00CD5DFB">
        <w:rPr>
          <w:rFonts w:ascii="Arial" w:hAnsi="Arial"/>
          <w:b/>
          <w:bCs/>
        </w:rPr>
        <w:t xml:space="preserve">Percentage of Ever Married Women (15-64) </w:t>
      </w:r>
      <w:r w:rsidR="003D20F9">
        <w:rPr>
          <w:rFonts w:ascii="Arial" w:hAnsi="Arial"/>
          <w:b/>
          <w:bCs/>
        </w:rPr>
        <w:t>that</w:t>
      </w:r>
      <w:r w:rsidRPr="00CD5DFB">
        <w:rPr>
          <w:rFonts w:ascii="Arial" w:hAnsi="Arial"/>
          <w:b/>
          <w:bCs/>
        </w:rPr>
        <w:t xml:space="preserve"> were Exposed to Violence from the Husband during the </w:t>
      </w:r>
      <w:r w:rsidR="003D20F9">
        <w:rPr>
          <w:rFonts w:ascii="Arial" w:hAnsi="Arial"/>
          <w:b/>
          <w:bCs/>
        </w:rPr>
        <w:t xml:space="preserve">Past </w:t>
      </w:r>
      <w:r w:rsidRPr="00CD5DFB">
        <w:rPr>
          <w:rFonts w:ascii="Arial" w:hAnsi="Arial"/>
          <w:b/>
          <w:bCs/>
        </w:rPr>
        <w:t xml:space="preserve">12 </w:t>
      </w:r>
      <w:r w:rsidR="00AC2E62" w:rsidRPr="00CD5DFB">
        <w:rPr>
          <w:rFonts w:ascii="Arial" w:hAnsi="Arial"/>
          <w:b/>
          <w:bCs/>
        </w:rPr>
        <w:t xml:space="preserve">Months </w:t>
      </w:r>
      <w:r w:rsidR="003D20F9">
        <w:rPr>
          <w:rFonts w:ascii="Arial" w:hAnsi="Arial"/>
          <w:b/>
          <w:bCs/>
        </w:rPr>
        <w:t>of</w:t>
      </w:r>
      <w:r w:rsidRPr="00CD5DFB">
        <w:rPr>
          <w:rFonts w:ascii="Arial" w:hAnsi="Arial"/>
          <w:b/>
          <w:bCs/>
        </w:rPr>
        <w:t xml:space="preserve"> the Interview</w:t>
      </w:r>
      <w:r w:rsidR="00B35D8B">
        <w:rPr>
          <w:rFonts w:ascii="Arial" w:hAnsi="Arial"/>
          <w:b/>
          <w:bCs/>
        </w:rPr>
        <w:t xml:space="preserve"> by Region</w:t>
      </w:r>
      <w:r w:rsidRPr="00CD5DFB">
        <w:rPr>
          <w:rFonts w:ascii="Arial" w:hAnsi="Arial"/>
          <w:b/>
          <w:bCs/>
        </w:rPr>
        <w:t xml:space="preserve">, </w:t>
      </w:r>
      <w:r>
        <w:rPr>
          <w:rFonts w:ascii="Arial" w:hAnsi="Arial" w:hint="cs"/>
          <w:b/>
          <w:bCs/>
          <w:rtl/>
        </w:rPr>
        <w:t>2019</w:t>
      </w:r>
      <w:r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655725A7" w14:textId="77777777" w:rsidTr="0071415F">
        <w:trPr>
          <w:trHeight w:val="3465"/>
        </w:trPr>
        <w:tc>
          <w:tcPr>
            <w:tcW w:w="8076" w:type="dxa"/>
            <w:shd w:val="clear" w:color="auto" w:fill="auto"/>
          </w:tcPr>
          <w:p w14:paraId="4186A43A"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14:anchorId="6801169B" wp14:editId="0CCD3584">
                  <wp:extent cx="5695950" cy="2124075"/>
                  <wp:effectExtent l="0" t="0" r="0" b="0"/>
                  <wp:docPr id="57"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14:paraId="5B4C56AD" w14:textId="77777777" w:rsidR="00E02452" w:rsidRDefault="0071415F" w:rsidP="00C03B9B">
      <w:pPr>
        <w:bidi w:val="0"/>
        <w:spacing w:after="0" w:line="240" w:lineRule="auto"/>
        <w:ind w:left="720" w:right="139" w:hanging="720"/>
        <w:rPr>
          <w:rFonts w:ascii="Times New Roman" w:eastAsia="Calibri" w:hAnsi="Times New Roman" w:cs="Times New Roman"/>
          <w:i/>
          <w:iCs/>
          <w:sz w:val="18"/>
          <w:szCs w:val="18"/>
        </w:rPr>
      </w:pPr>
      <w:r w:rsidRPr="000D2E4D">
        <w:rPr>
          <w:rFonts w:ascii="Arial" w:hAnsi="Arial"/>
          <w:b/>
          <w:bCs/>
          <w:color w:val="000000"/>
          <w:sz w:val="18"/>
          <w:szCs w:val="18"/>
        </w:rPr>
        <w:t xml:space="preserve">Source:Palestinian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sidR="00C03B9B">
        <w:rPr>
          <w:rFonts w:ascii="Arial" w:hAnsi="Arial"/>
          <w:color w:val="000000"/>
          <w:sz w:val="18"/>
          <w:szCs w:val="18"/>
        </w:rPr>
        <w:t>Database</w:t>
      </w:r>
      <w:r w:rsidRPr="000D2E4D">
        <w:rPr>
          <w:rFonts w:ascii="Arial" w:hAnsi="Arial"/>
          <w:color w:val="000000"/>
          <w:sz w:val="18"/>
          <w:szCs w:val="18"/>
        </w:rPr>
        <w:t>, 2019.  Ramallah - Palestine.</w:t>
      </w:r>
    </w:p>
    <w:p w14:paraId="1AA610FA" w14:textId="77777777" w:rsidR="00C03B9B" w:rsidRPr="00AC4E45" w:rsidRDefault="00C03B9B" w:rsidP="00C03B9B">
      <w:pPr>
        <w:bidi w:val="0"/>
        <w:spacing w:after="0" w:line="240" w:lineRule="auto"/>
        <w:ind w:left="720" w:right="139" w:hanging="720"/>
        <w:rPr>
          <w:rFonts w:ascii="Times New Roman" w:eastAsia="Calibri" w:hAnsi="Times New Roman" w:cs="Times New Roman"/>
          <w:i/>
          <w:iCs/>
          <w:sz w:val="18"/>
          <w:szCs w:val="18"/>
        </w:rPr>
      </w:pPr>
    </w:p>
    <w:p w14:paraId="6FE61066"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lastRenderedPageBreak/>
        <w:t xml:space="preserve">Psychological violence was the highest type of violence experienced by the ever married women from the husband in 2019 </w:t>
      </w:r>
      <w:r w:rsidR="00624BB0">
        <w:rPr>
          <w:rFonts w:ascii="Times New Roman" w:hAnsi="Times New Roman" w:cs="Times New Roman"/>
          <w:sz w:val="24"/>
          <w:szCs w:val="24"/>
        </w:rPr>
        <w:t xml:space="preserve">accounting for </w:t>
      </w:r>
      <w:r>
        <w:rPr>
          <w:rFonts w:ascii="Times New Roman" w:hAnsi="Times New Roman" w:cs="Times New Roman"/>
          <w:sz w:val="24"/>
          <w:szCs w:val="24"/>
        </w:rPr>
        <w:t>57.2</w:t>
      </w:r>
      <w:r w:rsidRPr="00540428">
        <w:rPr>
          <w:rFonts w:ascii="Times New Roman" w:hAnsi="Times New Roman" w:cs="Times New Roman"/>
          <w:sz w:val="24"/>
          <w:szCs w:val="24"/>
        </w:rPr>
        <w:t xml:space="preserve">%, while about </w:t>
      </w:r>
      <w:r>
        <w:rPr>
          <w:rFonts w:ascii="Times New Roman" w:hAnsi="Times New Roman" w:cs="Times New Roman"/>
          <w:sz w:val="24"/>
          <w:szCs w:val="24"/>
        </w:rPr>
        <w:t>18.5</w:t>
      </w:r>
      <w:r w:rsidRPr="00540428">
        <w:rPr>
          <w:rFonts w:ascii="Times New Roman" w:hAnsi="Times New Roman" w:cs="Times New Roman"/>
          <w:sz w:val="24"/>
          <w:szCs w:val="24"/>
        </w:rPr>
        <w:t xml:space="preserve">% of the ever married women </w:t>
      </w:r>
      <w:r w:rsidR="00624BB0">
        <w:rPr>
          <w:rFonts w:ascii="Times New Roman" w:hAnsi="Times New Roman" w:cs="Times New Roman"/>
          <w:sz w:val="24"/>
          <w:szCs w:val="24"/>
        </w:rPr>
        <w:t xml:space="preserve">were </w:t>
      </w:r>
      <w:r w:rsidRPr="00540428">
        <w:rPr>
          <w:rFonts w:ascii="Times New Roman" w:hAnsi="Times New Roman" w:cs="Times New Roman"/>
          <w:sz w:val="24"/>
          <w:szCs w:val="24"/>
        </w:rPr>
        <w:t xml:space="preserve">exposed to physical violence and </w:t>
      </w:r>
      <w:r>
        <w:rPr>
          <w:rFonts w:ascii="Times New Roman" w:hAnsi="Times New Roman" w:cs="Times New Roman"/>
          <w:sz w:val="24"/>
          <w:szCs w:val="24"/>
        </w:rPr>
        <w:t>9.4% to sexual violence.</w:t>
      </w:r>
    </w:p>
    <w:p w14:paraId="68100121" w14:textId="77777777" w:rsidR="0071415F" w:rsidRPr="00BA199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908345E"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Percentage of Ever Married Women (15-64 Years) Who </w:t>
      </w:r>
      <w:r>
        <w:rPr>
          <w:rFonts w:ascii="Arial" w:hAnsi="Arial"/>
          <w:b/>
          <w:bCs/>
        </w:rPr>
        <w:t xml:space="preserve">Were Exposed to Violence </w:t>
      </w:r>
      <w:r w:rsidRPr="00CD5DFB">
        <w:rPr>
          <w:rFonts w:ascii="Arial" w:hAnsi="Arial"/>
          <w:b/>
          <w:bCs/>
        </w:rPr>
        <w:t xml:space="preserve">From the Husband During the 12 Months Preceding the Interview by Type of Violence, </w:t>
      </w:r>
      <w:r>
        <w:rPr>
          <w:rFonts w:ascii="Arial" w:hAnsi="Arial" w:hint="cs"/>
          <w:b/>
          <w:bCs/>
          <w:rtl/>
        </w:rPr>
        <w:t>2019</w:t>
      </w:r>
      <w:r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3E8D27E" w14:textId="77777777" w:rsidTr="00E6392C">
        <w:trPr>
          <w:trHeight w:val="3433"/>
        </w:trPr>
        <w:tc>
          <w:tcPr>
            <w:tcW w:w="9060" w:type="dxa"/>
            <w:shd w:val="clear" w:color="auto" w:fill="auto"/>
          </w:tcPr>
          <w:p w14:paraId="5ACDCAC5"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rPr>
              <w:drawing>
                <wp:inline distT="0" distB="0" distL="0" distR="0" wp14:anchorId="378AD070" wp14:editId="636B171A">
                  <wp:extent cx="5563667" cy="2138680"/>
                  <wp:effectExtent l="0" t="0" r="0" b="0"/>
                  <wp:docPr id="58"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14:paraId="35DFE6F8" w14:textId="77777777" w:rsidR="0071415F" w:rsidRDefault="00C03B9B" w:rsidP="00C03B9B">
      <w:pPr>
        <w:autoSpaceDE w:val="0"/>
        <w:autoSpaceDN w:val="0"/>
        <w:bidi w:val="0"/>
        <w:adjustRightInd w:val="0"/>
        <w:spacing w:after="0" w:line="240" w:lineRule="auto"/>
        <w:ind w:left="720" w:hanging="720"/>
        <w:jc w:val="both"/>
        <w:rPr>
          <w:rFonts w:ascii="Arial" w:hAnsi="Arial"/>
          <w:color w:val="000000"/>
          <w:sz w:val="18"/>
          <w:szCs w:val="18"/>
        </w:rPr>
      </w:pPr>
      <w:r w:rsidRPr="000D2E4D">
        <w:rPr>
          <w:rFonts w:ascii="Arial" w:hAnsi="Arial"/>
          <w:b/>
          <w:bCs/>
          <w:color w:val="000000"/>
          <w:sz w:val="18"/>
          <w:szCs w:val="18"/>
        </w:rPr>
        <w:t xml:space="preserve">Source:Palestinian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Pr>
          <w:rFonts w:ascii="Arial" w:hAnsi="Arial"/>
          <w:color w:val="000000"/>
          <w:sz w:val="18"/>
          <w:szCs w:val="18"/>
        </w:rPr>
        <w:t>Database</w:t>
      </w:r>
      <w:r w:rsidRPr="000D2E4D">
        <w:rPr>
          <w:rFonts w:ascii="Arial" w:hAnsi="Arial"/>
          <w:color w:val="000000"/>
          <w:sz w:val="18"/>
          <w:szCs w:val="18"/>
        </w:rPr>
        <w:t xml:space="preserve">, 2019.  Ramallah </w:t>
      </w:r>
      <w:r>
        <w:rPr>
          <w:rFonts w:ascii="Arial" w:hAnsi="Arial"/>
          <w:color w:val="000000"/>
          <w:sz w:val="18"/>
          <w:szCs w:val="18"/>
        </w:rPr>
        <w:t>–</w:t>
      </w:r>
      <w:r w:rsidRPr="000D2E4D">
        <w:rPr>
          <w:rFonts w:ascii="Arial" w:hAnsi="Arial"/>
          <w:color w:val="000000"/>
          <w:sz w:val="18"/>
          <w:szCs w:val="18"/>
        </w:rPr>
        <w:t xml:space="preserve"> Palestine</w:t>
      </w:r>
      <w:r>
        <w:rPr>
          <w:rFonts w:ascii="Arial" w:hAnsi="Arial"/>
          <w:color w:val="000000"/>
          <w:sz w:val="18"/>
          <w:szCs w:val="18"/>
        </w:rPr>
        <w:t>.</w:t>
      </w:r>
    </w:p>
    <w:p w14:paraId="69AC7E99" w14:textId="77777777" w:rsidR="00C03B9B" w:rsidRPr="00540428" w:rsidRDefault="00C03B9B" w:rsidP="00C03B9B">
      <w:pPr>
        <w:autoSpaceDE w:val="0"/>
        <w:autoSpaceDN w:val="0"/>
        <w:bidi w:val="0"/>
        <w:adjustRightInd w:val="0"/>
        <w:spacing w:after="0" w:line="240" w:lineRule="auto"/>
        <w:jc w:val="both"/>
        <w:rPr>
          <w:rFonts w:ascii="Times New Roman" w:hAnsi="Times New Roman" w:cs="Times New Roman"/>
          <w:sz w:val="24"/>
          <w:szCs w:val="24"/>
        </w:rPr>
      </w:pPr>
    </w:p>
    <w:p w14:paraId="1981B0DD"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young ever-married women age 20-29 are the most exposed to violence from the husband</w:t>
      </w:r>
      <w:r w:rsidR="00624BB0">
        <w:rPr>
          <w:rFonts w:ascii="Times New Roman" w:hAnsi="Times New Roman" w:cs="Times New Roman"/>
          <w:sz w:val="24"/>
          <w:szCs w:val="24"/>
        </w:rPr>
        <w:t>. I</w:t>
      </w:r>
      <w:r w:rsidRPr="00540428">
        <w:rPr>
          <w:rFonts w:ascii="Times New Roman" w:hAnsi="Times New Roman" w:cs="Times New Roman"/>
          <w:sz w:val="24"/>
          <w:szCs w:val="24"/>
        </w:rPr>
        <w:t>n 2019</w:t>
      </w:r>
      <w:r w:rsidR="007C5647">
        <w:rPr>
          <w:rFonts w:ascii="Times New Roman" w:hAnsi="Times New Roman" w:cs="Times New Roman"/>
          <w:sz w:val="24"/>
          <w:szCs w:val="24"/>
        </w:rPr>
        <w:t>,</w:t>
      </w:r>
      <w:r w:rsidRPr="00540428">
        <w:rPr>
          <w:rFonts w:ascii="Times New Roman" w:hAnsi="Times New Roman" w:cs="Times New Roman"/>
          <w:sz w:val="24"/>
          <w:szCs w:val="24"/>
        </w:rPr>
        <w:t xml:space="preserve"> about </w:t>
      </w:r>
      <w:r>
        <w:rPr>
          <w:rFonts w:ascii="Times New Roman" w:hAnsi="Times New Roman" w:cs="Times New Roman" w:hint="cs"/>
          <w:sz w:val="24"/>
          <w:szCs w:val="24"/>
          <w:rtl/>
        </w:rPr>
        <w:t>63.7</w:t>
      </w:r>
      <w:r w:rsidRPr="00540428">
        <w:rPr>
          <w:rFonts w:ascii="Times New Roman" w:hAnsi="Times New Roman" w:cs="Times New Roman"/>
          <w:sz w:val="24"/>
          <w:szCs w:val="24"/>
        </w:rPr>
        <w:t xml:space="preserve">% </w:t>
      </w:r>
      <w:r w:rsidR="00624BB0">
        <w:rPr>
          <w:rFonts w:ascii="Times New Roman" w:hAnsi="Times New Roman" w:cs="Times New Roman"/>
          <w:sz w:val="24"/>
          <w:szCs w:val="24"/>
        </w:rPr>
        <w:t xml:space="preserve">women were exposed to violence and </w:t>
      </w:r>
      <w:r>
        <w:rPr>
          <w:rFonts w:ascii="Times New Roman" w:hAnsi="Times New Roman" w:cs="Times New Roman" w:hint="cs"/>
          <w:sz w:val="24"/>
          <w:szCs w:val="24"/>
          <w:rtl/>
        </w:rPr>
        <w:t>40.3</w:t>
      </w:r>
      <w:r w:rsidRPr="00540428">
        <w:rPr>
          <w:rFonts w:ascii="Times New Roman" w:hAnsi="Times New Roman" w:cs="Times New Roman"/>
          <w:sz w:val="24"/>
          <w:szCs w:val="24"/>
        </w:rPr>
        <w:t xml:space="preserve">% of the ever-married women in </w:t>
      </w:r>
      <w:r w:rsidR="00624BB0">
        <w:rPr>
          <w:rFonts w:ascii="Times New Roman" w:hAnsi="Times New Roman" w:cs="Times New Roman"/>
          <w:sz w:val="24"/>
          <w:szCs w:val="24"/>
        </w:rPr>
        <w:t xml:space="preserve">the </w:t>
      </w:r>
      <w:r w:rsidRPr="00540428">
        <w:rPr>
          <w:rFonts w:ascii="Times New Roman" w:hAnsi="Times New Roman" w:cs="Times New Roman"/>
          <w:sz w:val="24"/>
          <w:szCs w:val="24"/>
        </w:rPr>
        <w:t xml:space="preserve">60-64 </w:t>
      </w:r>
      <w:r w:rsidR="00624BB0">
        <w:rPr>
          <w:rFonts w:ascii="Times New Roman" w:hAnsi="Times New Roman" w:cs="Times New Roman"/>
          <w:sz w:val="24"/>
          <w:szCs w:val="24"/>
        </w:rPr>
        <w:t>age group</w:t>
      </w:r>
      <w:r w:rsidRPr="00540428">
        <w:rPr>
          <w:rFonts w:ascii="Times New Roman" w:hAnsi="Times New Roman" w:cs="Times New Roman"/>
          <w:sz w:val="24"/>
          <w:szCs w:val="24"/>
        </w:rPr>
        <w:t xml:space="preserve"> experienced this violence.</w:t>
      </w:r>
    </w:p>
    <w:p w14:paraId="1F6ADCBD" w14:textId="77777777" w:rsidR="0071415F" w:rsidRDefault="0071415F" w:rsidP="0071415F">
      <w:pPr>
        <w:tabs>
          <w:tab w:val="left" w:pos="9072"/>
        </w:tabs>
        <w:bidi w:val="0"/>
        <w:spacing w:after="0" w:line="240" w:lineRule="auto"/>
        <w:rPr>
          <w:rFonts w:ascii="Times New Roman" w:hAnsi="Times New Roman" w:cs="Times New Roman"/>
          <w:sz w:val="24"/>
          <w:szCs w:val="24"/>
        </w:rPr>
      </w:pPr>
    </w:p>
    <w:p w14:paraId="61A2F8F4" w14:textId="77777777" w:rsidR="0071415F"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Percentage </w:t>
      </w:r>
      <w:r w:rsidR="00624BB0">
        <w:rPr>
          <w:rFonts w:ascii="Arial" w:hAnsi="Arial"/>
          <w:b/>
          <w:bCs/>
        </w:rPr>
        <w:t>E</w:t>
      </w:r>
      <w:r w:rsidRPr="00CD5DFB">
        <w:rPr>
          <w:rFonts w:ascii="Arial" w:hAnsi="Arial"/>
          <w:b/>
          <w:bCs/>
        </w:rPr>
        <w:t>ver Married Women (15-64)  Who Were Exposed to Violence From the Husband During the 12 MonthsPreced</w:t>
      </w:r>
      <w:r>
        <w:rPr>
          <w:rFonts w:ascii="Arial" w:hAnsi="Arial"/>
          <w:b/>
          <w:bCs/>
        </w:rPr>
        <w:t xml:space="preserve">ing the Interview by Age Group, 2019 </w:t>
      </w:r>
      <w:r w:rsidRPr="00CD5DFB">
        <w:rPr>
          <w:rFonts w:ascii="Arial" w:hAnsi="Arial"/>
          <w:b/>
          <w:bCs/>
        </w:rPr>
        <w:t>(%)</w:t>
      </w:r>
    </w:p>
    <w:tbl>
      <w:tblPr>
        <w:tblW w:w="9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4"/>
      </w:tblGrid>
      <w:tr w:rsidR="0071415F" w:rsidRPr="000D2E4D" w14:paraId="55AD2567" w14:textId="77777777" w:rsidTr="004F0DD9">
        <w:trPr>
          <w:trHeight w:val="3599"/>
        </w:trPr>
        <w:tc>
          <w:tcPr>
            <w:tcW w:w="9104" w:type="dxa"/>
            <w:shd w:val="clear" w:color="auto" w:fill="auto"/>
            <w:vAlign w:val="center"/>
          </w:tcPr>
          <w:p w14:paraId="44358E9E" w14:textId="77777777" w:rsidR="0071415F" w:rsidRPr="000D2E4D" w:rsidRDefault="0071415F" w:rsidP="00F13199">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14:anchorId="1E62260D" wp14:editId="365A7FE3">
                  <wp:extent cx="5533354" cy="2226310"/>
                  <wp:effectExtent l="0" t="0" r="0" b="2540"/>
                  <wp:docPr id="74"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14:paraId="6E80D0BC" w14:textId="77777777" w:rsidR="0071415F" w:rsidRDefault="00C03B9B" w:rsidP="00712496">
      <w:pPr>
        <w:bidi w:val="0"/>
        <w:spacing w:after="0" w:line="240" w:lineRule="auto"/>
        <w:ind w:left="720" w:hanging="720"/>
        <w:rPr>
          <w:rFonts w:ascii="Arial" w:hAnsi="Arial"/>
          <w:color w:val="000000"/>
          <w:sz w:val="18"/>
          <w:szCs w:val="18"/>
        </w:rPr>
      </w:pPr>
      <w:r w:rsidRPr="000D2E4D">
        <w:rPr>
          <w:rFonts w:ascii="Arial" w:hAnsi="Arial"/>
          <w:b/>
          <w:bCs/>
          <w:color w:val="000000"/>
          <w:sz w:val="18"/>
          <w:szCs w:val="18"/>
        </w:rPr>
        <w:t xml:space="preserve">Source:Palestinian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Pr>
          <w:rFonts w:ascii="Arial" w:hAnsi="Arial"/>
          <w:color w:val="000000"/>
          <w:sz w:val="18"/>
          <w:szCs w:val="18"/>
        </w:rPr>
        <w:t>Database</w:t>
      </w:r>
      <w:r w:rsidRPr="000D2E4D">
        <w:rPr>
          <w:rFonts w:ascii="Arial" w:hAnsi="Arial"/>
          <w:color w:val="000000"/>
          <w:sz w:val="18"/>
          <w:szCs w:val="18"/>
        </w:rPr>
        <w:t xml:space="preserve">, 2019.  Ramallah </w:t>
      </w:r>
      <w:r>
        <w:rPr>
          <w:rFonts w:ascii="Arial" w:hAnsi="Arial"/>
          <w:color w:val="000000"/>
          <w:sz w:val="18"/>
          <w:szCs w:val="18"/>
        </w:rPr>
        <w:t>–</w:t>
      </w:r>
      <w:r w:rsidRPr="000D2E4D">
        <w:rPr>
          <w:rFonts w:ascii="Arial" w:hAnsi="Arial"/>
          <w:color w:val="000000"/>
          <w:sz w:val="18"/>
          <w:szCs w:val="18"/>
        </w:rPr>
        <w:t xml:space="preserve"> Palestine</w:t>
      </w:r>
      <w:r>
        <w:rPr>
          <w:rFonts w:ascii="Arial" w:hAnsi="Arial"/>
          <w:color w:val="000000"/>
          <w:sz w:val="18"/>
          <w:szCs w:val="18"/>
        </w:rPr>
        <w:t>.</w:t>
      </w:r>
    </w:p>
    <w:p w14:paraId="5ED4A0D9" w14:textId="77777777" w:rsidR="00C03B9B" w:rsidRPr="00712496" w:rsidRDefault="00C03B9B" w:rsidP="00C03B9B">
      <w:pPr>
        <w:bidi w:val="0"/>
        <w:spacing w:after="0" w:line="240" w:lineRule="auto"/>
        <w:ind w:left="720" w:hanging="720"/>
        <w:rPr>
          <w:rFonts w:ascii="Arial" w:hAnsi="Arial"/>
          <w:b/>
          <w:bCs/>
          <w:color w:val="000000"/>
          <w:sz w:val="24"/>
          <w:szCs w:val="24"/>
        </w:rPr>
      </w:pPr>
    </w:p>
    <w:p w14:paraId="1E2B9C0C"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5.2.2 Proportion of women and girls age</w:t>
      </w:r>
      <w:r w:rsidR="00624BB0">
        <w:rPr>
          <w:rFonts w:ascii="Times New Roman" w:hAnsi="Times New Roman" w:cs="Times New Roman"/>
          <w:b/>
          <w:bCs/>
          <w:i/>
          <w:iCs/>
          <w:sz w:val="24"/>
          <w:szCs w:val="24"/>
        </w:rPr>
        <w:t>s</w:t>
      </w:r>
      <w:r w:rsidRPr="00E32A39">
        <w:rPr>
          <w:rFonts w:ascii="Times New Roman" w:hAnsi="Times New Roman" w:cs="Times New Roman"/>
          <w:b/>
          <w:bCs/>
          <w:i/>
          <w:iCs/>
          <w:sz w:val="24"/>
          <w:szCs w:val="24"/>
        </w:rPr>
        <w:t xml:space="preserve"> 15 years and older subjected to sexual violence by persons other than an intimate partner in the previous 12 months, by age and place of occurrence.</w:t>
      </w:r>
    </w:p>
    <w:p w14:paraId="0A0E2B77"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5CA6230F" w14:textId="34949A91" w:rsidR="00624BB0" w:rsidRDefault="0071415F" w:rsidP="00290E60">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About </w:t>
      </w:r>
      <w:r w:rsidRPr="00540428">
        <w:rPr>
          <w:rFonts w:ascii="Times New Roman" w:hAnsi="Times New Roman" w:cs="Times New Roman" w:hint="cs"/>
          <w:sz w:val="24"/>
          <w:szCs w:val="24"/>
          <w:rtl/>
        </w:rPr>
        <w:t>3.7</w:t>
      </w:r>
      <w:r w:rsidRPr="00540428">
        <w:rPr>
          <w:rFonts w:ascii="Times New Roman" w:hAnsi="Times New Roman" w:cs="Times New Roman"/>
          <w:sz w:val="24"/>
          <w:szCs w:val="24"/>
        </w:rPr>
        <w:t xml:space="preserve">% of women who have never been </w:t>
      </w:r>
      <w:r w:rsidRPr="004F6A1A">
        <w:rPr>
          <w:rFonts w:ascii="Times New Roman" w:hAnsi="Times New Roman" w:cs="Times New Roman"/>
          <w:sz w:val="24"/>
          <w:szCs w:val="24"/>
        </w:rPr>
        <w:t>married (1</w:t>
      </w:r>
      <w:r w:rsidR="00290E60" w:rsidRPr="004F6A1A">
        <w:rPr>
          <w:rFonts w:ascii="Times New Roman" w:hAnsi="Times New Roman" w:cs="Times New Roman"/>
          <w:sz w:val="24"/>
          <w:szCs w:val="24"/>
        </w:rPr>
        <w:t>5</w:t>
      </w:r>
      <w:r w:rsidRPr="004F6A1A">
        <w:rPr>
          <w:rFonts w:ascii="Times New Roman" w:hAnsi="Times New Roman" w:cs="Times New Roman"/>
          <w:sz w:val="24"/>
          <w:szCs w:val="24"/>
        </w:rPr>
        <w:t>-64</w:t>
      </w:r>
      <w:r w:rsidRPr="00540428">
        <w:rPr>
          <w:rFonts w:ascii="Times New Roman" w:hAnsi="Times New Roman" w:cs="Times New Roman"/>
          <w:sz w:val="24"/>
          <w:szCs w:val="24"/>
        </w:rPr>
        <w:t xml:space="preserve"> years) were exposed to </w:t>
      </w:r>
      <w:r w:rsidR="00624BB0">
        <w:rPr>
          <w:rFonts w:ascii="Times New Roman" w:hAnsi="Times New Roman" w:cs="Times New Roman"/>
          <w:sz w:val="24"/>
          <w:szCs w:val="24"/>
        </w:rPr>
        <w:t>s</w:t>
      </w:r>
      <w:r w:rsidRPr="00540428">
        <w:rPr>
          <w:rFonts w:ascii="Times New Roman" w:hAnsi="Times New Roman" w:cs="Times New Roman"/>
          <w:sz w:val="24"/>
          <w:szCs w:val="24"/>
        </w:rPr>
        <w:t>exual violence from other persons in 2019</w:t>
      </w:r>
      <w:r w:rsidR="00624BB0">
        <w:rPr>
          <w:rFonts w:ascii="Times New Roman" w:hAnsi="Times New Roman" w:cs="Times New Roman"/>
          <w:sz w:val="24"/>
          <w:szCs w:val="24"/>
        </w:rPr>
        <w:t xml:space="preserve"> with</w:t>
      </w:r>
      <w:r>
        <w:rPr>
          <w:rFonts w:ascii="Times New Roman" w:hAnsi="Times New Roman" w:cs="Times New Roman"/>
          <w:sz w:val="24"/>
          <w:szCs w:val="24"/>
        </w:rPr>
        <w:t>4.3</w:t>
      </w:r>
      <w:r w:rsidRPr="00540428">
        <w:rPr>
          <w:rFonts w:ascii="Times New Roman" w:hAnsi="Times New Roman" w:cs="Times New Roman"/>
          <w:sz w:val="24"/>
          <w:szCs w:val="24"/>
        </w:rPr>
        <w:t xml:space="preserve">% </w:t>
      </w:r>
      <w:r w:rsidR="00624BB0">
        <w:rPr>
          <w:rFonts w:ascii="Times New Roman" w:hAnsi="Times New Roman" w:cs="Times New Roman"/>
          <w:sz w:val="24"/>
          <w:szCs w:val="24"/>
        </w:rPr>
        <w:t xml:space="preserve">of cases </w:t>
      </w:r>
      <w:r w:rsidRPr="00540428">
        <w:rPr>
          <w:rFonts w:ascii="Times New Roman" w:hAnsi="Times New Roman" w:cs="Times New Roman"/>
          <w:sz w:val="24"/>
          <w:szCs w:val="24"/>
        </w:rPr>
        <w:t xml:space="preserve">in the West Bank and </w:t>
      </w:r>
      <w:r>
        <w:rPr>
          <w:rFonts w:ascii="Times New Roman" w:hAnsi="Times New Roman" w:cs="Times New Roman"/>
          <w:sz w:val="24"/>
          <w:szCs w:val="24"/>
        </w:rPr>
        <w:t>2.8</w:t>
      </w:r>
      <w:r w:rsidRPr="00540428">
        <w:rPr>
          <w:rFonts w:ascii="Times New Roman" w:hAnsi="Times New Roman" w:cs="Times New Roman"/>
          <w:sz w:val="24"/>
          <w:szCs w:val="24"/>
        </w:rPr>
        <w:t>% in Gaza Strip.</w:t>
      </w:r>
    </w:p>
    <w:p w14:paraId="6C9BE471" w14:textId="77777777" w:rsidR="0071415F" w:rsidRPr="00CD5DFB" w:rsidRDefault="0071415F" w:rsidP="001F12C6">
      <w:pPr>
        <w:tabs>
          <w:tab w:val="left" w:pos="9072"/>
        </w:tabs>
        <w:bidi w:val="0"/>
        <w:spacing w:after="0" w:line="240" w:lineRule="auto"/>
        <w:jc w:val="center"/>
        <w:rPr>
          <w:rFonts w:ascii="Arial" w:hAnsi="Arial"/>
          <w:b/>
          <w:bCs/>
        </w:rPr>
      </w:pPr>
      <w:r>
        <w:rPr>
          <w:rFonts w:ascii="Arial" w:hAnsi="Arial"/>
          <w:b/>
          <w:bCs/>
        </w:rPr>
        <w:lastRenderedPageBreak/>
        <w:t>Percentage of</w:t>
      </w:r>
      <w:r w:rsidR="00624BB0">
        <w:rPr>
          <w:rFonts w:ascii="Arial" w:hAnsi="Arial"/>
          <w:b/>
          <w:bCs/>
        </w:rPr>
        <w:t xml:space="preserve"> W</w:t>
      </w:r>
      <w:r w:rsidRPr="00620AC1">
        <w:rPr>
          <w:rFonts w:ascii="Arial" w:hAnsi="Arial"/>
          <w:b/>
          <w:bCs/>
        </w:rPr>
        <w:t xml:space="preserve">omen and </w:t>
      </w:r>
      <w:r w:rsidR="00624BB0">
        <w:rPr>
          <w:rFonts w:ascii="Arial" w:hAnsi="Arial"/>
          <w:b/>
          <w:bCs/>
        </w:rPr>
        <w:t>G</w:t>
      </w:r>
      <w:r w:rsidRPr="00620AC1">
        <w:rPr>
          <w:rFonts w:ascii="Arial" w:hAnsi="Arial"/>
          <w:b/>
          <w:bCs/>
        </w:rPr>
        <w:t xml:space="preserve">irls </w:t>
      </w:r>
      <w:r w:rsidRPr="00CD5DFB">
        <w:rPr>
          <w:rFonts w:ascii="Arial" w:hAnsi="Arial"/>
          <w:b/>
          <w:bCs/>
        </w:rPr>
        <w:t>(15-64)</w:t>
      </w:r>
      <w:r w:rsidR="00624BB0">
        <w:rPr>
          <w:rFonts w:ascii="Arial" w:hAnsi="Arial"/>
          <w:b/>
          <w:bCs/>
        </w:rPr>
        <w:t>S</w:t>
      </w:r>
      <w:r w:rsidRPr="00620AC1">
        <w:rPr>
          <w:rFonts w:ascii="Arial" w:hAnsi="Arial"/>
          <w:b/>
          <w:bCs/>
        </w:rPr>
        <w:t>ubjected to</w:t>
      </w:r>
      <w:r w:rsidR="001F12C6">
        <w:rPr>
          <w:rFonts w:ascii="Arial" w:hAnsi="Arial"/>
          <w:b/>
          <w:bCs/>
        </w:rPr>
        <w:t xml:space="preserve"> </w:t>
      </w:r>
      <w:r w:rsidR="00624BB0">
        <w:rPr>
          <w:rFonts w:ascii="Arial" w:hAnsi="Arial"/>
          <w:b/>
          <w:bCs/>
        </w:rPr>
        <w:t>S</w:t>
      </w:r>
      <w:r w:rsidRPr="00620AC1">
        <w:rPr>
          <w:rFonts w:ascii="Arial" w:hAnsi="Arial"/>
          <w:b/>
          <w:bCs/>
        </w:rPr>
        <w:t xml:space="preserve">exual </w:t>
      </w:r>
      <w:r w:rsidR="00624BB0">
        <w:rPr>
          <w:rFonts w:ascii="Arial" w:hAnsi="Arial"/>
          <w:b/>
          <w:bCs/>
        </w:rPr>
        <w:t>V</w:t>
      </w:r>
      <w:r w:rsidRPr="00620AC1">
        <w:rPr>
          <w:rFonts w:ascii="Arial" w:hAnsi="Arial"/>
          <w:b/>
          <w:bCs/>
        </w:rPr>
        <w:t xml:space="preserve">iolence by </w:t>
      </w:r>
      <w:r w:rsidR="00624BB0">
        <w:rPr>
          <w:rFonts w:ascii="Arial" w:hAnsi="Arial"/>
          <w:b/>
          <w:bCs/>
        </w:rPr>
        <w:t>P</w:t>
      </w:r>
      <w:r w:rsidRPr="00620AC1">
        <w:rPr>
          <w:rFonts w:ascii="Arial" w:hAnsi="Arial"/>
          <w:b/>
          <w:bCs/>
        </w:rPr>
        <w:t xml:space="preserve">ersons </w:t>
      </w:r>
      <w:r w:rsidR="00624BB0">
        <w:rPr>
          <w:rFonts w:ascii="Arial" w:hAnsi="Arial"/>
          <w:b/>
          <w:bCs/>
        </w:rPr>
        <w:t>O</w:t>
      </w:r>
      <w:r w:rsidRPr="00620AC1">
        <w:rPr>
          <w:rFonts w:ascii="Arial" w:hAnsi="Arial"/>
          <w:b/>
          <w:bCs/>
        </w:rPr>
        <w:t xml:space="preserve">ther than an </w:t>
      </w:r>
      <w:r w:rsidR="00624BB0">
        <w:rPr>
          <w:rFonts w:ascii="Arial" w:hAnsi="Arial"/>
          <w:b/>
          <w:bCs/>
        </w:rPr>
        <w:t>I</w:t>
      </w:r>
      <w:r w:rsidRPr="00620AC1">
        <w:rPr>
          <w:rFonts w:ascii="Arial" w:hAnsi="Arial"/>
          <w:b/>
          <w:bCs/>
        </w:rPr>
        <w:t xml:space="preserve">ntimate </w:t>
      </w:r>
      <w:r w:rsidR="00624BB0">
        <w:rPr>
          <w:rFonts w:ascii="Arial" w:hAnsi="Arial"/>
          <w:b/>
          <w:bCs/>
        </w:rPr>
        <w:t>P</w:t>
      </w:r>
      <w:r w:rsidRPr="00620AC1">
        <w:rPr>
          <w:rFonts w:ascii="Arial" w:hAnsi="Arial"/>
          <w:b/>
          <w:bCs/>
        </w:rPr>
        <w:t xml:space="preserve">artner in the </w:t>
      </w:r>
      <w:r w:rsidR="00624BB0">
        <w:rPr>
          <w:rFonts w:ascii="Arial" w:hAnsi="Arial"/>
          <w:b/>
          <w:bCs/>
        </w:rPr>
        <w:t>P</w:t>
      </w:r>
      <w:r w:rsidRPr="00620AC1">
        <w:rPr>
          <w:rFonts w:ascii="Arial" w:hAnsi="Arial"/>
          <w:b/>
          <w:bCs/>
        </w:rPr>
        <w:t xml:space="preserve">revious 12 </w:t>
      </w:r>
      <w:r w:rsidR="00624BB0">
        <w:rPr>
          <w:rFonts w:ascii="Arial" w:hAnsi="Arial"/>
          <w:b/>
          <w:bCs/>
        </w:rPr>
        <w:t>M</w:t>
      </w:r>
      <w:r w:rsidRPr="00620AC1">
        <w:rPr>
          <w:rFonts w:ascii="Arial" w:hAnsi="Arial"/>
          <w:b/>
          <w:bCs/>
        </w:rPr>
        <w:t>onths</w:t>
      </w:r>
      <w:r w:rsidRPr="00CD5DFB">
        <w:rPr>
          <w:rFonts w:ascii="Arial" w:hAnsi="Arial"/>
          <w:b/>
          <w:bCs/>
        </w:rPr>
        <w:t>Preceding the Interview</w:t>
      </w:r>
      <w:r>
        <w:rPr>
          <w:rFonts w:ascii="Arial" w:hAnsi="Arial"/>
          <w:b/>
          <w:bCs/>
        </w:rPr>
        <w:t xml:space="preserve"> by Region</w:t>
      </w:r>
      <w:r w:rsidRPr="00CD5DFB">
        <w:rPr>
          <w:rFonts w:ascii="Arial" w:hAnsi="Arial"/>
          <w:b/>
          <w:bCs/>
        </w:rPr>
        <w:t xml:space="preserve">, </w:t>
      </w:r>
      <w:r>
        <w:rPr>
          <w:rFonts w:ascii="Arial" w:hAnsi="Arial" w:hint="cs"/>
          <w:b/>
          <w:bCs/>
          <w:rtl/>
        </w:rPr>
        <w:t>2019</w:t>
      </w:r>
      <w:r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E24FDA3" w14:textId="77777777" w:rsidTr="00C03B9B">
        <w:trPr>
          <w:trHeight w:val="3783"/>
        </w:trPr>
        <w:tc>
          <w:tcPr>
            <w:tcW w:w="9060" w:type="dxa"/>
            <w:shd w:val="clear" w:color="auto" w:fill="auto"/>
          </w:tcPr>
          <w:p w14:paraId="3397B5C4"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14:anchorId="48E90606" wp14:editId="2E98F6DD">
                  <wp:extent cx="5486400" cy="2349796"/>
                  <wp:effectExtent l="0" t="0" r="0" b="0"/>
                  <wp:docPr id="162"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4C234376" w14:textId="77777777" w:rsidR="0071415F" w:rsidRDefault="00C03B9B" w:rsidP="00C03B9B">
      <w:pPr>
        <w:autoSpaceDE w:val="0"/>
        <w:autoSpaceDN w:val="0"/>
        <w:bidi w:val="0"/>
        <w:adjustRightInd w:val="0"/>
        <w:spacing w:after="0" w:line="240" w:lineRule="auto"/>
        <w:ind w:left="720" w:hanging="720"/>
        <w:jc w:val="both"/>
        <w:rPr>
          <w:rFonts w:ascii="Arial" w:hAnsi="Arial"/>
          <w:color w:val="000000"/>
          <w:sz w:val="18"/>
          <w:szCs w:val="18"/>
        </w:rPr>
      </w:pPr>
      <w:r w:rsidRPr="000D2E4D">
        <w:rPr>
          <w:rFonts w:ascii="Arial" w:hAnsi="Arial"/>
          <w:b/>
          <w:bCs/>
          <w:color w:val="000000"/>
          <w:sz w:val="18"/>
          <w:szCs w:val="18"/>
        </w:rPr>
        <w:t xml:space="preserve">Source:Palestinian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Pr>
          <w:rFonts w:ascii="Arial" w:hAnsi="Arial"/>
          <w:color w:val="000000"/>
          <w:sz w:val="18"/>
          <w:szCs w:val="18"/>
        </w:rPr>
        <w:t>Database</w:t>
      </w:r>
      <w:r w:rsidRPr="000D2E4D">
        <w:rPr>
          <w:rFonts w:ascii="Arial" w:hAnsi="Arial"/>
          <w:color w:val="000000"/>
          <w:sz w:val="18"/>
          <w:szCs w:val="18"/>
        </w:rPr>
        <w:t xml:space="preserve">, 2019.  Ramallah </w:t>
      </w:r>
      <w:r>
        <w:rPr>
          <w:rFonts w:ascii="Arial" w:hAnsi="Arial"/>
          <w:color w:val="000000"/>
          <w:sz w:val="18"/>
          <w:szCs w:val="18"/>
        </w:rPr>
        <w:t>–</w:t>
      </w:r>
      <w:r w:rsidRPr="000D2E4D">
        <w:rPr>
          <w:rFonts w:ascii="Arial" w:hAnsi="Arial"/>
          <w:color w:val="000000"/>
          <w:sz w:val="18"/>
          <w:szCs w:val="18"/>
        </w:rPr>
        <w:t xml:space="preserve"> Palestine</w:t>
      </w:r>
      <w:r>
        <w:rPr>
          <w:rFonts w:ascii="Arial" w:hAnsi="Arial"/>
          <w:color w:val="000000"/>
          <w:sz w:val="18"/>
          <w:szCs w:val="18"/>
        </w:rPr>
        <w:t>.</w:t>
      </w:r>
    </w:p>
    <w:p w14:paraId="7FDFD942" w14:textId="77777777" w:rsidR="00C03B9B" w:rsidRDefault="00C03B9B" w:rsidP="00C03B9B">
      <w:pPr>
        <w:autoSpaceDE w:val="0"/>
        <w:autoSpaceDN w:val="0"/>
        <w:bidi w:val="0"/>
        <w:adjustRightInd w:val="0"/>
        <w:spacing w:after="0" w:line="240" w:lineRule="auto"/>
        <w:jc w:val="both"/>
        <w:rPr>
          <w:rFonts w:ascii="Times New Roman" w:hAnsi="Times New Roman" w:cs="Times New Roman"/>
          <w:sz w:val="24"/>
          <w:szCs w:val="24"/>
        </w:rPr>
      </w:pPr>
    </w:p>
    <w:p w14:paraId="499EBF8C" w14:textId="77777777" w:rsidR="0071415F" w:rsidRDefault="007C5647"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w:t>
      </w:r>
      <w:r w:rsidR="0071415F" w:rsidRPr="004232E7">
        <w:rPr>
          <w:rFonts w:ascii="Times New Roman" w:hAnsi="Times New Roman" w:cs="Times New Roman"/>
          <w:sz w:val="24"/>
          <w:szCs w:val="24"/>
        </w:rPr>
        <w:t xml:space="preserve">omen </w:t>
      </w:r>
      <w:r>
        <w:rPr>
          <w:rFonts w:ascii="Times New Roman" w:hAnsi="Times New Roman" w:cs="Times New Roman"/>
          <w:sz w:val="24"/>
          <w:szCs w:val="24"/>
        </w:rPr>
        <w:t xml:space="preserve">age </w:t>
      </w:r>
      <w:r w:rsidR="0071415F" w:rsidRPr="004232E7">
        <w:rPr>
          <w:rFonts w:ascii="Times New Roman" w:hAnsi="Times New Roman" w:cs="Times New Roman"/>
          <w:sz w:val="24"/>
          <w:szCs w:val="24"/>
        </w:rPr>
        <w:t>50-59 are the most exposed to sexual violence from the persons other than an intimate partner</w:t>
      </w:r>
      <w:r w:rsidR="00624BB0">
        <w:rPr>
          <w:rFonts w:ascii="Times New Roman" w:hAnsi="Times New Roman" w:cs="Times New Roman"/>
          <w:sz w:val="24"/>
          <w:szCs w:val="24"/>
        </w:rPr>
        <w:t>; i</w:t>
      </w:r>
      <w:r w:rsidR="0071415F" w:rsidRPr="004232E7">
        <w:rPr>
          <w:rFonts w:ascii="Times New Roman" w:hAnsi="Times New Roman" w:cs="Times New Roman"/>
          <w:sz w:val="24"/>
          <w:szCs w:val="24"/>
        </w:rPr>
        <w:t>n 2019</w:t>
      </w:r>
      <w:r w:rsidR="00624BB0">
        <w:rPr>
          <w:rFonts w:ascii="Times New Roman" w:hAnsi="Times New Roman" w:cs="Times New Roman"/>
          <w:sz w:val="24"/>
          <w:szCs w:val="24"/>
        </w:rPr>
        <w:t>,</w:t>
      </w:r>
      <w:r w:rsidR="0071415F" w:rsidRPr="004232E7">
        <w:rPr>
          <w:rFonts w:ascii="Times New Roman" w:hAnsi="Times New Roman" w:cs="Times New Roman"/>
          <w:sz w:val="24"/>
          <w:szCs w:val="24"/>
        </w:rPr>
        <w:t xml:space="preserve"> about 4.2% of them</w:t>
      </w:r>
      <w:r w:rsidR="00624BB0">
        <w:rPr>
          <w:rFonts w:ascii="Times New Roman" w:hAnsi="Times New Roman" w:cs="Times New Roman"/>
          <w:sz w:val="24"/>
          <w:szCs w:val="24"/>
        </w:rPr>
        <w:t xml:space="preserve"> were exposed </w:t>
      </w:r>
      <w:r w:rsidR="00667346">
        <w:rPr>
          <w:rFonts w:ascii="Times New Roman" w:hAnsi="Times New Roman" w:cs="Times New Roman"/>
          <w:sz w:val="24"/>
          <w:szCs w:val="24"/>
        </w:rPr>
        <w:t xml:space="preserve">to this violence and </w:t>
      </w:r>
      <w:r w:rsidR="0071415F" w:rsidRPr="004232E7">
        <w:rPr>
          <w:rFonts w:ascii="Times New Roman" w:hAnsi="Times New Roman" w:cs="Times New Roman"/>
          <w:sz w:val="24"/>
          <w:szCs w:val="24"/>
        </w:rPr>
        <w:t xml:space="preserve"> 4.0% of the women and girls in </w:t>
      </w:r>
      <w:r w:rsidR="00667346">
        <w:rPr>
          <w:rFonts w:ascii="Times New Roman" w:hAnsi="Times New Roman" w:cs="Times New Roman"/>
          <w:sz w:val="24"/>
          <w:szCs w:val="24"/>
        </w:rPr>
        <w:t xml:space="preserve">of the </w:t>
      </w:r>
      <w:r w:rsidR="0071415F" w:rsidRPr="004232E7">
        <w:rPr>
          <w:rFonts w:ascii="Times New Roman" w:hAnsi="Times New Roman" w:cs="Times New Roman"/>
          <w:sz w:val="24"/>
          <w:szCs w:val="24"/>
        </w:rPr>
        <w:t xml:space="preserve">20-29 </w:t>
      </w:r>
      <w:r w:rsidR="00667346">
        <w:rPr>
          <w:rFonts w:ascii="Times New Roman" w:hAnsi="Times New Roman" w:cs="Times New Roman"/>
          <w:sz w:val="24"/>
          <w:szCs w:val="24"/>
        </w:rPr>
        <w:t xml:space="preserve">age group </w:t>
      </w:r>
      <w:r w:rsidR="0071415F" w:rsidRPr="004232E7">
        <w:rPr>
          <w:rFonts w:ascii="Times New Roman" w:hAnsi="Times New Roman" w:cs="Times New Roman"/>
          <w:sz w:val="24"/>
          <w:szCs w:val="24"/>
        </w:rPr>
        <w:t>experienced this violence.</w:t>
      </w:r>
    </w:p>
    <w:p w14:paraId="6A274063" w14:textId="77777777" w:rsidR="005404F9" w:rsidRPr="004232E7" w:rsidRDefault="005404F9" w:rsidP="005404F9">
      <w:pPr>
        <w:autoSpaceDE w:val="0"/>
        <w:autoSpaceDN w:val="0"/>
        <w:bidi w:val="0"/>
        <w:adjustRightInd w:val="0"/>
        <w:spacing w:after="0" w:line="240" w:lineRule="auto"/>
        <w:jc w:val="both"/>
        <w:rPr>
          <w:rFonts w:ascii="Times New Roman" w:hAnsi="Times New Roman" w:cs="Times New Roman"/>
          <w:sz w:val="24"/>
          <w:szCs w:val="24"/>
        </w:rPr>
      </w:pPr>
    </w:p>
    <w:p w14:paraId="7EDE10B2" w14:textId="3AA01B16" w:rsidR="0071415F"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Percentage </w:t>
      </w:r>
      <w:r>
        <w:rPr>
          <w:rFonts w:ascii="Arial" w:hAnsi="Arial"/>
          <w:b/>
          <w:bCs/>
        </w:rPr>
        <w:t>of</w:t>
      </w:r>
      <w:r w:rsidR="00290E60">
        <w:rPr>
          <w:rFonts w:ascii="Arial" w:hAnsi="Arial"/>
          <w:b/>
          <w:bCs/>
        </w:rPr>
        <w:t xml:space="preserve"> </w:t>
      </w:r>
      <w:r w:rsidR="00667346">
        <w:rPr>
          <w:rFonts w:ascii="Arial" w:hAnsi="Arial"/>
          <w:b/>
          <w:bCs/>
        </w:rPr>
        <w:t>W</w:t>
      </w:r>
      <w:r w:rsidRPr="00620AC1">
        <w:rPr>
          <w:rFonts w:ascii="Arial" w:hAnsi="Arial"/>
          <w:b/>
          <w:bCs/>
        </w:rPr>
        <w:t xml:space="preserve">omen and </w:t>
      </w:r>
      <w:r w:rsidR="00667346">
        <w:rPr>
          <w:rFonts w:ascii="Arial" w:hAnsi="Arial"/>
          <w:b/>
          <w:bCs/>
        </w:rPr>
        <w:t>G</w:t>
      </w:r>
      <w:r w:rsidRPr="00620AC1">
        <w:rPr>
          <w:rFonts w:ascii="Arial" w:hAnsi="Arial"/>
          <w:b/>
          <w:bCs/>
        </w:rPr>
        <w:t xml:space="preserve">irls </w:t>
      </w:r>
      <w:r w:rsidRPr="00CD5DFB">
        <w:rPr>
          <w:rFonts w:ascii="Arial" w:hAnsi="Arial"/>
          <w:b/>
          <w:bCs/>
        </w:rPr>
        <w:t xml:space="preserve">(15-64 Years) </w:t>
      </w:r>
      <w:r w:rsidR="00667346">
        <w:rPr>
          <w:rFonts w:ascii="Arial" w:hAnsi="Arial"/>
          <w:b/>
          <w:bCs/>
        </w:rPr>
        <w:t>S</w:t>
      </w:r>
      <w:r w:rsidRPr="00620AC1">
        <w:rPr>
          <w:rFonts w:ascii="Arial" w:hAnsi="Arial"/>
          <w:b/>
          <w:bCs/>
        </w:rPr>
        <w:t xml:space="preserve">ubjected to </w:t>
      </w:r>
      <w:r w:rsidR="00667346">
        <w:rPr>
          <w:rFonts w:ascii="Arial" w:hAnsi="Arial"/>
          <w:b/>
          <w:bCs/>
        </w:rPr>
        <w:t>S</w:t>
      </w:r>
      <w:r w:rsidRPr="00620AC1">
        <w:rPr>
          <w:rFonts w:ascii="Arial" w:hAnsi="Arial"/>
          <w:b/>
          <w:bCs/>
        </w:rPr>
        <w:t xml:space="preserve">exual </w:t>
      </w:r>
      <w:r w:rsidR="00667346">
        <w:rPr>
          <w:rFonts w:ascii="Arial" w:hAnsi="Arial"/>
          <w:b/>
          <w:bCs/>
        </w:rPr>
        <w:t>V</w:t>
      </w:r>
      <w:r w:rsidRPr="00620AC1">
        <w:rPr>
          <w:rFonts w:ascii="Arial" w:hAnsi="Arial"/>
          <w:b/>
          <w:bCs/>
        </w:rPr>
        <w:t xml:space="preserve">iolence by </w:t>
      </w:r>
      <w:r w:rsidR="00667346">
        <w:rPr>
          <w:rFonts w:ascii="Arial" w:hAnsi="Arial"/>
          <w:b/>
          <w:bCs/>
        </w:rPr>
        <w:t>P</w:t>
      </w:r>
      <w:r w:rsidRPr="00620AC1">
        <w:rPr>
          <w:rFonts w:ascii="Arial" w:hAnsi="Arial"/>
          <w:b/>
          <w:bCs/>
        </w:rPr>
        <w:t xml:space="preserve">ersons other than an </w:t>
      </w:r>
      <w:r w:rsidR="00667346">
        <w:rPr>
          <w:rFonts w:ascii="Arial" w:hAnsi="Arial"/>
          <w:b/>
          <w:bCs/>
        </w:rPr>
        <w:t>I</w:t>
      </w:r>
      <w:r w:rsidRPr="00620AC1">
        <w:rPr>
          <w:rFonts w:ascii="Arial" w:hAnsi="Arial"/>
          <w:b/>
          <w:bCs/>
        </w:rPr>
        <w:t xml:space="preserve">ntimate </w:t>
      </w:r>
      <w:r w:rsidR="00667346">
        <w:rPr>
          <w:rFonts w:ascii="Arial" w:hAnsi="Arial"/>
          <w:b/>
          <w:bCs/>
        </w:rPr>
        <w:t>P</w:t>
      </w:r>
      <w:r w:rsidRPr="00620AC1">
        <w:rPr>
          <w:rFonts w:ascii="Arial" w:hAnsi="Arial"/>
          <w:b/>
          <w:bCs/>
        </w:rPr>
        <w:t xml:space="preserve">artner in the </w:t>
      </w:r>
      <w:r w:rsidR="00667346">
        <w:rPr>
          <w:rFonts w:ascii="Arial" w:hAnsi="Arial"/>
          <w:b/>
          <w:bCs/>
        </w:rPr>
        <w:t>P</w:t>
      </w:r>
      <w:r w:rsidRPr="00620AC1">
        <w:rPr>
          <w:rFonts w:ascii="Arial" w:hAnsi="Arial"/>
          <w:b/>
          <w:bCs/>
        </w:rPr>
        <w:t>revious 12 months</w:t>
      </w:r>
      <w:r w:rsidRPr="00CD5DFB">
        <w:rPr>
          <w:rFonts w:ascii="Arial" w:hAnsi="Arial"/>
          <w:b/>
          <w:bCs/>
        </w:rPr>
        <w:t>Preceding the Interview</w:t>
      </w:r>
      <w:r>
        <w:rPr>
          <w:rFonts w:ascii="Arial" w:hAnsi="Arial"/>
          <w:b/>
          <w:bCs/>
        </w:rPr>
        <w:t xml:space="preserve"> by Age Group, 2019 </w:t>
      </w:r>
      <w:r w:rsidRPr="00CD5DFB">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79281B1" w14:textId="77777777" w:rsidTr="00C03B9B">
        <w:tc>
          <w:tcPr>
            <w:tcW w:w="9060" w:type="dxa"/>
            <w:shd w:val="clear" w:color="auto" w:fill="auto"/>
            <w:vAlign w:val="center"/>
          </w:tcPr>
          <w:p w14:paraId="28336ABC" w14:textId="77777777" w:rsidR="0071415F" w:rsidRPr="000D2E4D" w:rsidRDefault="0071415F" w:rsidP="009E4880">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14:anchorId="3D43383A" wp14:editId="56D0EEE6">
                  <wp:extent cx="5466522" cy="2395331"/>
                  <wp:effectExtent l="0" t="0" r="1270" b="5080"/>
                  <wp:docPr id="163"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14:paraId="2A864383" w14:textId="77777777" w:rsidR="00087C99" w:rsidRDefault="00C03B9B" w:rsidP="00E74AED">
      <w:pPr>
        <w:autoSpaceDE w:val="0"/>
        <w:autoSpaceDN w:val="0"/>
        <w:bidi w:val="0"/>
        <w:adjustRightInd w:val="0"/>
        <w:spacing w:after="0" w:line="240" w:lineRule="auto"/>
        <w:ind w:left="720" w:hanging="720"/>
        <w:jc w:val="both"/>
        <w:rPr>
          <w:rFonts w:ascii="Arial" w:hAnsi="Arial"/>
          <w:color w:val="000000"/>
          <w:sz w:val="18"/>
          <w:szCs w:val="18"/>
        </w:rPr>
      </w:pPr>
      <w:r w:rsidRPr="000D2E4D">
        <w:rPr>
          <w:rFonts w:ascii="Arial" w:hAnsi="Arial"/>
          <w:b/>
          <w:bCs/>
          <w:color w:val="000000"/>
          <w:sz w:val="18"/>
          <w:szCs w:val="18"/>
        </w:rPr>
        <w:t xml:space="preserve">Source:Palestinian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Pr>
          <w:rFonts w:ascii="Arial" w:hAnsi="Arial"/>
          <w:color w:val="000000"/>
          <w:sz w:val="18"/>
          <w:szCs w:val="18"/>
        </w:rPr>
        <w:t>Database</w:t>
      </w:r>
      <w:r w:rsidRPr="000D2E4D">
        <w:rPr>
          <w:rFonts w:ascii="Arial" w:hAnsi="Arial"/>
          <w:color w:val="000000"/>
          <w:sz w:val="18"/>
          <w:szCs w:val="18"/>
        </w:rPr>
        <w:t xml:space="preserve">, 2019.  Ramallah </w:t>
      </w:r>
      <w:r>
        <w:rPr>
          <w:rFonts w:ascii="Arial" w:hAnsi="Arial"/>
          <w:color w:val="000000"/>
          <w:sz w:val="18"/>
          <w:szCs w:val="18"/>
        </w:rPr>
        <w:t>–</w:t>
      </w:r>
      <w:r w:rsidRPr="000D2E4D">
        <w:rPr>
          <w:rFonts w:ascii="Arial" w:hAnsi="Arial"/>
          <w:color w:val="000000"/>
          <w:sz w:val="18"/>
          <w:szCs w:val="18"/>
        </w:rPr>
        <w:t xml:space="preserve"> Palestine</w:t>
      </w:r>
      <w:r>
        <w:rPr>
          <w:rFonts w:ascii="Arial" w:hAnsi="Arial"/>
          <w:color w:val="000000"/>
          <w:sz w:val="18"/>
          <w:szCs w:val="18"/>
        </w:rPr>
        <w:t>.</w:t>
      </w:r>
    </w:p>
    <w:p w14:paraId="7BD8B4C1" w14:textId="77777777" w:rsidR="00C03B9B" w:rsidRDefault="00C03B9B" w:rsidP="00C03B9B">
      <w:pPr>
        <w:autoSpaceDE w:val="0"/>
        <w:autoSpaceDN w:val="0"/>
        <w:bidi w:val="0"/>
        <w:adjustRightInd w:val="0"/>
        <w:spacing w:after="0" w:line="240" w:lineRule="auto"/>
        <w:jc w:val="both"/>
        <w:rPr>
          <w:rFonts w:ascii="Times New Roman" w:hAnsi="Times New Roman" w:cs="Times New Roman"/>
          <w:b/>
          <w:bCs/>
          <w:i/>
          <w:iCs/>
          <w:sz w:val="24"/>
          <w:szCs w:val="24"/>
          <w:rtl/>
        </w:rPr>
      </w:pPr>
    </w:p>
    <w:p w14:paraId="439B4AD9" w14:textId="77777777" w:rsidR="0071415F" w:rsidRDefault="0071415F" w:rsidP="00087C99">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5.3.1 Proportion of women aged 20–24 years who were married or in a union before age 15 and before age 18</w:t>
      </w:r>
    </w:p>
    <w:p w14:paraId="37932EB0"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2472F732"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 decline in the percentage of women aged 20-24 years who were married before the age of 18 in Palestine, as it dropped from 18.0% in 2007 to about </w:t>
      </w:r>
      <w:r>
        <w:rPr>
          <w:rFonts w:ascii="Times New Roman" w:hAnsi="Times New Roman" w:cs="Times New Roman"/>
          <w:sz w:val="24"/>
          <w:szCs w:val="24"/>
        </w:rPr>
        <w:t>13.4</w:t>
      </w:r>
      <w:r w:rsidRPr="00540428">
        <w:rPr>
          <w:rFonts w:ascii="Times New Roman" w:hAnsi="Times New Roman" w:cs="Times New Roman"/>
          <w:sz w:val="24"/>
          <w:szCs w:val="24"/>
        </w:rPr>
        <w:t xml:space="preserve">% in </w:t>
      </w:r>
      <w:r>
        <w:rPr>
          <w:rFonts w:ascii="Times New Roman" w:hAnsi="Times New Roman" w:cs="Times New Roman"/>
          <w:sz w:val="24"/>
          <w:szCs w:val="24"/>
        </w:rPr>
        <w:t>2019</w:t>
      </w:r>
      <w:r w:rsidRPr="00540428">
        <w:rPr>
          <w:rFonts w:ascii="Times New Roman" w:hAnsi="Times New Roman" w:cs="Times New Roman"/>
          <w:sz w:val="24"/>
          <w:szCs w:val="24"/>
        </w:rPr>
        <w:t>.</w:t>
      </w:r>
    </w:p>
    <w:p w14:paraId="69820A29"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3CCCAE4C"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3476690" w14:textId="77777777" w:rsidR="0071415F" w:rsidRPr="00E32A39"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35366AB2"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lastRenderedPageBreak/>
        <w:t>Proportion of Women Aged (20-24 Years) who were Married before the Age of 18 Years old</w:t>
      </w:r>
      <w:r w:rsidR="00B35D8B">
        <w:rPr>
          <w:rFonts w:ascii="Arial" w:hAnsi="Arial"/>
          <w:b/>
          <w:bCs/>
        </w:rPr>
        <w:t>by Region</w:t>
      </w:r>
      <w:r>
        <w:rPr>
          <w:rFonts w:ascii="Arial" w:hAnsi="Arial"/>
          <w:b/>
          <w:bCs/>
        </w:rPr>
        <w:t>,</w:t>
      </w:r>
      <w:r w:rsidRPr="00CD5DFB">
        <w:rPr>
          <w:rFonts w:ascii="Arial" w:hAnsi="Arial"/>
          <w:b/>
          <w:bCs/>
        </w:rPr>
        <w:t xml:space="preserve"> for </w:t>
      </w:r>
      <w:r w:rsidR="00667346">
        <w:rPr>
          <w:rFonts w:ascii="Arial" w:hAnsi="Arial"/>
          <w:b/>
          <w:bCs/>
        </w:rPr>
        <w:t>S</w:t>
      </w:r>
      <w:r w:rsidRPr="00CD5DFB">
        <w:rPr>
          <w:rFonts w:ascii="Arial" w:hAnsi="Arial"/>
          <w:b/>
          <w:bCs/>
        </w:rPr>
        <w:t xml:space="preserve">elected </w:t>
      </w:r>
      <w:r w:rsidR="00667346">
        <w:rPr>
          <w:rFonts w:ascii="Arial" w:hAnsi="Arial"/>
          <w:b/>
          <w:bCs/>
        </w:rPr>
        <w:t>Y</w:t>
      </w:r>
      <w:r w:rsidRPr="00CD5DFB">
        <w:rPr>
          <w:rFonts w:ascii="Arial" w:hAnsi="Arial"/>
          <w:b/>
          <w:bCs/>
        </w:rPr>
        <w:t>ears (%)</w:t>
      </w:r>
    </w:p>
    <w:tbl>
      <w:tblPr>
        <w:tblW w:w="90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71415F" w:rsidRPr="000D2E4D" w14:paraId="5D4771F8" w14:textId="77777777" w:rsidTr="00095BE7">
        <w:trPr>
          <w:trHeight w:val="3284"/>
        </w:trPr>
        <w:tc>
          <w:tcPr>
            <w:tcW w:w="9089" w:type="dxa"/>
            <w:shd w:val="clear" w:color="auto" w:fill="auto"/>
          </w:tcPr>
          <w:p w14:paraId="03A7F3FA"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rPr>
              <w:drawing>
                <wp:inline distT="0" distB="0" distL="0" distR="0" wp14:anchorId="2869C1A0" wp14:editId="7C35E951">
                  <wp:extent cx="5410200" cy="1995805"/>
                  <wp:effectExtent l="0" t="0" r="0" b="4445"/>
                  <wp:docPr id="60"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14:paraId="18EC211F" w14:textId="77777777" w:rsidR="00712496" w:rsidRPr="00996372" w:rsidRDefault="0071415F" w:rsidP="00712496">
      <w:pPr>
        <w:autoSpaceDE w:val="0"/>
        <w:autoSpaceDN w:val="0"/>
        <w:bidi w:val="0"/>
        <w:adjustRightInd w:val="0"/>
        <w:spacing w:after="0" w:line="240" w:lineRule="auto"/>
        <w:ind w:left="720" w:hanging="720"/>
        <w:jc w:val="both"/>
        <w:rPr>
          <w:rFonts w:asciiTheme="minorBidi" w:hAnsiTheme="minorBidi" w:cstheme="minorBidi"/>
          <w:sz w:val="18"/>
          <w:szCs w:val="18"/>
        </w:rPr>
      </w:pPr>
      <w:r w:rsidRPr="00996372">
        <w:rPr>
          <w:rFonts w:asciiTheme="minorBidi" w:hAnsiTheme="minorBidi" w:cstheme="minorBidi"/>
          <w:b/>
          <w:bCs/>
          <w:color w:val="000000"/>
          <w:sz w:val="18"/>
          <w:szCs w:val="18"/>
        </w:rPr>
        <w:t>Source</w:t>
      </w:r>
      <w:r w:rsidRPr="00996372">
        <w:rPr>
          <w:rFonts w:asciiTheme="minorBidi" w:hAnsiTheme="minorBidi" w:cstheme="minorBidi"/>
          <w:color w:val="000000"/>
          <w:sz w:val="18"/>
          <w:szCs w:val="18"/>
        </w:rPr>
        <w:t>:</w:t>
      </w:r>
      <w:r w:rsidRPr="00996372">
        <w:rPr>
          <w:rFonts w:asciiTheme="minorBidi" w:hAnsiTheme="minorBidi" w:cstheme="minorBidi"/>
          <w:b/>
          <w:bCs/>
          <w:color w:val="000000" w:themeColor="text1"/>
          <w:sz w:val="18"/>
          <w:szCs w:val="18"/>
        </w:rPr>
        <w:t>Palestinian Central Bureau of Statistics</w:t>
      </w:r>
      <w:r w:rsidRPr="00996372">
        <w:rPr>
          <w:rFonts w:asciiTheme="minorBidi" w:hAnsiTheme="minorBidi" w:cstheme="minorBidi"/>
          <w:color w:val="000000" w:themeColor="text1"/>
          <w:sz w:val="18"/>
          <w:szCs w:val="18"/>
        </w:rPr>
        <w:t>, Census of Population, Housing and Esta</w:t>
      </w:r>
      <w:r w:rsidR="00C03B9B">
        <w:rPr>
          <w:rFonts w:asciiTheme="minorBidi" w:hAnsiTheme="minorBidi" w:cstheme="minorBidi"/>
          <w:color w:val="000000" w:themeColor="text1"/>
          <w:sz w:val="18"/>
          <w:szCs w:val="18"/>
        </w:rPr>
        <w:t>blishment Database, 2007, 2017.</w:t>
      </w:r>
      <w:r w:rsidRPr="00996372">
        <w:rPr>
          <w:rFonts w:asciiTheme="minorBidi" w:hAnsiTheme="minorBidi" w:cstheme="minorBidi"/>
          <w:color w:val="000000" w:themeColor="text1"/>
          <w:sz w:val="18"/>
          <w:szCs w:val="18"/>
        </w:rPr>
        <w:t>Ramallah - Palestine</w:t>
      </w:r>
      <w:r w:rsidRPr="00996372">
        <w:rPr>
          <w:rFonts w:asciiTheme="minorBidi" w:hAnsiTheme="minorBidi" w:cstheme="minorBidi"/>
          <w:sz w:val="18"/>
          <w:szCs w:val="18"/>
        </w:rPr>
        <w:t>.</w:t>
      </w:r>
    </w:p>
    <w:p w14:paraId="35BF5690" w14:textId="77777777" w:rsidR="00996372" w:rsidRPr="00996372" w:rsidRDefault="00996372" w:rsidP="00E74AED">
      <w:pPr>
        <w:autoSpaceDE w:val="0"/>
        <w:autoSpaceDN w:val="0"/>
        <w:bidi w:val="0"/>
        <w:adjustRightInd w:val="0"/>
        <w:spacing w:after="0" w:line="240" w:lineRule="auto"/>
        <w:ind w:left="720"/>
        <w:jc w:val="both"/>
        <w:rPr>
          <w:rFonts w:asciiTheme="minorBidi" w:hAnsiTheme="minorBidi" w:cstheme="minorBidi"/>
          <w:sz w:val="18"/>
        </w:rPr>
      </w:pPr>
      <w:r w:rsidRPr="00996372">
        <w:rPr>
          <w:rFonts w:asciiTheme="minorBidi" w:hAnsiTheme="minorBidi" w:cstheme="minorBidi"/>
          <w:b/>
          <w:bCs/>
          <w:sz w:val="18"/>
          <w:szCs w:val="18"/>
        </w:rPr>
        <w:t xml:space="preserve">Palestinian Central Bureau of Statistics, </w:t>
      </w:r>
      <w:r w:rsidRPr="00996372">
        <w:rPr>
          <w:rFonts w:asciiTheme="minorBidi" w:hAnsiTheme="minorBidi" w:cstheme="minorBidi"/>
          <w:sz w:val="18"/>
          <w:szCs w:val="18"/>
        </w:rPr>
        <w:t xml:space="preserve">Palestinian Multiple Indicator Cluster Survey Database, 2014, 2019-2020. </w:t>
      </w:r>
      <w:r w:rsidRPr="00996372">
        <w:rPr>
          <w:rFonts w:asciiTheme="minorBidi" w:hAnsiTheme="minorBidi" w:cstheme="minorBidi"/>
          <w:sz w:val="18"/>
        </w:rPr>
        <w:t>Ramallah – Palestine</w:t>
      </w:r>
    </w:p>
    <w:p w14:paraId="0868A3EA" w14:textId="77777777" w:rsidR="00996372" w:rsidRPr="00712496" w:rsidRDefault="00996372" w:rsidP="00996372">
      <w:pPr>
        <w:autoSpaceDE w:val="0"/>
        <w:autoSpaceDN w:val="0"/>
        <w:bidi w:val="0"/>
        <w:adjustRightInd w:val="0"/>
        <w:spacing w:after="0" w:line="240" w:lineRule="auto"/>
        <w:ind w:left="720" w:hanging="720"/>
        <w:jc w:val="both"/>
        <w:rPr>
          <w:rFonts w:ascii="Arial" w:hAnsi="Arial"/>
          <w:sz w:val="18"/>
          <w:szCs w:val="18"/>
        </w:rPr>
      </w:pPr>
    </w:p>
    <w:p w14:paraId="3164F411" w14:textId="77777777" w:rsidR="0071415F" w:rsidRPr="00E32A39" w:rsidRDefault="0071415F" w:rsidP="0071415F">
      <w:pPr>
        <w:autoSpaceDE w:val="0"/>
        <w:autoSpaceDN w:val="0"/>
        <w:bidi w:val="0"/>
        <w:adjustRightInd w:val="0"/>
        <w:spacing w:after="0" w:line="240" w:lineRule="auto"/>
        <w:jc w:val="both"/>
        <w:rPr>
          <w:rFonts w:ascii="Arial" w:hAnsi="Arial"/>
          <w:sz w:val="18"/>
          <w:szCs w:val="18"/>
        </w:rPr>
      </w:pPr>
    </w:p>
    <w:p w14:paraId="08F40287" w14:textId="77777777" w:rsidR="0071415F" w:rsidRDefault="00667346" w:rsidP="0071415F">
      <w:pPr>
        <w:autoSpaceDE w:val="0"/>
        <w:autoSpaceDN w:val="0"/>
        <w:bidi w:val="0"/>
        <w:adjustRightInd w:val="0"/>
        <w:spacing w:after="0" w:line="240" w:lineRule="auto"/>
        <w:jc w:val="both"/>
        <w:rPr>
          <w:rFonts w:ascii="Times New Roman" w:hAnsi="Times New Roman" w:cs="Times New Roman"/>
          <w:sz w:val="16"/>
          <w:szCs w:val="16"/>
        </w:rPr>
      </w:pPr>
      <w:r>
        <w:rPr>
          <w:rFonts w:ascii="Times New Roman" w:hAnsi="Times New Roman" w:cs="Times New Roman"/>
          <w:sz w:val="24"/>
          <w:szCs w:val="24"/>
        </w:rPr>
        <w:t xml:space="preserve">In terms of </w:t>
      </w:r>
      <w:r w:rsidR="0071415F" w:rsidRPr="00540428">
        <w:rPr>
          <w:rFonts w:ascii="Times New Roman" w:hAnsi="Times New Roman" w:cs="Times New Roman"/>
          <w:sz w:val="24"/>
          <w:szCs w:val="24"/>
        </w:rPr>
        <w:t>women age</w:t>
      </w:r>
      <w:r>
        <w:rPr>
          <w:rFonts w:ascii="Times New Roman" w:hAnsi="Times New Roman" w:cs="Times New Roman"/>
          <w:sz w:val="24"/>
          <w:szCs w:val="24"/>
        </w:rPr>
        <w:t>s</w:t>
      </w:r>
      <w:r w:rsidR="0071415F" w:rsidRPr="00540428">
        <w:rPr>
          <w:rFonts w:ascii="Times New Roman" w:hAnsi="Times New Roman" w:cs="Times New Roman"/>
          <w:sz w:val="24"/>
          <w:szCs w:val="24"/>
        </w:rPr>
        <w:t xml:space="preserve">  20-24 years </w:t>
      </w:r>
      <w:r>
        <w:rPr>
          <w:rFonts w:ascii="Times New Roman" w:hAnsi="Times New Roman" w:cs="Times New Roman"/>
          <w:sz w:val="24"/>
          <w:szCs w:val="24"/>
        </w:rPr>
        <w:t xml:space="preserve">that </w:t>
      </w:r>
      <w:r w:rsidR="0071415F" w:rsidRPr="00540428">
        <w:rPr>
          <w:rFonts w:ascii="Times New Roman" w:hAnsi="Times New Roman" w:cs="Times New Roman"/>
          <w:sz w:val="24"/>
          <w:szCs w:val="24"/>
        </w:rPr>
        <w:t xml:space="preserve">were married before the age of 15, </w:t>
      </w:r>
      <w:r>
        <w:rPr>
          <w:rFonts w:ascii="Times New Roman" w:hAnsi="Times New Roman" w:cs="Times New Roman"/>
          <w:sz w:val="24"/>
          <w:szCs w:val="24"/>
        </w:rPr>
        <w:t xml:space="preserve">they account for </w:t>
      </w:r>
      <w:r w:rsidR="0071415F">
        <w:rPr>
          <w:rFonts w:ascii="Times New Roman" w:hAnsi="Times New Roman" w:cs="Times New Roman"/>
          <w:sz w:val="24"/>
          <w:szCs w:val="24"/>
        </w:rPr>
        <w:t>0.7</w:t>
      </w:r>
      <w:r w:rsidR="0071415F" w:rsidRPr="00540428">
        <w:rPr>
          <w:rFonts w:ascii="Times New Roman" w:hAnsi="Times New Roman" w:cs="Times New Roman"/>
          <w:sz w:val="24"/>
          <w:szCs w:val="24"/>
        </w:rPr>
        <w:t xml:space="preserve">% in Palestine of which 0.3% </w:t>
      </w:r>
      <w:r>
        <w:rPr>
          <w:rFonts w:ascii="Times New Roman" w:hAnsi="Times New Roman" w:cs="Times New Roman"/>
          <w:sz w:val="24"/>
          <w:szCs w:val="24"/>
        </w:rPr>
        <w:t xml:space="preserve">were </w:t>
      </w:r>
      <w:r w:rsidR="0071415F" w:rsidRPr="00540428">
        <w:rPr>
          <w:rFonts w:ascii="Times New Roman" w:hAnsi="Times New Roman" w:cs="Times New Roman"/>
          <w:sz w:val="24"/>
          <w:szCs w:val="24"/>
        </w:rPr>
        <w:t xml:space="preserve">in the West Bank and </w:t>
      </w:r>
      <w:r w:rsidR="0071415F">
        <w:rPr>
          <w:rFonts w:ascii="Times New Roman" w:hAnsi="Times New Roman" w:cs="Times New Roman"/>
          <w:sz w:val="24"/>
          <w:szCs w:val="24"/>
        </w:rPr>
        <w:t>1.4</w:t>
      </w:r>
      <w:r w:rsidR="0071415F" w:rsidRPr="00540428">
        <w:rPr>
          <w:rFonts w:ascii="Times New Roman" w:hAnsi="Times New Roman" w:cs="Times New Roman"/>
          <w:sz w:val="24"/>
          <w:szCs w:val="24"/>
        </w:rPr>
        <w:t xml:space="preserve">% in Gaza Strip for the year </w:t>
      </w:r>
      <w:r w:rsidR="0071415F">
        <w:rPr>
          <w:rFonts w:ascii="Times New Roman" w:hAnsi="Times New Roman" w:cs="Times New Roman"/>
          <w:sz w:val="24"/>
          <w:szCs w:val="24"/>
        </w:rPr>
        <w:t>2019</w:t>
      </w:r>
      <w:r w:rsidR="0071415F" w:rsidRPr="00540428">
        <w:rPr>
          <w:rFonts w:ascii="Times New Roman" w:hAnsi="Times New Roman" w:cs="Times New Roman"/>
          <w:sz w:val="24"/>
          <w:szCs w:val="24"/>
        </w:rPr>
        <w:t>.</w:t>
      </w:r>
    </w:p>
    <w:p w14:paraId="14119A10"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025000F4"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Proportion of Women Aged (20-24 Years) who were Married before the </w:t>
      </w:r>
      <w:r w:rsidR="00667346">
        <w:rPr>
          <w:rFonts w:ascii="Arial" w:hAnsi="Arial"/>
          <w:b/>
          <w:bCs/>
        </w:rPr>
        <w:t>A</w:t>
      </w:r>
      <w:r w:rsidRPr="00CD5DFB">
        <w:rPr>
          <w:rFonts w:ascii="Arial" w:hAnsi="Arial"/>
          <w:b/>
          <w:bCs/>
        </w:rPr>
        <w:t>ge of 15 Years old</w:t>
      </w:r>
      <w:r w:rsidR="00B35D8B">
        <w:rPr>
          <w:rFonts w:ascii="Arial" w:hAnsi="Arial"/>
          <w:b/>
          <w:bCs/>
        </w:rPr>
        <w:t xml:space="preserve"> by Region</w:t>
      </w:r>
      <w:r w:rsidRPr="00CD5DFB">
        <w:rPr>
          <w:rFonts w:ascii="Arial" w:hAnsi="Arial"/>
          <w:b/>
          <w:bCs/>
        </w:rPr>
        <w:t xml:space="preserve">, for </w:t>
      </w:r>
      <w:r w:rsidR="00667346">
        <w:rPr>
          <w:rFonts w:ascii="Arial" w:hAnsi="Arial"/>
          <w:b/>
          <w:bCs/>
        </w:rPr>
        <w:t>S</w:t>
      </w:r>
      <w:r w:rsidRPr="00CD5DFB">
        <w:rPr>
          <w:rFonts w:ascii="Arial" w:hAnsi="Arial"/>
          <w:b/>
          <w:bCs/>
        </w:rPr>
        <w:t xml:space="preserve">elected </w:t>
      </w:r>
      <w:r w:rsidR="00667346">
        <w:rPr>
          <w:rFonts w:ascii="Arial" w:hAnsi="Arial"/>
          <w:b/>
          <w:bCs/>
        </w:rPr>
        <w:t>Y</w:t>
      </w:r>
      <w:r w:rsidRPr="00CD5DFB">
        <w:rPr>
          <w:rFonts w:ascii="Arial" w:hAnsi="Arial"/>
          <w:b/>
          <w:bCs/>
        </w:rPr>
        <w:t>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B43F711" w14:textId="77777777" w:rsidTr="00095BE7">
        <w:trPr>
          <w:trHeight w:val="3897"/>
        </w:trPr>
        <w:tc>
          <w:tcPr>
            <w:tcW w:w="9060" w:type="dxa"/>
            <w:shd w:val="clear" w:color="auto" w:fill="auto"/>
          </w:tcPr>
          <w:p w14:paraId="52413967"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14:anchorId="3B44D298" wp14:editId="5A4FE8F5">
                  <wp:extent cx="5469890" cy="2438400"/>
                  <wp:effectExtent l="0" t="0" r="0" b="0"/>
                  <wp:docPr id="61" name="Char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14:paraId="696A1F11" w14:textId="77777777" w:rsidR="002C448A" w:rsidRPr="00996372" w:rsidRDefault="0071415F" w:rsidP="002C448A">
      <w:pPr>
        <w:bidi w:val="0"/>
        <w:spacing w:after="0" w:line="240" w:lineRule="auto"/>
        <w:ind w:left="720" w:hanging="720"/>
        <w:rPr>
          <w:rFonts w:asciiTheme="minorBidi" w:hAnsiTheme="minorBidi" w:cstheme="minorBidi"/>
          <w:color w:val="000000"/>
          <w:sz w:val="18"/>
          <w:szCs w:val="18"/>
        </w:rPr>
      </w:pPr>
      <w:r w:rsidRPr="00996372">
        <w:rPr>
          <w:rFonts w:asciiTheme="minorBidi" w:hAnsiTheme="minorBidi" w:cstheme="minorBidi"/>
          <w:b/>
          <w:bCs/>
          <w:color w:val="000000"/>
          <w:sz w:val="18"/>
          <w:szCs w:val="18"/>
        </w:rPr>
        <w:t xml:space="preserve">Source: </w:t>
      </w:r>
      <w:r w:rsidRPr="00996372">
        <w:rPr>
          <w:rFonts w:asciiTheme="minorBidi" w:hAnsiTheme="minorBidi" w:cstheme="minorBidi"/>
          <w:b/>
          <w:bCs/>
          <w:color w:val="000000" w:themeColor="text1"/>
          <w:sz w:val="18"/>
          <w:szCs w:val="18"/>
        </w:rPr>
        <w:t xml:space="preserve">Palestinian Central Bureau of </w:t>
      </w:r>
      <w:r w:rsidR="00AC2E62" w:rsidRPr="00996372">
        <w:rPr>
          <w:rFonts w:asciiTheme="minorBidi" w:hAnsiTheme="minorBidi" w:cstheme="minorBidi"/>
          <w:b/>
          <w:bCs/>
          <w:color w:val="000000" w:themeColor="text1"/>
          <w:sz w:val="18"/>
          <w:szCs w:val="18"/>
        </w:rPr>
        <w:t>Statistics</w:t>
      </w:r>
      <w:r w:rsidR="00AC2E62" w:rsidRPr="00996372">
        <w:rPr>
          <w:rFonts w:asciiTheme="minorBidi" w:hAnsiTheme="minorBidi" w:cstheme="minorBidi"/>
          <w:color w:val="000000" w:themeColor="text1"/>
          <w:sz w:val="18"/>
          <w:szCs w:val="18"/>
        </w:rPr>
        <w:t>, Census</w:t>
      </w:r>
      <w:r w:rsidRPr="00996372">
        <w:rPr>
          <w:rFonts w:asciiTheme="minorBidi" w:hAnsiTheme="minorBidi" w:cstheme="minorBidi"/>
          <w:color w:val="000000" w:themeColor="text1"/>
          <w:sz w:val="18"/>
          <w:szCs w:val="18"/>
        </w:rPr>
        <w:t xml:space="preserve"> of Population, Housing and Establishment Database, 2007, 2017.Ramallah - Palestine.</w:t>
      </w:r>
    </w:p>
    <w:p w14:paraId="2736AB7D" w14:textId="77777777" w:rsidR="00996372" w:rsidRPr="00996372" w:rsidRDefault="00996372" w:rsidP="00BD3E97">
      <w:pPr>
        <w:bidi w:val="0"/>
        <w:spacing w:after="0" w:line="240" w:lineRule="auto"/>
        <w:ind w:left="720"/>
        <w:rPr>
          <w:rFonts w:asciiTheme="minorBidi" w:hAnsiTheme="minorBidi" w:cstheme="minorBidi"/>
          <w:sz w:val="18"/>
        </w:rPr>
      </w:pPr>
      <w:r w:rsidRPr="00996372">
        <w:rPr>
          <w:rFonts w:asciiTheme="minorBidi" w:hAnsiTheme="minorBidi" w:cstheme="minorBidi"/>
          <w:b/>
          <w:bCs/>
          <w:sz w:val="18"/>
          <w:szCs w:val="18"/>
        </w:rPr>
        <w:t xml:space="preserve">Palestinian Central Bureau of Statistics, </w:t>
      </w:r>
      <w:r w:rsidRPr="00996372">
        <w:rPr>
          <w:rFonts w:asciiTheme="minorBidi" w:hAnsiTheme="minorBidi" w:cstheme="minorBidi"/>
          <w:sz w:val="18"/>
          <w:szCs w:val="18"/>
        </w:rPr>
        <w:t xml:space="preserve">Palestinian Multiple Indicator Cluster Survey Database, </w:t>
      </w:r>
      <w:r w:rsidRPr="00996372">
        <w:rPr>
          <w:rFonts w:asciiTheme="minorBidi" w:hAnsiTheme="minorBidi" w:cstheme="minorBidi"/>
          <w:color w:val="000000" w:themeColor="text1"/>
          <w:sz w:val="18"/>
          <w:szCs w:val="18"/>
        </w:rPr>
        <w:t>2014, 2019-2020.</w:t>
      </w:r>
      <w:r w:rsidRPr="00996372">
        <w:rPr>
          <w:rFonts w:asciiTheme="minorBidi" w:hAnsiTheme="minorBidi" w:cstheme="minorBidi"/>
          <w:sz w:val="18"/>
        </w:rPr>
        <w:t>Ramallah – Palestine</w:t>
      </w:r>
    </w:p>
    <w:p w14:paraId="775DABDB" w14:textId="77777777" w:rsidR="00543D45" w:rsidRDefault="00543D45" w:rsidP="00543D45">
      <w:pPr>
        <w:autoSpaceDE w:val="0"/>
        <w:autoSpaceDN w:val="0"/>
        <w:bidi w:val="0"/>
        <w:adjustRightInd w:val="0"/>
        <w:spacing w:after="0" w:line="240" w:lineRule="auto"/>
        <w:jc w:val="both"/>
        <w:rPr>
          <w:rFonts w:ascii="Times New Roman" w:hAnsi="Times New Roman" w:cs="Times New Roman"/>
          <w:b/>
          <w:bCs/>
          <w:i/>
          <w:iCs/>
          <w:sz w:val="24"/>
          <w:szCs w:val="24"/>
        </w:rPr>
      </w:pPr>
    </w:p>
    <w:p w14:paraId="5F96DB68"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5.4.1 Proportion of time spent on unpaid domestic and care work, by sex, age</w:t>
      </w:r>
      <w:r w:rsidR="00667346">
        <w:rPr>
          <w:rFonts w:ascii="Times New Roman" w:hAnsi="Times New Roman" w:cs="Times New Roman"/>
          <w:b/>
          <w:bCs/>
          <w:i/>
          <w:iCs/>
          <w:sz w:val="24"/>
          <w:szCs w:val="24"/>
        </w:rPr>
        <w:t>,</w:t>
      </w:r>
      <w:r w:rsidRPr="00E32A39">
        <w:rPr>
          <w:rFonts w:ascii="Times New Roman" w:hAnsi="Times New Roman" w:cs="Times New Roman"/>
          <w:b/>
          <w:bCs/>
          <w:i/>
          <w:iCs/>
          <w:sz w:val="24"/>
          <w:szCs w:val="24"/>
        </w:rPr>
        <w:t xml:space="preserve"> and location</w:t>
      </w:r>
    </w:p>
    <w:p w14:paraId="396BFF85"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7F3669E1" w14:textId="77777777" w:rsidR="0071415F" w:rsidRDefault="006318AC"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F</w:t>
      </w:r>
      <w:r w:rsidR="0071415F" w:rsidRPr="00540428">
        <w:rPr>
          <w:rFonts w:ascii="Times New Roman" w:hAnsi="Times New Roman" w:cs="Times New Roman"/>
          <w:sz w:val="24"/>
          <w:szCs w:val="24"/>
        </w:rPr>
        <w:t xml:space="preserve">emales spent about </w:t>
      </w:r>
      <w:r w:rsidR="0071415F" w:rsidRPr="00540428">
        <w:rPr>
          <w:rFonts w:ascii="Times New Roman" w:hAnsi="Times New Roman" w:cs="Times New Roman" w:hint="cs"/>
          <w:sz w:val="24"/>
          <w:szCs w:val="24"/>
          <w:rtl/>
        </w:rPr>
        <w:t>17.8</w:t>
      </w:r>
      <w:r w:rsidR="0071415F" w:rsidRPr="00540428">
        <w:rPr>
          <w:rFonts w:ascii="Times New Roman" w:hAnsi="Times New Roman" w:cs="Times New Roman"/>
          <w:sz w:val="24"/>
          <w:szCs w:val="24"/>
        </w:rPr>
        <w:t xml:space="preserve">% of their time on unpaid domestic and care work, while the males spent only 3.0% for the year 2012/2013. </w:t>
      </w:r>
    </w:p>
    <w:p w14:paraId="6588D166"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4CD62F37"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4FDE1FCE" w14:textId="77777777" w:rsidR="009E4880" w:rsidRPr="00540428"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776FEF9" w14:textId="77777777" w:rsidR="0071415F" w:rsidRPr="008F3C85"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4B2067D4"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lastRenderedPageBreak/>
        <w:t>Proportion of Time Spent on Unpaid Domestic and Care Work by Sex, 1999/2000, 2012/2013 (%)</w:t>
      </w:r>
    </w:p>
    <w:tbl>
      <w:tblPr>
        <w:tblW w:w="899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0"/>
      </w:tblGrid>
      <w:tr w:rsidR="0071415F" w:rsidRPr="000D2E4D" w14:paraId="5CD416E6" w14:textId="77777777" w:rsidTr="00E74AED">
        <w:trPr>
          <w:trHeight w:val="3396"/>
        </w:trPr>
        <w:tc>
          <w:tcPr>
            <w:tcW w:w="8990" w:type="dxa"/>
            <w:shd w:val="clear" w:color="auto" w:fill="auto"/>
          </w:tcPr>
          <w:p w14:paraId="353C13E5" w14:textId="77777777" w:rsidR="0071415F" w:rsidRPr="000D2E4D" w:rsidRDefault="00087C99" w:rsidP="0071415F">
            <w:pPr>
              <w:bidi w:val="0"/>
              <w:spacing w:after="0" w:line="240" w:lineRule="auto"/>
              <w:jc w:val="center"/>
              <w:rPr>
                <w:rFonts w:ascii="Times New Roman" w:eastAsia="Calibri" w:hAnsi="Times New Roman" w:cs="Times New Roman"/>
                <w:noProof/>
                <w:sz w:val="16"/>
                <w:szCs w:val="16"/>
              </w:rPr>
            </w:pPr>
            <w:r>
              <w:rPr>
                <w:rFonts w:ascii="Times New Roman" w:hAnsi="Times New Roman" w:cs="Times New Roman"/>
                <w:b/>
                <w:bCs/>
                <w:noProof/>
                <w:color w:val="000000"/>
              </w:rPr>
              <w:drawing>
                <wp:inline distT="0" distB="0" distL="0" distR="0" wp14:anchorId="46A8F3BE" wp14:editId="5A9B99B6">
                  <wp:extent cx="5412105" cy="2095500"/>
                  <wp:effectExtent l="0" t="0" r="0" b="0"/>
                  <wp:docPr id="78"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p w14:paraId="4F7F662C" w14:textId="77777777" w:rsidR="0071415F" w:rsidRPr="003A30DF" w:rsidRDefault="00E74AED" w:rsidP="003A30DF">
      <w:pPr>
        <w:bidi w:val="0"/>
        <w:spacing w:after="0" w:line="240" w:lineRule="auto"/>
        <w:ind w:left="900" w:hanging="810"/>
        <w:jc w:val="both"/>
        <w:rPr>
          <w:rFonts w:asciiTheme="minorBidi" w:hAnsiTheme="minorBidi" w:cstheme="minorBidi"/>
          <w:color w:val="000000" w:themeColor="text1"/>
          <w:sz w:val="18"/>
          <w:szCs w:val="18"/>
        </w:rPr>
      </w:pPr>
      <w:r>
        <w:rPr>
          <w:rFonts w:asciiTheme="minorBidi" w:hAnsiTheme="minorBidi" w:cstheme="minorBidi"/>
          <w:b/>
          <w:bCs/>
          <w:color w:val="000000" w:themeColor="text1"/>
          <w:sz w:val="18"/>
          <w:szCs w:val="18"/>
        </w:rPr>
        <w:t xml:space="preserve">Source: </w:t>
      </w:r>
      <w:r w:rsidR="0071415F" w:rsidRPr="00E74AED">
        <w:rPr>
          <w:rFonts w:asciiTheme="minorBidi" w:hAnsiTheme="minorBidi" w:cstheme="minorBidi"/>
          <w:b/>
          <w:bCs/>
          <w:color w:val="000000" w:themeColor="text1"/>
          <w:sz w:val="18"/>
          <w:szCs w:val="18"/>
        </w:rPr>
        <w:t>Palestinian Central Bureau of Statistics,</w:t>
      </w:r>
      <w:r w:rsidR="0071415F" w:rsidRPr="00E74AED">
        <w:rPr>
          <w:rFonts w:asciiTheme="minorBidi" w:hAnsiTheme="minorBidi" w:cstheme="minorBidi"/>
          <w:color w:val="000000" w:themeColor="text1"/>
          <w:sz w:val="18"/>
          <w:szCs w:val="18"/>
        </w:rPr>
        <w:t xml:space="preserve">Time Use Survey </w:t>
      </w:r>
      <w:r w:rsidR="00C03B9B" w:rsidRPr="00E74AED">
        <w:rPr>
          <w:rFonts w:asciiTheme="minorBidi" w:hAnsiTheme="minorBidi" w:cstheme="minorBidi"/>
          <w:color w:val="000000" w:themeColor="text1"/>
          <w:sz w:val="18"/>
          <w:szCs w:val="18"/>
        </w:rPr>
        <w:t xml:space="preserve">Database, 1999/2000 and </w:t>
      </w:r>
      <w:r w:rsidRPr="00E74AED">
        <w:rPr>
          <w:rFonts w:asciiTheme="minorBidi" w:hAnsiTheme="minorBidi" w:cstheme="minorBidi"/>
          <w:color w:val="000000" w:themeColor="text1"/>
          <w:sz w:val="18"/>
          <w:szCs w:val="18"/>
        </w:rPr>
        <w:t xml:space="preserve"> 2</w:t>
      </w:r>
      <w:r w:rsidR="0071415F" w:rsidRPr="00E74AED">
        <w:rPr>
          <w:rFonts w:asciiTheme="minorBidi" w:hAnsiTheme="minorBidi" w:cstheme="minorBidi"/>
          <w:color w:val="000000" w:themeColor="text1"/>
          <w:sz w:val="18"/>
          <w:szCs w:val="18"/>
        </w:rPr>
        <w:t>012/2013.Ramallah- Palestine</w:t>
      </w:r>
      <w:r w:rsidR="00C03B9B" w:rsidRPr="00E74AED">
        <w:rPr>
          <w:rFonts w:asciiTheme="minorBidi" w:hAnsiTheme="minorBidi" w:cstheme="minorBidi"/>
          <w:color w:val="000000" w:themeColor="text1"/>
          <w:sz w:val="18"/>
          <w:szCs w:val="18"/>
        </w:rPr>
        <w:t>.</w:t>
      </w:r>
    </w:p>
    <w:p w14:paraId="657F800C" w14:textId="77777777" w:rsidR="00D556CC" w:rsidRDefault="00D556CC" w:rsidP="00D556CC">
      <w:pPr>
        <w:tabs>
          <w:tab w:val="left" w:pos="9072"/>
        </w:tabs>
        <w:bidi w:val="0"/>
        <w:spacing w:after="0" w:line="240" w:lineRule="auto"/>
        <w:jc w:val="center"/>
        <w:rPr>
          <w:rFonts w:ascii="Arial" w:hAnsi="Arial"/>
          <w:b/>
          <w:bCs/>
        </w:rPr>
      </w:pPr>
    </w:p>
    <w:p w14:paraId="676032EF"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Proportion of Time Spent on Unpaid Domestic and Care Work, by Sex and Age Group, 2012/2013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36558355" w14:textId="77777777" w:rsidTr="00543D45">
        <w:trPr>
          <w:trHeight w:val="3621"/>
        </w:trPr>
        <w:tc>
          <w:tcPr>
            <w:tcW w:w="8965" w:type="dxa"/>
            <w:shd w:val="clear" w:color="auto" w:fill="auto"/>
          </w:tcPr>
          <w:p w14:paraId="708EEE36" w14:textId="77777777" w:rsidR="0071415F" w:rsidRPr="000D2E4D" w:rsidRDefault="0071415F" w:rsidP="0071415F">
            <w:pPr>
              <w:tabs>
                <w:tab w:val="left" w:pos="3254"/>
              </w:tabs>
              <w:bidi w:val="0"/>
              <w:spacing w:after="0" w:line="240" w:lineRule="auto"/>
              <w:jc w:val="center"/>
              <w:rPr>
                <w:rFonts w:ascii="Times New Roman" w:hAnsi="Times New Roman" w:cs="Times New Roman"/>
                <w:b/>
                <w:bCs/>
              </w:rPr>
            </w:pPr>
            <w:r>
              <w:rPr>
                <w:rFonts w:ascii="Times New Roman" w:hAnsi="Times New Roman" w:cs="Times New Roman"/>
                <w:b/>
                <w:bCs/>
                <w:noProof/>
              </w:rPr>
              <w:drawing>
                <wp:inline distT="0" distB="0" distL="0" distR="0" wp14:anchorId="1E64C538" wp14:editId="1AEEB09D">
                  <wp:extent cx="5709285" cy="2251495"/>
                  <wp:effectExtent l="0" t="0" r="5715" b="0"/>
                  <wp:docPr id="63"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bl>
    <w:p w14:paraId="099C1525" w14:textId="77777777" w:rsidR="00C03B9B" w:rsidRPr="002C448A" w:rsidRDefault="00C03B9B" w:rsidP="00C03B9B">
      <w:pPr>
        <w:bidi w:val="0"/>
        <w:spacing w:after="0" w:line="240" w:lineRule="auto"/>
        <w:ind w:left="72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43E3E7EF" w14:textId="77777777" w:rsidR="005404F9" w:rsidRDefault="005404F9" w:rsidP="005404F9">
      <w:pPr>
        <w:tabs>
          <w:tab w:val="left" w:pos="9072"/>
        </w:tabs>
        <w:bidi w:val="0"/>
        <w:spacing w:after="0" w:line="240" w:lineRule="auto"/>
        <w:jc w:val="center"/>
        <w:rPr>
          <w:rFonts w:ascii="Arial" w:hAnsi="Arial"/>
          <w:b/>
          <w:bCs/>
        </w:rPr>
      </w:pPr>
    </w:p>
    <w:p w14:paraId="19459E35" w14:textId="77777777" w:rsidR="0071415F" w:rsidRDefault="0071415F" w:rsidP="0071415F">
      <w:pPr>
        <w:tabs>
          <w:tab w:val="left" w:pos="9072"/>
        </w:tabs>
        <w:bidi w:val="0"/>
        <w:spacing w:after="0" w:line="240" w:lineRule="auto"/>
        <w:jc w:val="center"/>
        <w:rPr>
          <w:rFonts w:ascii="Arial" w:hAnsi="Arial"/>
          <w:b/>
          <w:bCs/>
        </w:rPr>
      </w:pPr>
    </w:p>
    <w:p w14:paraId="1ED31DB0"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Proportion of Time Spent on Unpaid Domestic and Care Work, by Sex and Type of Locality, 2012/2013 (%)</w:t>
      </w:r>
    </w:p>
    <w:tbl>
      <w:tblPr>
        <w:bidiVisual/>
        <w:tblW w:w="0" w:type="auto"/>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9"/>
      </w:tblGrid>
      <w:tr w:rsidR="0071415F" w:rsidRPr="000D2E4D" w14:paraId="7C8FAF08" w14:textId="77777777" w:rsidTr="0071415F">
        <w:trPr>
          <w:trHeight w:val="2988"/>
        </w:trPr>
        <w:tc>
          <w:tcPr>
            <w:tcW w:w="8999" w:type="dxa"/>
            <w:shd w:val="clear" w:color="auto" w:fill="auto"/>
          </w:tcPr>
          <w:p w14:paraId="2426B8E3" w14:textId="77777777" w:rsidR="0071415F" w:rsidRPr="000D2E4D" w:rsidRDefault="0071415F" w:rsidP="0071415F">
            <w:pPr>
              <w:tabs>
                <w:tab w:val="left" w:pos="3254"/>
              </w:tabs>
              <w:bidi w:val="0"/>
              <w:spacing w:after="0" w:line="240" w:lineRule="auto"/>
              <w:rPr>
                <w:rFonts w:ascii="Times New Roman" w:hAnsi="Times New Roman" w:cs="Times New Roman"/>
                <w:b/>
                <w:bCs/>
                <w:rtl/>
                <w:lang w:val="it-IT"/>
              </w:rPr>
            </w:pPr>
            <w:r>
              <w:rPr>
                <w:rFonts w:ascii="Times New Roman" w:hAnsi="Times New Roman" w:cs="Times New Roman"/>
                <w:b/>
                <w:bCs/>
                <w:noProof/>
              </w:rPr>
              <w:drawing>
                <wp:inline distT="0" distB="0" distL="0" distR="0" wp14:anchorId="51FA4483" wp14:editId="09232864">
                  <wp:extent cx="5648325" cy="1847850"/>
                  <wp:effectExtent l="0" t="0" r="0" b="0"/>
                  <wp:docPr id="6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p w14:paraId="2F3ACC8E" w14:textId="77777777" w:rsidR="00C03B9B" w:rsidRPr="002C448A" w:rsidRDefault="00C03B9B" w:rsidP="00C03B9B">
      <w:pPr>
        <w:bidi w:val="0"/>
        <w:spacing w:after="0" w:line="240" w:lineRule="auto"/>
        <w:ind w:left="63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7DC626CB"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5CB3754" w14:textId="77777777" w:rsidR="0071415F" w:rsidRPr="00540428" w:rsidRDefault="006318AC" w:rsidP="003A30D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F</w:t>
      </w:r>
      <w:r w:rsidR="0071415F" w:rsidRPr="00540428">
        <w:rPr>
          <w:rFonts w:ascii="Times New Roman" w:hAnsi="Times New Roman" w:cs="Times New Roman"/>
          <w:sz w:val="24"/>
          <w:szCs w:val="24"/>
        </w:rPr>
        <w:t xml:space="preserve">emales spent about </w:t>
      </w:r>
      <w:r w:rsidR="0071415F">
        <w:rPr>
          <w:rFonts w:ascii="Times New Roman" w:hAnsi="Times New Roman" w:cs="Times New Roman"/>
          <w:sz w:val="24"/>
          <w:szCs w:val="24"/>
        </w:rPr>
        <w:t>3.8</w:t>
      </w:r>
      <w:r w:rsidR="0071415F" w:rsidRPr="00540428">
        <w:rPr>
          <w:rFonts w:ascii="Times New Roman" w:hAnsi="Times New Roman" w:cs="Times New Roman"/>
          <w:sz w:val="24"/>
          <w:szCs w:val="24"/>
        </w:rPr>
        <w:t xml:space="preserve">% of their time on unpaid care work, while males spent only </w:t>
      </w:r>
      <w:r w:rsidR="0071415F">
        <w:rPr>
          <w:rFonts w:ascii="Times New Roman" w:hAnsi="Times New Roman" w:cs="Times New Roman"/>
          <w:sz w:val="24"/>
          <w:szCs w:val="24"/>
        </w:rPr>
        <w:t>0.6</w:t>
      </w:r>
      <w:r w:rsidR="0071415F" w:rsidRPr="00540428">
        <w:rPr>
          <w:rFonts w:ascii="Times New Roman" w:hAnsi="Times New Roman" w:cs="Times New Roman"/>
          <w:sz w:val="24"/>
          <w:szCs w:val="24"/>
        </w:rPr>
        <w:t xml:space="preserve">% </w:t>
      </w:r>
      <w:r>
        <w:rPr>
          <w:rFonts w:ascii="Times New Roman" w:hAnsi="Times New Roman" w:cs="Times New Roman"/>
          <w:sz w:val="24"/>
          <w:szCs w:val="24"/>
        </w:rPr>
        <w:t xml:space="preserve">of their time </w:t>
      </w:r>
      <w:r w:rsidR="0071415F" w:rsidRPr="00540428">
        <w:rPr>
          <w:rFonts w:ascii="Times New Roman" w:hAnsi="Times New Roman" w:cs="Times New Roman"/>
          <w:sz w:val="24"/>
          <w:szCs w:val="24"/>
        </w:rPr>
        <w:t xml:space="preserve">for the year 2012/2013. </w:t>
      </w:r>
    </w:p>
    <w:p w14:paraId="5016557A"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03D9F97F"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Proportion of Time Spent on Unpaid Care Work by Sex, 1999/2000, 2012/2013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6771F12B" w14:textId="77777777" w:rsidTr="00543D45">
        <w:trPr>
          <w:trHeight w:val="3189"/>
        </w:trPr>
        <w:tc>
          <w:tcPr>
            <w:tcW w:w="8965" w:type="dxa"/>
            <w:shd w:val="clear" w:color="auto" w:fill="auto"/>
          </w:tcPr>
          <w:p w14:paraId="5C453E3F" w14:textId="77777777" w:rsidR="0071415F" w:rsidRPr="000D2E4D" w:rsidRDefault="0071415F" w:rsidP="00C03B9B">
            <w:pPr>
              <w:bidi w:val="0"/>
              <w:spacing w:after="0" w:line="240" w:lineRule="auto"/>
              <w:rPr>
                <w:rFonts w:ascii="Times New Roman" w:eastAsia="Calibri" w:hAnsi="Times New Roman" w:cs="Times New Roman"/>
                <w:noProof/>
                <w:sz w:val="16"/>
                <w:szCs w:val="16"/>
              </w:rPr>
            </w:pPr>
            <w:r>
              <w:rPr>
                <w:rFonts w:ascii="Times New Roman" w:eastAsia="Calibri" w:hAnsi="Times New Roman" w:cs="Times New Roman"/>
                <w:noProof/>
                <w:sz w:val="16"/>
                <w:szCs w:val="16"/>
              </w:rPr>
              <w:drawing>
                <wp:inline distT="0" distB="0" distL="0" distR="0" wp14:anchorId="24D12CCB" wp14:editId="07B01E86">
                  <wp:extent cx="5543550" cy="1969135"/>
                  <wp:effectExtent l="0" t="0" r="0" b="0"/>
                  <wp:docPr id="16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bl>
    <w:p w14:paraId="193DE93F" w14:textId="77777777" w:rsidR="00C03B9B" w:rsidRPr="002C448A" w:rsidRDefault="00C03B9B" w:rsidP="00E74AED">
      <w:pPr>
        <w:bidi w:val="0"/>
        <w:spacing w:after="0" w:line="240" w:lineRule="auto"/>
        <w:ind w:left="810" w:hanging="72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 xml:space="preserve">1999/2000 </w:t>
      </w:r>
      <w:r>
        <w:rPr>
          <w:rFonts w:asciiTheme="minorBidi" w:hAnsiTheme="minorBidi" w:cstheme="minorBidi"/>
          <w:color w:val="000000" w:themeColor="text1"/>
          <w:sz w:val="18"/>
          <w:szCs w:val="18"/>
        </w:rPr>
        <w:t xml:space="preserve">and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7729DB91" w14:textId="77777777" w:rsidR="00543D45" w:rsidRDefault="00543D45" w:rsidP="0071415F">
      <w:pPr>
        <w:bidi w:val="0"/>
        <w:spacing w:after="0" w:line="240" w:lineRule="auto"/>
        <w:ind w:left="993" w:hanging="898"/>
        <w:jc w:val="both"/>
        <w:rPr>
          <w:rFonts w:ascii="Arial" w:hAnsi="Arial"/>
          <w:b/>
          <w:bCs/>
          <w:i/>
          <w:iCs/>
          <w:color w:val="000000"/>
          <w:sz w:val="18"/>
          <w:szCs w:val="18"/>
        </w:rPr>
      </w:pPr>
    </w:p>
    <w:p w14:paraId="1BD94709" w14:textId="77777777" w:rsidR="0071415F" w:rsidRDefault="0071415F" w:rsidP="0071415F">
      <w:pPr>
        <w:tabs>
          <w:tab w:val="left" w:pos="9072"/>
        </w:tabs>
        <w:bidi w:val="0"/>
        <w:spacing w:after="0" w:line="240" w:lineRule="auto"/>
        <w:jc w:val="center"/>
        <w:rPr>
          <w:rFonts w:ascii="Arial" w:hAnsi="Arial"/>
          <w:b/>
          <w:bCs/>
        </w:rPr>
      </w:pPr>
    </w:p>
    <w:p w14:paraId="7986D365"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Proportion of Time Spent on Unpaid Care Work, by Sex and Age Group, 2012/2013 (%)</w:t>
      </w:r>
    </w:p>
    <w:tbl>
      <w:tblPr>
        <w:tblW w:w="921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6"/>
      </w:tblGrid>
      <w:tr w:rsidR="0071415F" w:rsidRPr="000D2E4D" w14:paraId="0488F72F" w14:textId="77777777" w:rsidTr="00543D45">
        <w:trPr>
          <w:trHeight w:val="3293"/>
        </w:trPr>
        <w:tc>
          <w:tcPr>
            <w:tcW w:w="9216" w:type="dxa"/>
            <w:shd w:val="clear" w:color="auto" w:fill="auto"/>
          </w:tcPr>
          <w:p w14:paraId="4468D38F" w14:textId="77777777" w:rsidR="0071415F" w:rsidRPr="000D2E4D" w:rsidRDefault="0071415F" w:rsidP="0071415F">
            <w:pPr>
              <w:tabs>
                <w:tab w:val="left" w:pos="3254"/>
              </w:tabs>
              <w:bidi w:val="0"/>
              <w:spacing w:after="0" w:line="240" w:lineRule="auto"/>
              <w:jc w:val="center"/>
              <w:rPr>
                <w:rFonts w:ascii="Times New Roman" w:hAnsi="Times New Roman" w:cs="Times New Roman"/>
                <w:b/>
                <w:bCs/>
              </w:rPr>
            </w:pPr>
            <w:r>
              <w:rPr>
                <w:rFonts w:ascii="Times New Roman" w:hAnsi="Times New Roman" w:cs="Times New Roman"/>
                <w:b/>
                <w:bCs/>
                <w:noProof/>
              </w:rPr>
              <w:drawing>
                <wp:inline distT="0" distB="0" distL="0" distR="0" wp14:anchorId="0A8FA5B1" wp14:editId="43D434D1">
                  <wp:extent cx="5709285" cy="1981200"/>
                  <wp:effectExtent l="0" t="0" r="5715" b="0"/>
                  <wp:docPr id="165"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14:paraId="157F7E93" w14:textId="77777777" w:rsidR="00C03B9B" w:rsidRPr="002C448A" w:rsidRDefault="00C03B9B" w:rsidP="00C03B9B">
      <w:pPr>
        <w:bidi w:val="0"/>
        <w:spacing w:after="0" w:line="240" w:lineRule="auto"/>
        <w:ind w:left="72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57277F3B" w14:textId="77777777" w:rsidR="0071415F" w:rsidRDefault="0071415F" w:rsidP="0071415F">
      <w:pPr>
        <w:tabs>
          <w:tab w:val="left" w:pos="9072"/>
        </w:tabs>
        <w:bidi w:val="0"/>
        <w:spacing w:after="0" w:line="240" w:lineRule="auto"/>
        <w:jc w:val="center"/>
        <w:rPr>
          <w:rFonts w:ascii="Arial" w:hAnsi="Arial"/>
          <w:b/>
          <w:bCs/>
        </w:rPr>
      </w:pPr>
    </w:p>
    <w:p w14:paraId="2148CC42" w14:textId="77777777" w:rsidR="005404F9" w:rsidRDefault="005404F9" w:rsidP="0071415F">
      <w:pPr>
        <w:tabs>
          <w:tab w:val="left" w:pos="9072"/>
        </w:tabs>
        <w:bidi w:val="0"/>
        <w:spacing w:after="0" w:line="240" w:lineRule="auto"/>
        <w:jc w:val="center"/>
        <w:rPr>
          <w:rFonts w:ascii="Arial" w:hAnsi="Arial"/>
          <w:b/>
          <w:bCs/>
        </w:rPr>
      </w:pPr>
    </w:p>
    <w:p w14:paraId="00D0C0F2" w14:textId="77777777" w:rsidR="0071415F" w:rsidRPr="00CD5DFB" w:rsidRDefault="0071415F" w:rsidP="005404F9">
      <w:pPr>
        <w:tabs>
          <w:tab w:val="left" w:pos="9072"/>
        </w:tabs>
        <w:bidi w:val="0"/>
        <w:spacing w:after="0" w:line="240" w:lineRule="auto"/>
        <w:jc w:val="center"/>
        <w:rPr>
          <w:rFonts w:ascii="Arial" w:hAnsi="Arial"/>
          <w:b/>
          <w:bCs/>
        </w:rPr>
      </w:pPr>
      <w:r w:rsidRPr="00CD5DFB">
        <w:rPr>
          <w:rFonts w:ascii="Arial" w:hAnsi="Arial"/>
          <w:b/>
          <w:bCs/>
        </w:rPr>
        <w:t xml:space="preserve">Proportion of Time Spent on </w:t>
      </w:r>
      <w:r>
        <w:rPr>
          <w:rFonts w:ascii="Arial" w:hAnsi="Arial"/>
          <w:b/>
          <w:bCs/>
        </w:rPr>
        <w:t>Unpaid</w:t>
      </w:r>
      <w:r w:rsidRPr="00CD5DFB">
        <w:rPr>
          <w:rFonts w:ascii="Arial" w:hAnsi="Arial"/>
          <w:b/>
          <w:bCs/>
        </w:rPr>
        <w:t xml:space="preserve"> Care Work, by Sex and Type of Locality, 2012/2013 (%)</w:t>
      </w:r>
    </w:p>
    <w:tbl>
      <w:tblPr>
        <w:bidiVisual/>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71415F" w:rsidRPr="000D2E4D" w14:paraId="3F3C8B46" w14:textId="77777777" w:rsidTr="00095BE7">
        <w:trPr>
          <w:trHeight w:val="3286"/>
        </w:trPr>
        <w:tc>
          <w:tcPr>
            <w:tcW w:w="9071" w:type="dxa"/>
            <w:shd w:val="clear" w:color="auto" w:fill="auto"/>
          </w:tcPr>
          <w:p w14:paraId="6386A388" w14:textId="77777777" w:rsidR="0071415F" w:rsidRPr="000D2E4D" w:rsidRDefault="0071415F" w:rsidP="0071415F">
            <w:pPr>
              <w:tabs>
                <w:tab w:val="left" w:pos="3254"/>
              </w:tabs>
              <w:bidi w:val="0"/>
              <w:spacing w:after="0" w:line="240" w:lineRule="auto"/>
              <w:rPr>
                <w:rFonts w:ascii="Times New Roman" w:hAnsi="Times New Roman" w:cs="Times New Roman"/>
                <w:b/>
                <w:bCs/>
                <w:rtl/>
                <w:lang w:val="it-IT"/>
              </w:rPr>
            </w:pPr>
            <w:r>
              <w:rPr>
                <w:rFonts w:ascii="Times New Roman" w:hAnsi="Times New Roman" w:cs="Times New Roman"/>
                <w:b/>
                <w:bCs/>
                <w:noProof/>
              </w:rPr>
              <w:drawing>
                <wp:inline distT="0" distB="0" distL="0" distR="0" wp14:anchorId="3EFB14A3" wp14:editId="41537B78">
                  <wp:extent cx="5505450" cy="1971675"/>
                  <wp:effectExtent l="0" t="0" r="0" b="0"/>
                  <wp:docPr id="166"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bl>
    <w:p w14:paraId="10B7CCD5" w14:textId="77777777" w:rsidR="00C03B9B" w:rsidRPr="002C448A" w:rsidRDefault="00C03B9B" w:rsidP="00C03B9B">
      <w:pPr>
        <w:bidi w:val="0"/>
        <w:spacing w:after="0" w:line="240" w:lineRule="auto"/>
        <w:ind w:left="63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7639B708" w14:textId="77777777" w:rsidR="0071415F" w:rsidRDefault="006318AC" w:rsidP="005404F9">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F</w:t>
      </w:r>
      <w:r w:rsidR="0071415F" w:rsidRPr="00540428">
        <w:rPr>
          <w:rFonts w:ascii="Times New Roman" w:hAnsi="Times New Roman" w:cs="Times New Roman"/>
          <w:sz w:val="24"/>
          <w:szCs w:val="24"/>
        </w:rPr>
        <w:t xml:space="preserve">emales spent about </w:t>
      </w:r>
      <w:r w:rsidR="0071415F">
        <w:rPr>
          <w:rFonts w:ascii="Times New Roman" w:hAnsi="Times New Roman" w:cs="Times New Roman" w:hint="cs"/>
          <w:sz w:val="24"/>
          <w:szCs w:val="24"/>
          <w:rtl/>
        </w:rPr>
        <w:t>14.0</w:t>
      </w:r>
      <w:r w:rsidR="0071415F" w:rsidRPr="00540428">
        <w:rPr>
          <w:rFonts w:ascii="Times New Roman" w:hAnsi="Times New Roman" w:cs="Times New Roman"/>
          <w:sz w:val="24"/>
          <w:szCs w:val="24"/>
        </w:rPr>
        <w:t xml:space="preserve">% of their time on unpaid domestic </w:t>
      </w:r>
      <w:r w:rsidR="0071415F">
        <w:rPr>
          <w:rFonts w:ascii="Times New Roman" w:hAnsi="Times New Roman" w:cs="Times New Roman"/>
          <w:sz w:val="24"/>
          <w:szCs w:val="24"/>
        </w:rPr>
        <w:t>chores</w:t>
      </w:r>
      <w:r w:rsidR="0071415F" w:rsidRPr="00540428">
        <w:rPr>
          <w:rFonts w:ascii="Times New Roman" w:hAnsi="Times New Roman" w:cs="Times New Roman"/>
          <w:sz w:val="24"/>
          <w:szCs w:val="24"/>
        </w:rPr>
        <w:t xml:space="preserve">, while males spent only </w:t>
      </w:r>
      <w:r w:rsidR="0071415F">
        <w:rPr>
          <w:rFonts w:ascii="Times New Roman" w:hAnsi="Times New Roman" w:cs="Times New Roman" w:hint="cs"/>
          <w:sz w:val="24"/>
          <w:szCs w:val="24"/>
          <w:rtl/>
        </w:rPr>
        <w:t>2.4</w:t>
      </w:r>
      <w:r w:rsidR="005404F9">
        <w:rPr>
          <w:rFonts w:ascii="Times New Roman" w:hAnsi="Times New Roman" w:cs="Times New Roman"/>
          <w:sz w:val="24"/>
          <w:szCs w:val="24"/>
        </w:rPr>
        <w:t xml:space="preserve">% </w:t>
      </w:r>
      <w:r>
        <w:rPr>
          <w:rFonts w:ascii="Times New Roman" w:hAnsi="Times New Roman" w:cs="Times New Roman"/>
          <w:sz w:val="24"/>
          <w:szCs w:val="24"/>
        </w:rPr>
        <w:t xml:space="preserve">of their time </w:t>
      </w:r>
      <w:r w:rsidR="005404F9">
        <w:rPr>
          <w:rFonts w:ascii="Times New Roman" w:hAnsi="Times New Roman" w:cs="Times New Roman"/>
          <w:sz w:val="24"/>
          <w:szCs w:val="24"/>
        </w:rPr>
        <w:t xml:space="preserve">for the year 2012/2013. </w:t>
      </w:r>
    </w:p>
    <w:p w14:paraId="1F2F9BD4" w14:textId="77777777" w:rsidR="005404F9" w:rsidRPr="005404F9" w:rsidRDefault="005404F9" w:rsidP="005404F9">
      <w:pPr>
        <w:autoSpaceDE w:val="0"/>
        <w:autoSpaceDN w:val="0"/>
        <w:bidi w:val="0"/>
        <w:adjustRightInd w:val="0"/>
        <w:spacing w:after="0" w:line="240" w:lineRule="auto"/>
        <w:jc w:val="both"/>
        <w:rPr>
          <w:rFonts w:ascii="Times New Roman" w:hAnsi="Times New Roman" w:cs="Times New Roman"/>
          <w:sz w:val="24"/>
          <w:szCs w:val="24"/>
        </w:rPr>
      </w:pPr>
    </w:p>
    <w:p w14:paraId="0079D97A" w14:textId="77777777" w:rsidR="0071415F" w:rsidRPr="00444566" w:rsidRDefault="0071415F" w:rsidP="0071415F">
      <w:pPr>
        <w:tabs>
          <w:tab w:val="left" w:pos="9072"/>
        </w:tabs>
        <w:bidi w:val="0"/>
        <w:spacing w:after="0" w:line="240" w:lineRule="auto"/>
        <w:rPr>
          <w:rFonts w:ascii="Times New Roman" w:hAnsi="Times New Roman" w:cs="Times New Roman"/>
          <w:sz w:val="2"/>
          <w:szCs w:val="2"/>
        </w:rPr>
      </w:pPr>
    </w:p>
    <w:p w14:paraId="5D98DF68"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lastRenderedPageBreak/>
        <w:t xml:space="preserve">Proportion of Time Spent on Unpaid Domestic </w:t>
      </w:r>
      <w:r w:rsidR="006318AC">
        <w:rPr>
          <w:rFonts w:ascii="Arial" w:hAnsi="Arial"/>
          <w:b/>
          <w:bCs/>
        </w:rPr>
        <w:t>C</w:t>
      </w:r>
      <w:r>
        <w:rPr>
          <w:rFonts w:ascii="Arial" w:hAnsi="Arial"/>
          <w:b/>
          <w:bCs/>
        </w:rPr>
        <w:t>hores</w:t>
      </w:r>
      <w:r w:rsidRPr="00CD5DFB">
        <w:rPr>
          <w:rFonts w:ascii="Arial" w:hAnsi="Arial"/>
          <w:b/>
          <w:bCs/>
        </w:rPr>
        <w:t xml:space="preserve"> by Sex, 1999/2000, 2012/2013 (%)</w:t>
      </w:r>
    </w:p>
    <w:tbl>
      <w:tblPr>
        <w:tblW w:w="892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68CDCD30" w14:textId="77777777" w:rsidTr="001F12C6">
        <w:trPr>
          <w:trHeight w:val="3132"/>
        </w:trPr>
        <w:tc>
          <w:tcPr>
            <w:tcW w:w="8920" w:type="dxa"/>
            <w:shd w:val="clear" w:color="auto" w:fill="auto"/>
          </w:tcPr>
          <w:p w14:paraId="4CBF7A90" w14:textId="77777777" w:rsidR="0071415F" w:rsidRPr="000D2E4D" w:rsidRDefault="0071415F" w:rsidP="0071415F">
            <w:pPr>
              <w:bidi w:val="0"/>
              <w:spacing w:after="0" w:line="240" w:lineRule="auto"/>
              <w:jc w:val="center"/>
              <w:rPr>
                <w:rFonts w:ascii="Times New Roman" w:eastAsia="Calibri" w:hAnsi="Times New Roman" w:cs="Times New Roman"/>
                <w:noProof/>
                <w:sz w:val="16"/>
                <w:szCs w:val="16"/>
              </w:rPr>
            </w:pPr>
            <w:r>
              <w:rPr>
                <w:rFonts w:ascii="Times New Roman" w:eastAsia="Calibri" w:hAnsi="Times New Roman" w:cs="Times New Roman"/>
                <w:noProof/>
                <w:sz w:val="16"/>
                <w:szCs w:val="16"/>
              </w:rPr>
              <w:drawing>
                <wp:inline distT="0" distB="0" distL="0" distR="0" wp14:anchorId="3AB484A9" wp14:editId="3A52079C">
                  <wp:extent cx="5629275" cy="1971675"/>
                  <wp:effectExtent l="0" t="0" r="0" b="0"/>
                  <wp:docPr id="167"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bl>
    <w:p w14:paraId="3A459356" w14:textId="77777777" w:rsidR="00C03B9B" w:rsidRPr="002C448A" w:rsidRDefault="00C03B9B" w:rsidP="00E74AED">
      <w:pPr>
        <w:bidi w:val="0"/>
        <w:spacing w:after="0" w:line="240" w:lineRule="auto"/>
        <w:ind w:left="810" w:hanging="72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 xml:space="preserve">1999/2000 </w:t>
      </w:r>
      <w:r>
        <w:rPr>
          <w:rFonts w:asciiTheme="minorBidi" w:hAnsiTheme="minorBidi" w:cstheme="minorBidi"/>
          <w:color w:val="000000" w:themeColor="text1"/>
          <w:sz w:val="18"/>
          <w:szCs w:val="18"/>
        </w:rPr>
        <w:t xml:space="preserve">and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1A322F79" w14:textId="77777777" w:rsidR="005404F9" w:rsidRDefault="005404F9" w:rsidP="0086098A">
      <w:pPr>
        <w:tabs>
          <w:tab w:val="left" w:pos="9072"/>
        </w:tabs>
        <w:bidi w:val="0"/>
        <w:spacing w:after="0" w:line="240" w:lineRule="auto"/>
        <w:jc w:val="center"/>
        <w:rPr>
          <w:rFonts w:ascii="Arial" w:hAnsi="Arial"/>
          <w:b/>
          <w:bCs/>
        </w:rPr>
      </w:pPr>
    </w:p>
    <w:p w14:paraId="1253F7A5" w14:textId="77777777" w:rsidR="0071415F" w:rsidRPr="00CD5DFB" w:rsidRDefault="0071415F" w:rsidP="005404F9">
      <w:pPr>
        <w:tabs>
          <w:tab w:val="left" w:pos="9072"/>
        </w:tabs>
        <w:bidi w:val="0"/>
        <w:spacing w:after="0" w:line="240" w:lineRule="auto"/>
        <w:jc w:val="center"/>
        <w:rPr>
          <w:rFonts w:ascii="Arial" w:hAnsi="Arial"/>
          <w:b/>
          <w:bCs/>
        </w:rPr>
      </w:pPr>
      <w:r w:rsidRPr="00CD5DFB">
        <w:rPr>
          <w:rFonts w:ascii="Arial" w:hAnsi="Arial"/>
          <w:b/>
          <w:bCs/>
        </w:rPr>
        <w:t xml:space="preserve">Proportion of Time Spent on Unpaid Domestic </w:t>
      </w:r>
      <w:r w:rsidR="006318AC">
        <w:rPr>
          <w:rFonts w:ascii="Arial" w:hAnsi="Arial"/>
          <w:b/>
          <w:bCs/>
        </w:rPr>
        <w:t>C</w:t>
      </w:r>
      <w:r>
        <w:rPr>
          <w:rFonts w:ascii="Arial" w:hAnsi="Arial"/>
          <w:b/>
          <w:bCs/>
        </w:rPr>
        <w:t>hores</w:t>
      </w:r>
      <w:r w:rsidRPr="00CD5DFB">
        <w:rPr>
          <w:rFonts w:ascii="Arial" w:hAnsi="Arial"/>
          <w:b/>
          <w:bCs/>
        </w:rPr>
        <w:t>, by Sex and Age Group, 2012/2013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33F6F6D5" w14:textId="77777777" w:rsidTr="00C03B9B">
        <w:trPr>
          <w:trHeight w:val="3184"/>
        </w:trPr>
        <w:tc>
          <w:tcPr>
            <w:tcW w:w="8965" w:type="dxa"/>
            <w:shd w:val="clear" w:color="auto" w:fill="auto"/>
          </w:tcPr>
          <w:p w14:paraId="3A5041BE" w14:textId="77777777" w:rsidR="0071415F" w:rsidRPr="000D2E4D" w:rsidRDefault="0071415F" w:rsidP="0071415F">
            <w:pPr>
              <w:tabs>
                <w:tab w:val="left" w:pos="3254"/>
              </w:tabs>
              <w:bidi w:val="0"/>
              <w:spacing w:after="0" w:line="240" w:lineRule="auto"/>
              <w:jc w:val="center"/>
              <w:rPr>
                <w:rFonts w:ascii="Times New Roman" w:hAnsi="Times New Roman" w:cs="Times New Roman"/>
                <w:b/>
                <w:bCs/>
              </w:rPr>
            </w:pPr>
            <w:r>
              <w:rPr>
                <w:rFonts w:ascii="Times New Roman" w:hAnsi="Times New Roman" w:cs="Times New Roman"/>
                <w:b/>
                <w:bCs/>
                <w:noProof/>
              </w:rPr>
              <w:drawing>
                <wp:inline distT="0" distB="0" distL="0" distR="0" wp14:anchorId="77FAB8B2" wp14:editId="688C7A60">
                  <wp:extent cx="5486400" cy="1933575"/>
                  <wp:effectExtent l="0" t="0" r="0" b="0"/>
                  <wp:docPr id="168"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14:paraId="246816EF" w14:textId="77777777" w:rsidR="00C03B9B" w:rsidRPr="002C448A" w:rsidRDefault="00C03B9B" w:rsidP="00C03B9B">
      <w:pPr>
        <w:bidi w:val="0"/>
        <w:spacing w:after="0" w:line="240" w:lineRule="auto"/>
        <w:ind w:left="72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4844823A" w14:textId="77777777" w:rsidR="0071415F" w:rsidRDefault="0071415F" w:rsidP="00543D45">
      <w:pPr>
        <w:bidi w:val="0"/>
        <w:spacing w:after="0" w:line="240" w:lineRule="auto"/>
        <w:ind w:left="851" w:hanging="756"/>
        <w:jc w:val="both"/>
        <w:rPr>
          <w:rFonts w:ascii="Arial" w:hAnsi="Arial"/>
          <w:color w:val="000000"/>
          <w:sz w:val="18"/>
          <w:szCs w:val="18"/>
        </w:rPr>
      </w:pPr>
    </w:p>
    <w:p w14:paraId="0744B5C7" w14:textId="77777777" w:rsidR="0071415F" w:rsidRPr="00CD5DFB" w:rsidRDefault="0071415F" w:rsidP="00D556CC">
      <w:pPr>
        <w:tabs>
          <w:tab w:val="left" w:pos="9072"/>
        </w:tabs>
        <w:bidi w:val="0"/>
        <w:spacing w:after="0" w:line="240" w:lineRule="auto"/>
        <w:jc w:val="center"/>
        <w:rPr>
          <w:rFonts w:ascii="Arial" w:hAnsi="Arial"/>
          <w:b/>
          <w:bCs/>
        </w:rPr>
      </w:pPr>
      <w:r w:rsidRPr="00BD3E97">
        <w:rPr>
          <w:rFonts w:ascii="Arial" w:hAnsi="Arial"/>
          <w:b/>
          <w:bCs/>
        </w:rPr>
        <w:t>Proportion of Time Spent on Unpaid Domestic chores, by Sex and Type of Locality, 2012/2013 (%)</w:t>
      </w:r>
    </w:p>
    <w:tbl>
      <w:tblPr>
        <w:bidiVisual/>
        <w:tblW w:w="9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1415F" w:rsidRPr="000D2E4D" w14:paraId="437A9EE7" w14:textId="77777777" w:rsidTr="00C03B9B">
        <w:trPr>
          <w:trHeight w:val="3209"/>
        </w:trPr>
        <w:tc>
          <w:tcPr>
            <w:tcW w:w="9186" w:type="dxa"/>
            <w:shd w:val="clear" w:color="auto" w:fill="auto"/>
          </w:tcPr>
          <w:p w14:paraId="71FE4A70" w14:textId="77777777" w:rsidR="0071415F" w:rsidRPr="000D2E4D" w:rsidRDefault="0071415F" w:rsidP="0071415F">
            <w:pPr>
              <w:tabs>
                <w:tab w:val="left" w:pos="3254"/>
              </w:tabs>
              <w:bidi w:val="0"/>
              <w:spacing w:after="0" w:line="240" w:lineRule="auto"/>
              <w:rPr>
                <w:rFonts w:ascii="Times New Roman" w:hAnsi="Times New Roman" w:cs="Times New Roman"/>
                <w:b/>
                <w:bCs/>
                <w:rtl/>
                <w:lang w:val="it-IT"/>
              </w:rPr>
            </w:pPr>
            <w:r>
              <w:rPr>
                <w:rFonts w:ascii="Times New Roman" w:hAnsi="Times New Roman" w:cs="Times New Roman"/>
                <w:b/>
                <w:bCs/>
                <w:noProof/>
              </w:rPr>
              <w:drawing>
                <wp:inline distT="0" distB="0" distL="0" distR="0" wp14:anchorId="703F9C80" wp14:editId="5363BC5B">
                  <wp:extent cx="5693410" cy="1924050"/>
                  <wp:effectExtent l="0" t="0" r="2540" b="0"/>
                  <wp:docPr id="169"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bl>
    <w:p w14:paraId="522ED344" w14:textId="77777777" w:rsidR="006318AC" w:rsidRDefault="00C03B9B" w:rsidP="006D0C5D">
      <w:pPr>
        <w:bidi w:val="0"/>
        <w:spacing w:after="0" w:line="240" w:lineRule="auto"/>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696BBF40" w14:textId="77777777" w:rsidR="001F12C6" w:rsidRPr="002C448A" w:rsidRDefault="001F12C6" w:rsidP="001F12C6">
      <w:pPr>
        <w:bidi w:val="0"/>
        <w:spacing w:after="0" w:line="240" w:lineRule="auto"/>
        <w:jc w:val="both"/>
        <w:rPr>
          <w:rFonts w:asciiTheme="minorBidi" w:hAnsiTheme="minorBidi" w:cstheme="minorBidi"/>
          <w:color w:val="000000" w:themeColor="text1"/>
          <w:sz w:val="18"/>
          <w:szCs w:val="18"/>
        </w:rPr>
      </w:pPr>
    </w:p>
    <w:p w14:paraId="6594FB80" w14:textId="77777777" w:rsidR="0071415F" w:rsidRDefault="0071415F" w:rsidP="00543D45">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 xml:space="preserve">Indicator 5.5.1 </w:t>
      </w:r>
      <w:r w:rsidR="006318AC">
        <w:rPr>
          <w:rFonts w:ascii="Times New Roman" w:hAnsi="Times New Roman" w:cs="Times New Roman"/>
          <w:b/>
          <w:bCs/>
          <w:i/>
          <w:iCs/>
          <w:sz w:val="24"/>
          <w:szCs w:val="24"/>
        </w:rPr>
        <w:t>P</w:t>
      </w:r>
      <w:r w:rsidRPr="00E32A39">
        <w:rPr>
          <w:rFonts w:ascii="Times New Roman" w:hAnsi="Times New Roman" w:cs="Times New Roman"/>
          <w:b/>
          <w:bCs/>
          <w:i/>
          <w:iCs/>
          <w:sz w:val="24"/>
          <w:szCs w:val="24"/>
        </w:rPr>
        <w:t>roportion of seats held by women in (a) national parliaments and (b) local governments</w:t>
      </w:r>
    </w:p>
    <w:p w14:paraId="1F814401"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3D1AA06C" w14:textId="77777777" w:rsidR="0086098A" w:rsidRDefault="0071415F" w:rsidP="008B1345">
      <w:pPr>
        <w:autoSpaceDE w:val="0"/>
        <w:autoSpaceDN w:val="0"/>
        <w:bidi w:val="0"/>
        <w:adjustRightInd w:val="0"/>
        <w:spacing w:after="0" w:line="240" w:lineRule="auto"/>
        <w:jc w:val="both"/>
        <w:rPr>
          <w:rFonts w:ascii="Arial" w:hAnsi="Arial"/>
          <w:b/>
          <w:bCs/>
        </w:rPr>
      </w:pPr>
      <w:r w:rsidRPr="00540428">
        <w:rPr>
          <w:rFonts w:ascii="Times New Roman" w:hAnsi="Times New Roman" w:cs="Times New Roman"/>
          <w:sz w:val="24"/>
          <w:szCs w:val="24"/>
        </w:rPr>
        <w:t>The data show</w:t>
      </w:r>
      <w:r w:rsidR="006318AC">
        <w:rPr>
          <w:rFonts w:ascii="Times New Roman" w:hAnsi="Times New Roman" w:cs="Times New Roman"/>
          <w:sz w:val="24"/>
          <w:szCs w:val="24"/>
        </w:rPr>
        <w:t>s</w:t>
      </w:r>
      <w:r w:rsidRPr="00540428">
        <w:rPr>
          <w:rFonts w:ascii="Times New Roman" w:hAnsi="Times New Roman" w:cs="Times New Roman"/>
          <w:sz w:val="24"/>
          <w:szCs w:val="24"/>
        </w:rPr>
        <w:t xml:space="preserve"> that the participation rate of women in the Legislative Council decreased from 12.9% in </w:t>
      </w:r>
      <w:r w:rsidR="008B1345">
        <w:rPr>
          <w:rFonts w:ascii="Times New Roman" w:hAnsi="Times New Roman" w:cs="Times New Roman"/>
          <w:sz w:val="24"/>
          <w:szCs w:val="24"/>
        </w:rPr>
        <w:t>2014</w:t>
      </w:r>
      <w:r w:rsidRPr="00540428">
        <w:rPr>
          <w:rFonts w:ascii="Times New Roman" w:hAnsi="Times New Roman" w:cs="Times New Roman"/>
          <w:sz w:val="24"/>
          <w:szCs w:val="24"/>
        </w:rPr>
        <w:t xml:space="preserve"> to 11.3% in </w:t>
      </w:r>
      <w:r>
        <w:rPr>
          <w:rFonts w:ascii="Times New Roman" w:hAnsi="Times New Roman" w:cs="Times New Roman"/>
          <w:sz w:val="24"/>
          <w:szCs w:val="24"/>
        </w:rPr>
        <w:t>2018</w:t>
      </w:r>
      <w:r w:rsidRPr="00540428">
        <w:rPr>
          <w:rFonts w:ascii="Times New Roman" w:hAnsi="Times New Roman" w:cs="Times New Roman"/>
          <w:sz w:val="24"/>
          <w:szCs w:val="24"/>
        </w:rPr>
        <w:t xml:space="preserve"> in Palestine.</w:t>
      </w:r>
    </w:p>
    <w:p w14:paraId="418922B4" w14:textId="77777777" w:rsidR="0086098A" w:rsidRDefault="0086098A" w:rsidP="0086098A">
      <w:pPr>
        <w:tabs>
          <w:tab w:val="left" w:pos="9072"/>
        </w:tabs>
        <w:bidi w:val="0"/>
        <w:spacing w:after="0" w:line="240" w:lineRule="auto"/>
        <w:jc w:val="center"/>
        <w:rPr>
          <w:rFonts w:ascii="Arial" w:hAnsi="Arial"/>
          <w:b/>
          <w:bCs/>
        </w:rPr>
      </w:pPr>
    </w:p>
    <w:p w14:paraId="45053A91" w14:textId="77777777" w:rsidR="0071415F" w:rsidRDefault="0071415F" w:rsidP="0086098A">
      <w:pPr>
        <w:tabs>
          <w:tab w:val="left" w:pos="9072"/>
        </w:tabs>
        <w:bidi w:val="0"/>
        <w:spacing w:after="0" w:line="240" w:lineRule="auto"/>
        <w:jc w:val="center"/>
        <w:rPr>
          <w:rFonts w:ascii="Arial" w:hAnsi="Arial"/>
          <w:b/>
          <w:bCs/>
        </w:rPr>
      </w:pPr>
      <w:r w:rsidRPr="00CD5DFB">
        <w:rPr>
          <w:rFonts w:ascii="Arial" w:hAnsi="Arial"/>
          <w:b/>
          <w:bCs/>
        </w:rPr>
        <w:t>Proportion of Seats Held by Women in National Parliaments, for SelectedYears (%)</w:t>
      </w:r>
    </w:p>
    <w:p w14:paraId="74A4AB15" w14:textId="77777777" w:rsidR="0071415F" w:rsidRPr="00B36771" w:rsidRDefault="0071415F" w:rsidP="0071415F">
      <w:pPr>
        <w:tabs>
          <w:tab w:val="left" w:pos="9072"/>
        </w:tabs>
        <w:bidi w:val="0"/>
        <w:spacing w:after="0" w:line="240" w:lineRule="auto"/>
        <w:jc w:val="center"/>
        <w:rPr>
          <w:rFonts w:ascii="Arial" w:hAnsi="Arial"/>
          <w:b/>
          <w:bCs/>
          <w:sz w:val="4"/>
          <w:szCs w:val="4"/>
        </w:rPr>
      </w:pPr>
    </w:p>
    <w:tbl>
      <w:tblPr>
        <w:tblpPr w:leftFromText="180" w:rightFromText="180" w:vertAnchor="text" w:horzAnchor="margin" w:tblpY="-4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114DF9EC" w14:textId="77777777" w:rsidTr="00543D45">
        <w:trPr>
          <w:trHeight w:val="3676"/>
        </w:trPr>
        <w:tc>
          <w:tcPr>
            <w:tcW w:w="8965" w:type="dxa"/>
            <w:shd w:val="clear" w:color="auto" w:fill="auto"/>
          </w:tcPr>
          <w:p w14:paraId="6C443FBC" w14:textId="77777777" w:rsidR="0071415F" w:rsidRPr="000D2E4D" w:rsidRDefault="0071415F" w:rsidP="0071415F">
            <w:pPr>
              <w:bidi w:val="0"/>
              <w:spacing w:after="0" w:line="240" w:lineRule="auto"/>
              <w:jc w:val="center"/>
              <w:rPr>
                <w:rFonts w:ascii="Arial" w:hAnsi="Arial"/>
                <w:b/>
                <w:bCs/>
                <w:lang w:val="it-IT"/>
              </w:rPr>
            </w:pPr>
            <w:r>
              <w:rPr>
                <w:rFonts w:ascii="Times New Roman" w:eastAsia="Calibri" w:hAnsi="Times New Roman" w:cs="Times New Roman"/>
                <w:noProof/>
                <w:sz w:val="16"/>
                <w:szCs w:val="16"/>
              </w:rPr>
              <w:drawing>
                <wp:inline distT="0" distB="0" distL="0" distR="0" wp14:anchorId="343DD197" wp14:editId="429E623A">
                  <wp:extent cx="5494655" cy="2277374"/>
                  <wp:effectExtent l="0" t="0" r="0" b="8890"/>
                  <wp:docPr id="6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bl>
    <w:p w14:paraId="7779987D" w14:textId="77777777" w:rsidR="0071415F" w:rsidRPr="00625A8B" w:rsidRDefault="0071415F" w:rsidP="00E74AED">
      <w:pPr>
        <w:bidi w:val="0"/>
        <w:spacing w:after="0" w:line="240" w:lineRule="auto"/>
        <w:ind w:left="720" w:hanging="720"/>
        <w:rPr>
          <w:rFonts w:ascii="Arial" w:eastAsia="Calibri" w:hAnsi="Arial"/>
          <w:sz w:val="18"/>
          <w:szCs w:val="18"/>
        </w:rPr>
      </w:pPr>
      <w:r w:rsidRPr="00625A8B">
        <w:rPr>
          <w:rFonts w:ascii="Arial" w:hAnsi="Arial"/>
          <w:b/>
          <w:bCs/>
          <w:color w:val="000000"/>
          <w:sz w:val="18"/>
          <w:szCs w:val="18"/>
        </w:rPr>
        <w:t xml:space="preserve">Source: Palestinian Central Bureau of Statistics, </w:t>
      </w:r>
      <w:r w:rsidRPr="00625A8B">
        <w:rPr>
          <w:rFonts w:ascii="Arial" w:hAnsi="Arial"/>
          <w:color w:val="000000"/>
          <w:sz w:val="18"/>
          <w:szCs w:val="18"/>
        </w:rPr>
        <w:t>Gender Statistics Database</w:t>
      </w:r>
      <w:r w:rsidR="00F47365">
        <w:rPr>
          <w:rFonts w:ascii="Arial" w:hAnsi="Arial"/>
          <w:color w:val="000000"/>
          <w:sz w:val="18"/>
          <w:szCs w:val="18"/>
        </w:rPr>
        <w:t>,</w:t>
      </w:r>
      <w:r w:rsidRPr="00625A8B">
        <w:rPr>
          <w:rFonts w:ascii="Arial" w:hAnsi="Arial"/>
          <w:color w:val="000000"/>
          <w:sz w:val="18"/>
          <w:szCs w:val="18"/>
        </w:rPr>
        <w:t xml:space="preserve"> 20</w:t>
      </w:r>
      <w:r w:rsidR="008B1345">
        <w:rPr>
          <w:rFonts w:ascii="Arial" w:hAnsi="Arial"/>
          <w:color w:val="000000"/>
          <w:sz w:val="18"/>
          <w:szCs w:val="18"/>
        </w:rPr>
        <w:t>14</w:t>
      </w:r>
      <w:r w:rsidRPr="00625A8B">
        <w:rPr>
          <w:rFonts w:ascii="Arial" w:hAnsi="Arial"/>
          <w:color w:val="000000"/>
          <w:sz w:val="18"/>
          <w:szCs w:val="18"/>
        </w:rPr>
        <w:t>-2018. Ramallah- Palestine</w:t>
      </w:r>
      <w:r w:rsidRPr="00625A8B">
        <w:rPr>
          <w:rFonts w:ascii="Arial" w:hAnsi="Arial"/>
          <w:b/>
          <w:bCs/>
          <w:color w:val="000000"/>
          <w:sz w:val="18"/>
          <w:szCs w:val="18"/>
        </w:rPr>
        <w:t>.</w:t>
      </w:r>
    </w:p>
    <w:p w14:paraId="0EDBF7BD"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27BBB8BF" w14:textId="77777777" w:rsidR="0071415F" w:rsidRPr="00540428" w:rsidRDefault="0071415F" w:rsidP="007B30B7">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data show</w:t>
      </w:r>
      <w:r w:rsidR="006318AC">
        <w:rPr>
          <w:rFonts w:ascii="Times New Roman" w:hAnsi="Times New Roman" w:cs="Times New Roman"/>
          <w:sz w:val="24"/>
          <w:szCs w:val="24"/>
        </w:rPr>
        <w:t>s</w:t>
      </w:r>
      <w:r w:rsidRPr="00540428">
        <w:rPr>
          <w:rFonts w:ascii="Times New Roman" w:hAnsi="Times New Roman" w:cs="Times New Roman"/>
          <w:sz w:val="24"/>
          <w:szCs w:val="24"/>
        </w:rPr>
        <w:t xml:space="preserve"> that </w:t>
      </w:r>
      <w:r w:rsidR="00C66B88" w:rsidRPr="00540428">
        <w:rPr>
          <w:rFonts w:ascii="Times New Roman" w:hAnsi="Times New Roman" w:cs="Times New Roman"/>
          <w:sz w:val="24"/>
          <w:szCs w:val="24"/>
        </w:rPr>
        <w:t>women’s</w:t>
      </w:r>
      <w:r w:rsidRPr="00540428">
        <w:rPr>
          <w:rFonts w:ascii="Times New Roman" w:hAnsi="Times New Roman" w:cs="Times New Roman"/>
          <w:sz w:val="24"/>
          <w:szCs w:val="24"/>
        </w:rPr>
        <w:t xml:space="preserve"> participation rate in local</w:t>
      </w:r>
      <w:r w:rsidR="00725009">
        <w:rPr>
          <w:rFonts w:ascii="Times New Roman" w:hAnsi="Times New Roman" w:cs="Times New Roman"/>
          <w:sz w:val="24"/>
          <w:szCs w:val="24"/>
        </w:rPr>
        <w:t xml:space="preserve"> councils in Palestine de</w:t>
      </w:r>
      <w:r w:rsidRPr="00540428">
        <w:rPr>
          <w:rFonts w:ascii="Times New Roman" w:hAnsi="Times New Roman" w:cs="Times New Roman"/>
          <w:sz w:val="24"/>
          <w:szCs w:val="24"/>
        </w:rPr>
        <w:t xml:space="preserve">creased to </w:t>
      </w:r>
      <w:r>
        <w:rPr>
          <w:rFonts w:ascii="Times New Roman" w:hAnsi="Times New Roman" w:cs="Times New Roman" w:hint="cs"/>
          <w:sz w:val="24"/>
          <w:szCs w:val="24"/>
          <w:rtl/>
        </w:rPr>
        <w:t>20.0</w:t>
      </w:r>
      <w:r>
        <w:rPr>
          <w:rFonts w:ascii="Times New Roman" w:hAnsi="Times New Roman" w:cs="Times New Roman"/>
          <w:sz w:val="24"/>
          <w:szCs w:val="24"/>
        </w:rPr>
        <w:t>%</w:t>
      </w:r>
      <w:r w:rsidRPr="00540428">
        <w:rPr>
          <w:rFonts w:ascii="Times New Roman" w:hAnsi="Times New Roman" w:cs="Times New Roman"/>
          <w:sz w:val="24"/>
          <w:szCs w:val="24"/>
        </w:rPr>
        <w:t xml:space="preserve"> in </w:t>
      </w:r>
      <w:r>
        <w:rPr>
          <w:rFonts w:ascii="Times New Roman" w:hAnsi="Times New Roman" w:cs="Times New Roman" w:hint="cs"/>
          <w:sz w:val="24"/>
          <w:szCs w:val="24"/>
          <w:rtl/>
        </w:rPr>
        <w:t>2020</w:t>
      </w:r>
      <w:r w:rsidRPr="00540428">
        <w:rPr>
          <w:rFonts w:ascii="Times New Roman" w:hAnsi="Times New Roman" w:cs="Times New Roman"/>
          <w:sz w:val="24"/>
          <w:szCs w:val="24"/>
        </w:rPr>
        <w:t xml:space="preserve"> compared </w:t>
      </w:r>
      <w:r w:rsidR="006F5874">
        <w:rPr>
          <w:rFonts w:ascii="Times New Roman" w:hAnsi="Times New Roman" w:cs="Times New Roman"/>
          <w:sz w:val="24"/>
          <w:szCs w:val="24"/>
        </w:rPr>
        <w:t xml:space="preserve">to </w:t>
      </w:r>
      <w:r w:rsidR="00725009">
        <w:rPr>
          <w:rFonts w:ascii="Times New Roman" w:hAnsi="Times New Roman" w:cs="Times New Roman"/>
          <w:sz w:val="24"/>
          <w:szCs w:val="24"/>
        </w:rPr>
        <w:t>20.1</w:t>
      </w:r>
      <w:r w:rsidRPr="00540428">
        <w:rPr>
          <w:rFonts w:ascii="Times New Roman" w:hAnsi="Times New Roman" w:cs="Times New Roman"/>
          <w:sz w:val="24"/>
          <w:szCs w:val="24"/>
        </w:rPr>
        <w:t xml:space="preserve">% in </w:t>
      </w:r>
      <w:r w:rsidR="00725009">
        <w:rPr>
          <w:rFonts w:ascii="Times New Roman" w:hAnsi="Times New Roman" w:cs="Times New Roman"/>
          <w:sz w:val="24"/>
          <w:szCs w:val="24"/>
        </w:rPr>
        <w:t>201</w:t>
      </w:r>
      <w:r w:rsidR="00D9150D">
        <w:rPr>
          <w:rFonts w:ascii="Times New Roman" w:hAnsi="Times New Roman" w:cs="Times New Roman"/>
          <w:sz w:val="24"/>
          <w:szCs w:val="24"/>
        </w:rPr>
        <w:t>9</w:t>
      </w:r>
      <w:r w:rsidRPr="00540428">
        <w:rPr>
          <w:rFonts w:ascii="Times New Roman" w:hAnsi="Times New Roman" w:cs="Times New Roman"/>
          <w:sz w:val="24"/>
          <w:szCs w:val="24"/>
          <w:rtl/>
        </w:rPr>
        <w:t>.</w:t>
      </w:r>
    </w:p>
    <w:p w14:paraId="67AB3BDE" w14:textId="77777777" w:rsidR="0071415F" w:rsidRDefault="0071415F" w:rsidP="0071415F">
      <w:pPr>
        <w:tabs>
          <w:tab w:val="left" w:pos="9072"/>
        </w:tabs>
        <w:bidi w:val="0"/>
        <w:spacing w:after="0" w:line="240" w:lineRule="auto"/>
        <w:jc w:val="center"/>
        <w:rPr>
          <w:rFonts w:ascii="Arial" w:hAnsi="Arial"/>
          <w:b/>
          <w:bCs/>
        </w:rPr>
      </w:pPr>
    </w:p>
    <w:p w14:paraId="2F24B49A" w14:textId="77777777" w:rsidR="005404F9" w:rsidRPr="003A30DF" w:rsidRDefault="005404F9" w:rsidP="005404F9">
      <w:pPr>
        <w:tabs>
          <w:tab w:val="left" w:pos="9072"/>
        </w:tabs>
        <w:bidi w:val="0"/>
        <w:spacing w:after="0" w:line="240" w:lineRule="auto"/>
        <w:jc w:val="center"/>
        <w:rPr>
          <w:rFonts w:ascii="Arial" w:hAnsi="Arial"/>
          <w:b/>
          <w:bCs/>
          <w:sz w:val="4"/>
          <w:szCs w:val="4"/>
        </w:rPr>
      </w:pPr>
    </w:p>
    <w:p w14:paraId="2E314293"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6318AC">
        <w:rPr>
          <w:rFonts w:ascii="Arial" w:hAnsi="Arial"/>
          <w:b/>
          <w:bCs/>
        </w:rPr>
        <w:t>S</w:t>
      </w:r>
      <w:r w:rsidRPr="00CD5DFB">
        <w:rPr>
          <w:rFonts w:ascii="Arial" w:hAnsi="Arial"/>
          <w:b/>
          <w:bCs/>
        </w:rPr>
        <w:t xml:space="preserve">eats held by </w:t>
      </w:r>
      <w:r w:rsidR="006318AC">
        <w:rPr>
          <w:rFonts w:ascii="Arial" w:hAnsi="Arial"/>
          <w:b/>
          <w:bCs/>
        </w:rPr>
        <w:t>W</w:t>
      </w:r>
      <w:r w:rsidRPr="00CD5DFB">
        <w:rPr>
          <w:rFonts w:ascii="Arial" w:hAnsi="Arial"/>
          <w:b/>
          <w:bCs/>
        </w:rPr>
        <w:t xml:space="preserve">omen in </w:t>
      </w:r>
      <w:r w:rsidR="006318AC">
        <w:rPr>
          <w:rFonts w:ascii="Arial" w:hAnsi="Arial"/>
          <w:b/>
          <w:bCs/>
        </w:rPr>
        <w:t>L</w:t>
      </w:r>
      <w:r w:rsidRPr="00CD5DFB">
        <w:rPr>
          <w:rFonts w:ascii="Arial" w:hAnsi="Arial"/>
          <w:b/>
          <w:bCs/>
        </w:rPr>
        <w:t xml:space="preserve">ocal </w:t>
      </w:r>
      <w:r w:rsidR="006318AC">
        <w:rPr>
          <w:rFonts w:ascii="Arial" w:hAnsi="Arial"/>
          <w:b/>
          <w:bCs/>
        </w:rPr>
        <w:t>G</w:t>
      </w:r>
      <w:r w:rsidRPr="00CD5DFB">
        <w:rPr>
          <w:rFonts w:ascii="Arial" w:hAnsi="Arial"/>
          <w:b/>
          <w:bCs/>
        </w:rPr>
        <w:t xml:space="preserve">overnments* for </w:t>
      </w:r>
      <w:r w:rsidR="006318AC">
        <w:rPr>
          <w:rFonts w:ascii="Arial" w:hAnsi="Arial"/>
          <w:b/>
          <w:bCs/>
        </w:rPr>
        <w:t>S</w:t>
      </w:r>
      <w:r w:rsidRPr="00CD5DFB">
        <w:rPr>
          <w:rFonts w:ascii="Arial" w:hAnsi="Arial"/>
          <w:b/>
          <w:bCs/>
        </w:rPr>
        <w:t xml:space="preserve">elected </w:t>
      </w:r>
      <w:r w:rsidR="006318AC">
        <w:rPr>
          <w:rFonts w:ascii="Arial" w:hAnsi="Arial"/>
          <w:b/>
          <w:bCs/>
        </w:rPr>
        <w:t>Y</w:t>
      </w:r>
      <w:r w:rsidRPr="00CD5DFB">
        <w:rPr>
          <w:rFonts w:ascii="Arial" w:hAnsi="Arial"/>
          <w:b/>
          <w:bCs/>
        </w:rPr>
        <w:t>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0"/>
      </w:tblGrid>
      <w:tr w:rsidR="0071415F" w:rsidRPr="000D2E4D" w14:paraId="041030E4" w14:textId="77777777" w:rsidTr="0032603A">
        <w:trPr>
          <w:trHeight w:val="2982"/>
        </w:trPr>
        <w:tc>
          <w:tcPr>
            <w:tcW w:w="9030" w:type="dxa"/>
            <w:shd w:val="clear" w:color="auto" w:fill="auto"/>
            <w:vAlign w:val="center"/>
          </w:tcPr>
          <w:p w14:paraId="32D3D7F2" w14:textId="77777777" w:rsidR="0071415F" w:rsidRPr="000D2E4D" w:rsidRDefault="0071415F" w:rsidP="0032603A">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rPr>
              <w:drawing>
                <wp:inline distT="0" distB="0" distL="0" distR="0" wp14:anchorId="512B12C7" wp14:editId="7C7C2F9C">
                  <wp:extent cx="5522595" cy="1809750"/>
                  <wp:effectExtent l="0" t="0" r="1905" b="0"/>
                  <wp:docPr id="6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bl>
    <w:p w14:paraId="7C30435C" w14:textId="77777777" w:rsidR="0071415F" w:rsidRPr="000D2E4D" w:rsidRDefault="0071415F" w:rsidP="0032603A">
      <w:pPr>
        <w:bidi w:val="0"/>
        <w:spacing w:after="0" w:line="240" w:lineRule="auto"/>
        <w:rPr>
          <w:rFonts w:ascii="Times New Roman" w:hAnsi="Times New Roman" w:cs="Times New Roman"/>
          <w:b/>
          <w:bCs/>
          <w:color w:val="000000"/>
        </w:rPr>
      </w:pPr>
      <w:r w:rsidRPr="009646A5">
        <w:rPr>
          <w:rFonts w:ascii="Arial" w:hAnsi="Arial"/>
          <w:b/>
          <w:bCs/>
          <w:color w:val="000000"/>
          <w:sz w:val="18"/>
          <w:szCs w:val="18"/>
        </w:rPr>
        <w:t xml:space="preserve">Source: Palestinian Central Bureau of </w:t>
      </w:r>
      <w:r w:rsidR="00C66B88" w:rsidRPr="009646A5">
        <w:rPr>
          <w:rFonts w:ascii="Arial" w:hAnsi="Arial"/>
          <w:b/>
          <w:bCs/>
          <w:color w:val="000000"/>
          <w:sz w:val="18"/>
          <w:szCs w:val="18"/>
        </w:rPr>
        <w:t>Statistics.</w:t>
      </w:r>
      <w:r w:rsidR="00C66B88" w:rsidRPr="009646A5">
        <w:rPr>
          <w:rFonts w:ascii="Arial" w:hAnsi="Arial"/>
          <w:color w:val="000000"/>
          <w:sz w:val="18"/>
          <w:szCs w:val="18"/>
        </w:rPr>
        <w:t xml:space="preserve"> Gender</w:t>
      </w:r>
      <w:r w:rsidRPr="009646A5">
        <w:rPr>
          <w:rFonts w:ascii="Arial" w:hAnsi="Arial"/>
          <w:color w:val="000000"/>
          <w:sz w:val="18"/>
          <w:szCs w:val="18"/>
        </w:rPr>
        <w:t xml:space="preserve"> Statistics Database 20</w:t>
      </w:r>
      <w:r w:rsidR="00725009">
        <w:rPr>
          <w:rFonts w:ascii="Arial" w:hAnsi="Arial"/>
          <w:color w:val="000000"/>
          <w:sz w:val="18"/>
          <w:szCs w:val="18"/>
        </w:rPr>
        <w:t>17</w:t>
      </w:r>
      <w:r w:rsidRPr="009646A5">
        <w:rPr>
          <w:rFonts w:ascii="Arial" w:hAnsi="Arial"/>
          <w:color w:val="000000"/>
          <w:sz w:val="18"/>
          <w:szCs w:val="18"/>
        </w:rPr>
        <w:t>-</w:t>
      </w:r>
      <w:r>
        <w:rPr>
          <w:rFonts w:ascii="Arial" w:hAnsi="Arial"/>
          <w:color w:val="000000"/>
          <w:sz w:val="18"/>
          <w:szCs w:val="18"/>
        </w:rPr>
        <w:t>2020</w:t>
      </w:r>
      <w:r w:rsidRPr="009646A5">
        <w:rPr>
          <w:rFonts w:ascii="Arial" w:hAnsi="Arial"/>
          <w:color w:val="000000"/>
          <w:sz w:val="18"/>
          <w:szCs w:val="18"/>
        </w:rPr>
        <w:t>. Ramallah- Palestine.</w:t>
      </w:r>
    </w:p>
    <w:p w14:paraId="62952AE3" w14:textId="77777777" w:rsidR="0071415F" w:rsidRDefault="0071415F" w:rsidP="0032603A">
      <w:pPr>
        <w:bidi w:val="0"/>
        <w:spacing w:after="0" w:line="240" w:lineRule="auto"/>
        <w:jc w:val="both"/>
        <w:rPr>
          <w:rFonts w:ascii="Arial" w:eastAsia="Calibri" w:hAnsi="Arial"/>
          <w:sz w:val="18"/>
          <w:szCs w:val="18"/>
        </w:rPr>
      </w:pPr>
      <w:r w:rsidRPr="009646A5">
        <w:rPr>
          <w:rFonts w:ascii="Arial" w:eastAsia="Calibri" w:hAnsi="Arial"/>
          <w:sz w:val="18"/>
          <w:szCs w:val="18"/>
          <w:rtl/>
        </w:rPr>
        <w:t xml:space="preserve">* </w:t>
      </w:r>
      <w:r w:rsidRPr="009646A5">
        <w:rPr>
          <w:rFonts w:ascii="Arial" w:eastAsia="Calibri" w:hAnsi="Arial"/>
          <w:sz w:val="18"/>
          <w:szCs w:val="18"/>
        </w:rPr>
        <w:t>Data represent West Bank only</w:t>
      </w:r>
    </w:p>
    <w:p w14:paraId="0F9B3A15" w14:textId="77777777" w:rsidR="0071415F" w:rsidRDefault="0071415F" w:rsidP="0071415F">
      <w:pPr>
        <w:bidi w:val="0"/>
        <w:spacing w:after="0" w:line="240" w:lineRule="auto"/>
        <w:ind w:left="95"/>
        <w:jc w:val="both"/>
        <w:rPr>
          <w:rFonts w:ascii="Arial" w:eastAsia="Calibri" w:hAnsi="Arial"/>
          <w:sz w:val="18"/>
          <w:szCs w:val="18"/>
        </w:rPr>
      </w:pPr>
    </w:p>
    <w:p w14:paraId="510FF585" w14:textId="77777777" w:rsidR="0071415F" w:rsidRPr="00B36771" w:rsidRDefault="0071415F" w:rsidP="007B30B7">
      <w:pPr>
        <w:bidi w:val="0"/>
        <w:spacing w:after="0" w:line="240" w:lineRule="auto"/>
        <w:ind w:left="95"/>
        <w:jc w:val="both"/>
        <w:rPr>
          <w:rFonts w:ascii="Times New Roman" w:hAnsi="Times New Roman" w:cs="Times New Roman"/>
          <w:sz w:val="24"/>
          <w:szCs w:val="24"/>
        </w:rPr>
      </w:pPr>
      <w:r w:rsidRPr="00540428">
        <w:rPr>
          <w:rFonts w:ascii="Times New Roman" w:hAnsi="Times New Roman" w:cs="Times New Roman"/>
          <w:sz w:val="24"/>
          <w:szCs w:val="24"/>
        </w:rPr>
        <w:t>The data show</w:t>
      </w:r>
      <w:r w:rsidR="006318AC">
        <w:rPr>
          <w:rFonts w:ascii="Times New Roman" w:hAnsi="Times New Roman" w:cs="Times New Roman"/>
          <w:sz w:val="24"/>
          <w:szCs w:val="24"/>
        </w:rPr>
        <w:t>s</w:t>
      </w:r>
      <w:r w:rsidRPr="00540428">
        <w:rPr>
          <w:rFonts w:ascii="Times New Roman" w:hAnsi="Times New Roman" w:cs="Times New Roman"/>
          <w:sz w:val="24"/>
          <w:szCs w:val="24"/>
        </w:rPr>
        <w:t xml:space="preserve"> that </w:t>
      </w:r>
      <w:r w:rsidRPr="00883455">
        <w:rPr>
          <w:rFonts w:ascii="Times New Roman" w:hAnsi="Times New Roman" w:cs="Times New Roman"/>
          <w:sz w:val="24"/>
          <w:szCs w:val="24"/>
        </w:rPr>
        <w:t xml:space="preserve">elected seats held by women in deliberative local </w:t>
      </w:r>
      <w:r w:rsidR="00C66B88" w:rsidRPr="00883455">
        <w:rPr>
          <w:rFonts w:ascii="Times New Roman" w:hAnsi="Times New Roman" w:cs="Times New Roman"/>
          <w:sz w:val="24"/>
          <w:szCs w:val="24"/>
        </w:rPr>
        <w:t>government</w:t>
      </w:r>
      <w:r w:rsidR="006318AC">
        <w:rPr>
          <w:rFonts w:ascii="Times New Roman" w:hAnsi="Times New Roman" w:cs="Times New Roman"/>
          <w:sz w:val="24"/>
          <w:szCs w:val="24"/>
        </w:rPr>
        <w:t xml:space="preserve">bodies </w:t>
      </w:r>
      <w:r w:rsidRPr="00540428">
        <w:rPr>
          <w:rFonts w:ascii="Times New Roman" w:hAnsi="Times New Roman" w:cs="Times New Roman"/>
          <w:sz w:val="24"/>
          <w:szCs w:val="24"/>
        </w:rPr>
        <w:t xml:space="preserve">in the </w:t>
      </w:r>
      <w:r w:rsidR="007B30B7">
        <w:rPr>
          <w:rFonts w:ascii="Times New Roman" w:hAnsi="Times New Roman" w:cs="Times New Roman"/>
          <w:sz w:val="24"/>
          <w:szCs w:val="24"/>
        </w:rPr>
        <w:t>W</w:t>
      </w:r>
      <w:r>
        <w:rPr>
          <w:rFonts w:ascii="Times New Roman" w:hAnsi="Times New Roman" w:cs="Times New Roman"/>
          <w:sz w:val="24"/>
          <w:szCs w:val="24"/>
        </w:rPr>
        <w:t xml:space="preserve">est </w:t>
      </w:r>
      <w:r w:rsidR="007B30B7">
        <w:rPr>
          <w:rFonts w:ascii="Times New Roman" w:hAnsi="Times New Roman" w:cs="Times New Roman"/>
          <w:sz w:val="24"/>
          <w:szCs w:val="24"/>
        </w:rPr>
        <w:t>B</w:t>
      </w:r>
      <w:r>
        <w:rPr>
          <w:rFonts w:ascii="Times New Roman" w:hAnsi="Times New Roman" w:cs="Times New Roman"/>
          <w:sz w:val="24"/>
          <w:szCs w:val="24"/>
        </w:rPr>
        <w:t>ank</w:t>
      </w:r>
      <w:r w:rsidR="006318AC">
        <w:rPr>
          <w:rFonts w:ascii="Times New Roman" w:hAnsi="Times New Roman" w:cs="Times New Roman"/>
          <w:sz w:val="24"/>
          <w:szCs w:val="24"/>
        </w:rPr>
        <w:t>reached</w:t>
      </w:r>
      <w:r w:rsidR="00725009">
        <w:rPr>
          <w:rFonts w:ascii="Times New Roman" w:hAnsi="Times New Roman" w:cs="Times New Roman"/>
          <w:sz w:val="24"/>
          <w:szCs w:val="24"/>
        </w:rPr>
        <w:t>21.8</w:t>
      </w:r>
      <w:r>
        <w:rPr>
          <w:rFonts w:ascii="Times New Roman" w:hAnsi="Times New Roman" w:cs="Times New Roman"/>
          <w:sz w:val="24"/>
          <w:szCs w:val="24"/>
        </w:rPr>
        <w:t>%</w:t>
      </w:r>
      <w:r w:rsidRPr="00540428">
        <w:rPr>
          <w:rFonts w:ascii="Times New Roman" w:hAnsi="Times New Roman" w:cs="Times New Roman"/>
          <w:sz w:val="24"/>
          <w:szCs w:val="24"/>
        </w:rPr>
        <w:t xml:space="preserve"> in </w:t>
      </w:r>
      <w:r w:rsidR="00725009">
        <w:rPr>
          <w:rFonts w:ascii="Times New Roman" w:hAnsi="Times New Roman" w:cs="Times New Roman"/>
          <w:sz w:val="24"/>
          <w:szCs w:val="24"/>
        </w:rPr>
        <w:t>2021</w:t>
      </w:r>
      <w:r>
        <w:rPr>
          <w:rFonts w:ascii="Times New Roman" w:hAnsi="Times New Roman" w:cs="Times New Roman"/>
          <w:sz w:val="24"/>
          <w:szCs w:val="24"/>
        </w:rPr>
        <w:t>.</w:t>
      </w:r>
    </w:p>
    <w:p w14:paraId="6C4ACA80" w14:textId="77777777" w:rsidR="0071415F" w:rsidRPr="004E75AD" w:rsidRDefault="0071415F" w:rsidP="0071415F">
      <w:pPr>
        <w:autoSpaceDE w:val="0"/>
        <w:autoSpaceDN w:val="0"/>
        <w:bidi w:val="0"/>
        <w:adjustRightInd w:val="0"/>
        <w:spacing w:after="0" w:line="240" w:lineRule="auto"/>
        <w:jc w:val="both"/>
        <w:rPr>
          <w:rFonts w:ascii="Times New Roman" w:eastAsia="Calibri" w:hAnsi="Times New Roman" w:cs="Times New Roman"/>
          <w:sz w:val="24"/>
          <w:szCs w:val="24"/>
          <w:rtl/>
        </w:rPr>
      </w:pPr>
    </w:p>
    <w:p w14:paraId="0C4792E1"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5.5.2 Proportion of women in managerial positions</w:t>
      </w:r>
    </w:p>
    <w:p w14:paraId="30DA7750"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48200D08" w14:textId="77777777" w:rsidR="0071415F" w:rsidRDefault="0071415F" w:rsidP="005E62E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data show</w:t>
      </w:r>
      <w:r w:rsidR="006318AC">
        <w:rPr>
          <w:rFonts w:ascii="Times New Roman" w:hAnsi="Times New Roman" w:cs="Times New Roman"/>
          <w:sz w:val="24"/>
          <w:szCs w:val="24"/>
        </w:rPr>
        <w:t>s</w:t>
      </w:r>
      <w:r w:rsidRPr="00540428">
        <w:rPr>
          <w:rFonts w:ascii="Times New Roman" w:hAnsi="Times New Roman" w:cs="Times New Roman"/>
          <w:sz w:val="24"/>
          <w:szCs w:val="24"/>
        </w:rPr>
        <w:t xml:space="preserve"> that the percentage of women in managerial positions </w:t>
      </w:r>
      <w:r>
        <w:rPr>
          <w:rFonts w:ascii="Times New Roman" w:hAnsi="Times New Roman" w:cs="Times New Roman"/>
          <w:sz w:val="24"/>
          <w:szCs w:val="24"/>
        </w:rPr>
        <w:t>increased</w:t>
      </w:r>
      <w:r w:rsidRPr="00540428">
        <w:rPr>
          <w:rFonts w:ascii="Times New Roman" w:hAnsi="Times New Roman" w:cs="Times New Roman"/>
          <w:sz w:val="24"/>
          <w:szCs w:val="24"/>
        </w:rPr>
        <w:t xml:space="preserve"> from </w:t>
      </w:r>
      <w:r>
        <w:rPr>
          <w:rFonts w:ascii="Times New Roman" w:hAnsi="Times New Roman" w:cs="Times New Roman"/>
          <w:sz w:val="24"/>
          <w:szCs w:val="24"/>
        </w:rPr>
        <w:t>16.3</w:t>
      </w:r>
      <w:r w:rsidRPr="00540428">
        <w:rPr>
          <w:rFonts w:ascii="Times New Roman" w:hAnsi="Times New Roman" w:cs="Times New Roman"/>
          <w:sz w:val="24"/>
          <w:szCs w:val="24"/>
        </w:rPr>
        <w:t xml:space="preserve">% in </w:t>
      </w:r>
      <w:r>
        <w:rPr>
          <w:rFonts w:ascii="Times New Roman" w:hAnsi="Times New Roman" w:cs="Times New Roman"/>
          <w:sz w:val="24"/>
          <w:szCs w:val="24"/>
        </w:rPr>
        <w:t>2015</w:t>
      </w:r>
      <w:r w:rsidRPr="00540428">
        <w:rPr>
          <w:rFonts w:ascii="Times New Roman" w:hAnsi="Times New Roman" w:cs="Times New Roman"/>
          <w:sz w:val="24"/>
          <w:szCs w:val="24"/>
        </w:rPr>
        <w:t xml:space="preserve"> to </w:t>
      </w:r>
      <w:r w:rsidR="005E62EF">
        <w:rPr>
          <w:rFonts w:ascii="Times New Roman" w:hAnsi="Times New Roman" w:cs="Times New Roman"/>
          <w:sz w:val="24"/>
          <w:szCs w:val="24"/>
        </w:rPr>
        <w:t>21.4</w:t>
      </w:r>
      <w:r w:rsidRPr="00540428">
        <w:rPr>
          <w:rFonts w:ascii="Times New Roman" w:hAnsi="Times New Roman" w:cs="Times New Roman"/>
          <w:sz w:val="24"/>
          <w:szCs w:val="24"/>
        </w:rPr>
        <w:t xml:space="preserve">% in </w:t>
      </w:r>
      <w:r w:rsidR="005E62EF">
        <w:rPr>
          <w:rFonts w:ascii="Times New Roman" w:hAnsi="Times New Roman" w:cs="Times New Roman"/>
          <w:sz w:val="24"/>
          <w:szCs w:val="24"/>
        </w:rPr>
        <w:t>2021</w:t>
      </w:r>
      <w:r w:rsidRPr="00540428">
        <w:rPr>
          <w:rFonts w:ascii="Times New Roman" w:hAnsi="Times New Roman" w:cs="Times New Roman"/>
          <w:sz w:val="24"/>
          <w:szCs w:val="24"/>
        </w:rPr>
        <w:t xml:space="preserve"> in Palestine</w:t>
      </w:r>
      <w:r w:rsidRPr="00540428">
        <w:rPr>
          <w:rFonts w:ascii="Times New Roman" w:hAnsi="Times New Roman" w:cs="Times New Roman"/>
          <w:sz w:val="24"/>
          <w:szCs w:val="24"/>
          <w:rtl/>
        </w:rPr>
        <w:t>.</w:t>
      </w:r>
    </w:p>
    <w:p w14:paraId="10A0C500"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2B2435B"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BCEAFF0" w14:textId="77777777" w:rsidR="00446CF3" w:rsidRDefault="00446CF3" w:rsidP="005E62EF">
      <w:pPr>
        <w:tabs>
          <w:tab w:val="left" w:pos="9072"/>
        </w:tabs>
        <w:bidi w:val="0"/>
        <w:spacing w:after="0" w:line="240" w:lineRule="auto"/>
        <w:jc w:val="center"/>
        <w:rPr>
          <w:rFonts w:ascii="Arial" w:hAnsi="Arial"/>
          <w:b/>
          <w:bCs/>
        </w:rPr>
      </w:pPr>
    </w:p>
    <w:p w14:paraId="13402E4F" w14:textId="77777777" w:rsidR="00446CF3" w:rsidRDefault="00446CF3" w:rsidP="00446CF3">
      <w:pPr>
        <w:tabs>
          <w:tab w:val="left" w:pos="9072"/>
        </w:tabs>
        <w:bidi w:val="0"/>
        <w:spacing w:after="0" w:line="240" w:lineRule="auto"/>
        <w:jc w:val="center"/>
        <w:rPr>
          <w:rFonts w:ascii="Arial" w:hAnsi="Arial"/>
          <w:b/>
          <w:bCs/>
        </w:rPr>
      </w:pPr>
    </w:p>
    <w:p w14:paraId="203D45F0" w14:textId="77777777" w:rsidR="00446CF3" w:rsidRDefault="00446CF3" w:rsidP="00446CF3">
      <w:pPr>
        <w:tabs>
          <w:tab w:val="left" w:pos="9072"/>
        </w:tabs>
        <w:bidi w:val="0"/>
        <w:spacing w:after="0" w:line="240" w:lineRule="auto"/>
        <w:jc w:val="center"/>
        <w:rPr>
          <w:rFonts w:ascii="Arial" w:hAnsi="Arial"/>
          <w:b/>
          <w:bCs/>
        </w:rPr>
      </w:pPr>
    </w:p>
    <w:p w14:paraId="69B0CA16" w14:textId="77777777" w:rsidR="00446CF3" w:rsidRDefault="00446CF3" w:rsidP="00446CF3">
      <w:pPr>
        <w:tabs>
          <w:tab w:val="left" w:pos="9072"/>
        </w:tabs>
        <w:bidi w:val="0"/>
        <w:spacing w:after="0" w:line="240" w:lineRule="auto"/>
        <w:jc w:val="center"/>
        <w:rPr>
          <w:rFonts w:ascii="Arial" w:hAnsi="Arial"/>
          <w:b/>
          <w:bCs/>
        </w:rPr>
      </w:pPr>
    </w:p>
    <w:p w14:paraId="3E459189" w14:textId="77777777" w:rsidR="00446CF3" w:rsidRDefault="00446CF3" w:rsidP="00446CF3">
      <w:pPr>
        <w:tabs>
          <w:tab w:val="left" w:pos="9072"/>
        </w:tabs>
        <w:bidi w:val="0"/>
        <w:spacing w:after="0" w:line="240" w:lineRule="auto"/>
        <w:jc w:val="center"/>
        <w:rPr>
          <w:rFonts w:ascii="Arial" w:hAnsi="Arial"/>
          <w:b/>
          <w:bCs/>
        </w:rPr>
      </w:pPr>
    </w:p>
    <w:p w14:paraId="0DED0758" w14:textId="77777777" w:rsidR="00446CF3" w:rsidRDefault="00446CF3" w:rsidP="00446CF3">
      <w:pPr>
        <w:tabs>
          <w:tab w:val="left" w:pos="9072"/>
        </w:tabs>
        <w:bidi w:val="0"/>
        <w:spacing w:after="0" w:line="240" w:lineRule="auto"/>
        <w:jc w:val="center"/>
        <w:rPr>
          <w:rFonts w:ascii="Arial" w:hAnsi="Arial"/>
          <w:b/>
          <w:bCs/>
        </w:rPr>
      </w:pPr>
    </w:p>
    <w:p w14:paraId="593F74E3" w14:textId="77777777" w:rsidR="00446CF3" w:rsidRDefault="00446CF3" w:rsidP="00446CF3">
      <w:pPr>
        <w:tabs>
          <w:tab w:val="left" w:pos="9072"/>
        </w:tabs>
        <w:bidi w:val="0"/>
        <w:spacing w:after="0" w:line="240" w:lineRule="auto"/>
        <w:jc w:val="center"/>
        <w:rPr>
          <w:rFonts w:ascii="Arial" w:hAnsi="Arial"/>
          <w:b/>
          <w:bCs/>
        </w:rPr>
      </w:pPr>
    </w:p>
    <w:p w14:paraId="727411F6" w14:textId="77777777" w:rsidR="0071415F" w:rsidRPr="00CD5DFB" w:rsidRDefault="0071415F" w:rsidP="00446CF3">
      <w:pPr>
        <w:tabs>
          <w:tab w:val="left" w:pos="9072"/>
        </w:tabs>
        <w:bidi w:val="0"/>
        <w:spacing w:after="0" w:line="240" w:lineRule="auto"/>
        <w:jc w:val="center"/>
        <w:rPr>
          <w:rFonts w:ascii="Arial" w:hAnsi="Arial"/>
          <w:b/>
          <w:bCs/>
        </w:rPr>
      </w:pPr>
      <w:r w:rsidRPr="00CD5DFB">
        <w:rPr>
          <w:rFonts w:ascii="Arial" w:hAnsi="Arial"/>
          <w:b/>
          <w:bCs/>
        </w:rPr>
        <w:lastRenderedPageBreak/>
        <w:t>Proportion of Women in Managerial Positions, 20</w:t>
      </w:r>
      <w:r w:rsidR="005E62EF">
        <w:rPr>
          <w:rFonts w:ascii="Arial" w:hAnsi="Arial"/>
          <w:b/>
          <w:bCs/>
        </w:rPr>
        <w:t>15</w:t>
      </w:r>
      <w:r w:rsidRPr="00CD5DFB">
        <w:rPr>
          <w:rFonts w:ascii="Arial" w:hAnsi="Arial"/>
          <w:b/>
          <w:bCs/>
        </w:rPr>
        <w:t>-</w:t>
      </w:r>
      <w:r>
        <w:rPr>
          <w:rFonts w:ascii="Arial" w:hAnsi="Arial"/>
          <w:b/>
          <w:bCs/>
        </w:rPr>
        <w:t xml:space="preserve"> 20</w:t>
      </w:r>
      <w:r w:rsidR="005E62EF">
        <w:rPr>
          <w:rFonts w:ascii="Arial" w:hAnsi="Arial"/>
          <w:b/>
          <w:bCs/>
        </w:rPr>
        <w:t>21</w:t>
      </w:r>
      <w:r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1E4C6558" w14:textId="77777777" w:rsidTr="0071415F">
        <w:tc>
          <w:tcPr>
            <w:tcW w:w="9286" w:type="dxa"/>
            <w:shd w:val="clear" w:color="auto" w:fill="auto"/>
          </w:tcPr>
          <w:p w14:paraId="69E200FA"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433B7346" wp14:editId="5AC22B28">
                  <wp:extent cx="5605780" cy="2273935"/>
                  <wp:effectExtent l="0" t="0" r="0" b="0"/>
                  <wp:docPr id="6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p w14:paraId="73D8915F" w14:textId="77777777" w:rsidR="0071415F" w:rsidRPr="009646A5" w:rsidRDefault="0071415F" w:rsidP="0032603A">
      <w:pPr>
        <w:bidi w:val="0"/>
        <w:spacing w:after="0" w:line="240" w:lineRule="auto"/>
        <w:ind w:left="720" w:hanging="720"/>
        <w:rPr>
          <w:rFonts w:ascii="Arial" w:hAnsi="Arial"/>
          <w:color w:val="000000"/>
          <w:sz w:val="18"/>
          <w:szCs w:val="18"/>
        </w:rPr>
      </w:pPr>
      <w:r w:rsidRPr="009646A5">
        <w:rPr>
          <w:rFonts w:ascii="Arial" w:hAnsi="Arial"/>
          <w:b/>
          <w:bCs/>
          <w:color w:val="000000"/>
          <w:sz w:val="18"/>
          <w:szCs w:val="18"/>
        </w:rPr>
        <w:t>Source: Palestinian Central Bureau of Statistics,</w:t>
      </w:r>
      <w:r w:rsidRPr="009646A5">
        <w:rPr>
          <w:rFonts w:ascii="Arial" w:hAnsi="Arial"/>
          <w:color w:val="000000"/>
          <w:sz w:val="18"/>
          <w:szCs w:val="18"/>
        </w:rPr>
        <w:t>Labo</w:t>
      </w:r>
      <w:r>
        <w:rPr>
          <w:rFonts w:ascii="Arial" w:hAnsi="Arial"/>
          <w:color w:val="000000"/>
          <w:sz w:val="18"/>
          <w:szCs w:val="18"/>
        </w:rPr>
        <w:t>u</w:t>
      </w:r>
      <w:r w:rsidRPr="009646A5">
        <w:rPr>
          <w:rFonts w:ascii="Arial" w:hAnsi="Arial"/>
          <w:color w:val="000000"/>
          <w:sz w:val="18"/>
          <w:szCs w:val="18"/>
        </w:rPr>
        <w:t>rForce Survey Database</w:t>
      </w:r>
      <w:r w:rsidR="0032603A">
        <w:rPr>
          <w:rFonts w:ascii="Arial" w:hAnsi="Arial"/>
          <w:color w:val="000000"/>
          <w:sz w:val="18"/>
          <w:szCs w:val="18"/>
        </w:rPr>
        <w:t>,</w:t>
      </w:r>
      <w:r w:rsidRPr="009646A5">
        <w:rPr>
          <w:rFonts w:ascii="Arial" w:hAnsi="Arial"/>
          <w:color w:val="000000"/>
          <w:sz w:val="18"/>
          <w:szCs w:val="18"/>
        </w:rPr>
        <w:t xml:space="preserve"> 20</w:t>
      </w:r>
      <w:r w:rsidR="005E62EF">
        <w:rPr>
          <w:rFonts w:ascii="Arial" w:hAnsi="Arial"/>
          <w:color w:val="000000"/>
          <w:sz w:val="18"/>
          <w:szCs w:val="18"/>
        </w:rPr>
        <w:t>15</w:t>
      </w:r>
      <w:r w:rsidRPr="009646A5">
        <w:rPr>
          <w:rFonts w:ascii="Arial" w:hAnsi="Arial"/>
          <w:color w:val="000000"/>
          <w:sz w:val="18"/>
          <w:szCs w:val="18"/>
        </w:rPr>
        <w:t>-</w:t>
      </w:r>
      <w:r>
        <w:rPr>
          <w:rFonts w:ascii="Arial" w:hAnsi="Arial" w:hint="cs"/>
          <w:color w:val="000000"/>
          <w:sz w:val="18"/>
          <w:szCs w:val="18"/>
          <w:rtl/>
        </w:rPr>
        <w:t>202</w:t>
      </w:r>
      <w:r w:rsidR="00C35772">
        <w:rPr>
          <w:rFonts w:ascii="Arial" w:hAnsi="Arial"/>
          <w:color w:val="000000"/>
          <w:sz w:val="18"/>
          <w:szCs w:val="18"/>
        </w:rPr>
        <w:t>1</w:t>
      </w:r>
      <w:r>
        <w:rPr>
          <w:rFonts w:ascii="Arial" w:hAnsi="Arial"/>
          <w:color w:val="000000"/>
          <w:sz w:val="18"/>
          <w:szCs w:val="18"/>
        </w:rPr>
        <w:t>. Ramallah- Palestine.</w:t>
      </w:r>
    </w:p>
    <w:p w14:paraId="564DD063"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p>
    <w:p w14:paraId="02404EF2"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5.b.1 Proportion of individuals who own a mobile telephone, by sex</w:t>
      </w:r>
    </w:p>
    <w:p w14:paraId="78213961"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2DA34989" w14:textId="77777777" w:rsidR="005404F9" w:rsidRPr="00446CF3" w:rsidRDefault="0071415F" w:rsidP="000601BB">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There has been a </w:t>
      </w:r>
      <w:r w:rsidRPr="00446CF3">
        <w:rPr>
          <w:rFonts w:ascii="Times New Roman" w:hAnsi="Times New Roman" w:cs="Times New Roman"/>
          <w:sz w:val="24"/>
          <w:szCs w:val="24"/>
        </w:rPr>
        <w:t xml:space="preserve">significant </w:t>
      </w:r>
      <w:r w:rsidR="006318AC" w:rsidRPr="00446CF3">
        <w:rPr>
          <w:rFonts w:ascii="Times New Roman" w:hAnsi="Times New Roman" w:cs="Times New Roman"/>
          <w:sz w:val="24"/>
          <w:szCs w:val="24"/>
        </w:rPr>
        <w:t>increase</w:t>
      </w:r>
      <w:r w:rsidRPr="00446CF3">
        <w:rPr>
          <w:rFonts w:ascii="Times New Roman" w:hAnsi="Times New Roman" w:cs="Times New Roman"/>
          <w:sz w:val="24"/>
          <w:szCs w:val="24"/>
        </w:rPr>
        <w:t xml:space="preserve"> in the percentage of mobile /cellular ownership in Palestine, from </w:t>
      </w:r>
      <w:r w:rsidR="00BC7315" w:rsidRPr="00446CF3">
        <w:rPr>
          <w:rFonts w:ascii="Times New Roman" w:hAnsi="Times New Roman" w:cs="Times New Roman"/>
          <w:sz w:val="24"/>
          <w:szCs w:val="24"/>
        </w:rPr>
        <w:t>73.7</w:t>
      </w:r>
      <w:r w:rsidRPr="00446CF3">
        <w:rPr>
          <w:rFonts w:ascii="Times New Roman" w:hAnsi="Times New Roman" w:cs="Times New Roman"/>
          <w:sz w:val="24"/>
          <w:szCs w:val="24"/>
        </w:rPr>
        <w:t xml:space="preserve">% in </w:t>
      </w:r>
      <w:r w:rsidR="00BC7315" w:rsidRPr="00446CF3">
        <w:rPr>
          <w:rFonts w:ascii="Times New Roman" w:hAnsi="Times New Roman" w:cs="Times New Roman"/>
          <w:sz w:val="24"/>
          <w:szCs w:val="24"/>
        </w:rPr>
        <w:t>2014</w:t>
      </w:r>
      <w:r w:rsidRPr="00446CF3">
        <w:rPr>
          <w:rFonts w:ascii="Times New Roman" w:hAnsi="Times New Roman" w:cs="Times New Roman"/>
          <w:sz w:val="24"/>
          <w:szCs w:val="24"/>
        </w:rPr>
        <w:t xml:space="preserve"> to </w:t>
      </w:r>
      <w:r w:rsidR="000601BB" w:rsidRPr="00446CF3">
        <w:rPr>
          <w:rFonts w:ascii="Times New Roman" w:hAnsi="Times New Roman" w:cs="Times New Roman"/>
          <w:sz w:val="24"/>
          <w:szCs w:val="24"/>
        </w:rPr>
        <w:t>79.2</w:t>
      </w:r>
      <w:r w:rsidRPr="00446CF3">
        <w:rPr>
          <w:rFonts w:ascii="Times New Roman" w:hAnsi="Times New Roman" w:cs="Times New Roman"/>
          <w:sz w:val="24"/>
          <w:szCs w:val="24"/>
        </w:rPr>
        <w:t xml:space="preserve">% in </w:t>
      </w:r>
      <w:r w:rsidR="00BC7315" w:rsidRPr="00446CF3">
        <w:rPr>
          <w:rFonts w:ascii="Times New Roman" w:hAnsi="Times New Roman" w:cs="Times New Roman"/>
          <w:sz w:val="24"/>
          <w:szCs w:val="24"/>
        </w:rPr>
        <w:t>2022</w:t>
      </w:r>
      <w:r w:rsidRPr="00446CF3">
        <w:rPr>
          <w:rFonts w:ascii="Times New Roman" w:hAnsi="Times New Roman" w:cs="Times New Roman"/>
          <w:sz w:val="24"/>
          <w:szCs w:val="24"/>
          <w:rtl/>
        </w:rPr>
        <w:t>.</w:t>
      </w:r>
    </w:p>
    <w:p w14:paraId="6C48CA95" w14:textId="77777777" w:rsidR="005404F9" w:rsidRPr="00446CF3" w:rsidRDefault="005404F9" w:rsidP="005404F9">
      <w:pPr>
        <w:tabs>
          <w:tab w:val="left" w:pos="9072"/>
        </w:tabs>
        <w:bidi w:val="0"/>
        <w:spacing w:after="0" w:line="240" w:lineRule="auto"/>
        <w:jc w:val="center"/>
        <w:rPr>
          <w:rFonts w:ascii="Arial" w:hAnsi="Arial"/>
          <w:b/>
          <w:bCs/>
        </w:rPr>
      </w:pPr>
    </w:p>
    <w:p w14:paraId="3F90B0B6" w14:textId="77777777" w:rsidR="0071415F" w:rsidRPr="00CD5DFB" w:rsidRDefault="0071415F" w:rsidP="005404F9">
      <w:pPr>
        <w:tabs>
          <w:tab w:val="left" w:pos="9072"/>
        </w:tabs>
        <w:bidi w:val="0"/>
        <w:spacing w:after="0" w:line="240" w:lineRule="auto"/>
        <w:jc w:val="center"/>
        <w:rPr>
          <w:rFonts w:ascii="Arial" w:hAnsi="Arial"/>
          <w:b/>
          <w:bCs/>
        </w:rPr>
      </w:pPr>
      <w:r w:rsidRPr="00446CF3">
        <w:rPr>
          <w:rFonts w:ascii="Arial" w:hAnsi="Arial"/>
          <w:b/>
          <w:bCs/>
        </w:rPr>
        <w:t xml:space="preserve">Proportion of Individuals </w:t>
      </w:r>
      <w:r w:rsidR="006318AC" w:rsidRPr="00446CF3">
        <w:rPr>
          <w:rFonts w:ascii="Arial" w:hAnsi="Arial"/>
          <w:b/>
          <w:bCs/>
        </w:rPr>
        <w:t>that</w:t>
      </w:r>
      <w:r w:rsidR="00156F68" w:rsidRPr="00446CF3">
        <w:rPr>
          <w:rFonts w:ascii="Arial" w:hAnsi="Arial"/>
          <w:b/>
          <w:bCs/>
        </w:rPr>
        <w:t>O</w:t>
      </w:r>
      <w:r w:rsidRPr="00446CF3">
        <w:rPr>
          <w:rFonts w:ascii="Arial" w:hAnsi="Arial"/>
          <w:b/>
          <w:bCs/>
        </w:rPr>
        <w:t>wn a Mobile Telephone for Selected Years (%)</w:t>
      </w:r>
    </w:p>
    <w:tbl>
      <w:tblPr>
        <w:tblW w:w="907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0"/>
      </w:tblGrid>
      <w:tr w:rsidR="0071415F" w:rsidRPr="000D2E4D" w14:paraId="78DA70CF" w14:textId="77777777" w:rsidTr="002F3E1D">
        <w:trPr>
          <w:trHeight w:val="3029"/>
        </w:trPr>
        <w:tc>
          <w:tcPr>
            <w:tcW w:w="9070" w:type="dxa"/>
            <w:shd w:val="clear" w:color="auto" w:fill="auto"/>
          </w:tcPr>
          <w:p w14:paraId="2CD81640" w14:textId="77777777" w:rsidR="0071415F" w:rsidRPr="000D2E4D" w:rsidRDefault="0071415F" w:rsidP="0071415F">
            <w:pPr>
              <w:bidi w:val="0"/>
              <w:spacing w:after="0" w:line="240" w:lineRule="auto"/>
              <w:jc w:val="center"/>
              <w:rPr>
                <w:rFonts w:ascii="Arial" w:hAnsi="Arial"/>
                <w:b/>
                <w:bCs/>
                <w:lang w:val="it-IT"/>
              </w:rPr>
            </w:pPr>
            <w:r>
              <w:rPr>
                <w:rFonts w:ascii="Times New Roman" w:eastAsia="Calibri" w:hAnsi="Times New Roman" w:cs="Times New Roman"/>
                <w:b/>
                <w:bCs/>
                <w:noProof/>
              </w:rPr>
              <w:drawing>
                <wp:inline distT="0" distB="0" distL="0" distR="0" wp14:anchorId="65FE787E" wp14:editId="6E61673E">
                  <wp:extent cx="5548630" cy="1828800"/>
                  <wp:effectExtent l="0" t="0" r="0" b="0"/>
                  <wp:docPr id="6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bl>
    <w:p w14:paraId="6F26B40D" w14:textId="77777777" w:rsidR="007D7361" w:rsidRDefault="0071415F" w:rsidP="0032603A">
      <w:pPr>
        <w:bidi w:val="0"/>
        <w:spacing w:after="0" w:line="240" w:lineRule="auto"/>
        <w:ind w:left="709" w:hanging="709"/>
        <w:jc w:val="both"/>
        <w:rPr>
          <w:rFonts w:ascii="Arial" w:hAnsi="Arial"/>
          <w:b/>
          <w:bCs/>
          <w:color w:val="000000"/>
          <w:sz w:val="18"/>
          <w:szCs w:val="18"/>
        </w:rPr>
      </w:pPr>
      <w:r w:rsidRPr="004957B1">
        <w:rPr>
          <w:rFonts w:ascii="Arial" w:hAnsi="Arial"/>
          <w:b/>
          <w:bCs/>
          <w:color w:val="000000"/>
          <w:sz w:val="18"/>
          <w:szCs w:val="18"/>
        </w:rPr>
        <w:t xml:space="preserve">Source: Palestinian Central Bureau of Statistics, </w:t>
      </w:r>
      <w:r w:rsidRPr="004957B1">
        <w:rPr>
          <w:rFonts w:ascii="Arial" w:hAnsi="Arial"/>
          <w:color w:val="000000"/>
          <w:sz w:val="18"/>
          <w:szCs w:val="18"/>
        </w:rPr>
        <w:t xml:space="preserve">Households Survey on Information and Communications </w:t>
      </w:r>
      <w:r w:rsidR="00C66B88" w:rsidRPr="004957B1">
        <w:rPr>
          <w:rFonts w:ascii="Arial" w:hAnsi="Arial"/>
          <w:color w:val="000000"/>
          <w:sz w:val="18"/>
          <w:szCs w:val="18"/>
        </w:rPr>
        <w:t>Technology Database</w:t>
      </w:r>
      <w:r w:rsidR="0032603A">
        <w:rPr>
          <w:rFonts w:ascii="Arial" w:hAnsi="Arial"/>
          <w:color w:val="000000"/>
          <w:sz w:val="18"/>
          <w:szCs w:val="18"/>
        </w:rPr>
        <w:t xml:space="preserve">, </w:t>
      </w:r>
      <w:r w:rsidRPr="004957B1">
        <w:rPr>
          <w:rFonts w:ascii="Arial" w:hAnsi="Arial"/>
          <w:color w:val="000000"/>
          <w:sz w:val="18"/>
          <w:szCs w:val="18"/>
        </w:rPr>
        <w:t xml:space="preserve">2014.  Ramallah </w:t>
      </w:r>
      <w:r w:rsidR="007D7361">
        <w:rPr>
          <w:rFonts w:ascii="Arial" w:hAnsi="Arial"/>
          <w:color w:val="000000"/>
          <w:sz w:val="18"/>
          <w:szCs w:val="18"/>
        </w:rPr>
        <w:t>–</w:t>
      </w:r>
      <w:r w:rsidRPr="004957B1">
        <w:rPr>
          <w:rFonts w:ascii="Arial" w:hAnsi="Arial"/>
          <w:color w:val="000000"/>
          <w:sz w:val="18"/>
          <w:szCs w:val="18"/>
        </w:rPr>
        <w:t xml:space="preserve"> Palestine</w:t>
      </w:r>
    </w:p>
    <w:p w14:paraId="3AD6447E" w14:textId="77777777" w:rsidR="007D7361" w:rsidRDefault="0071415F" w:rsidP="00E74AED">
      <w:pPr>
        <w:bidi w:val="0"/>
        <w:spacing w:after="0" w:line="240" w:lineRule="auto"/>
        <w:ind w:left="709" w:firstLine="11"/>
        <w:jc w:val="both"/>
        <w:rPr>
          <w:rFonts w:ascii="Arial" w:hAnsi="Arial"/>
          <w:color w:val="000000"/>
          <w:sz w:val="18"/>
          <w:szCs w:val="18"/>
        </w:rPr>
      </w:pPr>
      <w:r w:rsidRPr="004957B1">
        <w:rPr>
          <w:rFonts w:ascii="Arial" w:hAnsi="Arial"/>
          <w:b/>
          <w:bCs/>
          <w:color w:val="000000"/>
          <w:sz w:val="18"/>
          <w:szCs w:val="18"/>
        </w:rPr>
        <w:t xml:space="preserve">Palestinian Central Bureau of </w:t>
      </w:r>
      <w:r w:rsidR="00C66B88" w:rsidRPr="004957B1">
        <w:rPr>
          <w:rFonts w:ascii="Arial" w:hAnsi="Arial"/>
          <w:b/>
          <w:bCs/>
          <w:color w:val="000000"/>
          <w:sz w:val="18"/>
          <w:szCs w:val="18"/>
        </w:rPr>
        <w:t>Statistics,</w:t>
      </w:r>
      <w:r w:rsidR="00C66B88" w:rsidRPr="004957B1">
        <w:rPr>
          <w:rFonts w:ascii="Arial" w:hAnsi="Arial"/>
          <w:color w:val="000000"/>
          <w:sz w:val="18"/>
          <w:szCs w:val="18"/>
        </w:rPr>
        <w:t xml:space="preserve"> Household</w:t>
      </w:r>
      <w:r w:rsidRPr="004957B1">
        <w:rPr>
          <w:rFonts w:ascii="Arial" w:hAnsi="Arial"/>
          <w:color w:val="000000"/>
          <w:sz w:val="18"/>
          <w:szCs w:val="18"/>
        </w:rPr>
        <w:t xml:space="preserve"> Survey on Information and Communications Technology, 2019:  Main Findings Report.  Ramallah - Palestine.</w:t>
      </w:r>
    </w:p>
    <w:p w14:paraId="490E73A9" w14:textId="3BF24E16" w:rsidR="00BC7315" w:rsidRPr="007D7361" w:rsidRDefault="00BC7315" w:rsidP="00E74AED">
      <w:pPr>
        <w:bidi w:val="0"/>
        <w:spacing w:after="0" w:line="240" w:lineRule="auto"/>
        <w:ind w:left="709" w:firstLine="11"/>
        <w:jc w:val="both"/>
        <w:rPr>
          <w:rFonts w:ascii="Arial" w:hAnsi="Arial"/>
          <w:b/>
          <w:bCs/>
          <w:color w:val="000000"/>
          <w:sz w:val="18"/>
          <w:szCs w:val="18"/>
        </w:rPr>
      </w:pPr>
      <w:r w:rsidRPr="009646A5">
        <w:rPr>
          <w:rFonts w:ascii="Arial" w:hAnsi="Arial"/>
          <w:b/>
          <w:bCs/>
          <w:color w:val="000000"/>
          <w:sz w:val="18"/>
          <w:szCs w:val="18"/>
        </w:rPr>
        <w:t>Palestinian Central Bureau of Statistics,</w:t>
      </w:r>
      <w:r w:rsidR="00E45106">
        <w:rPr>
          <w:rFonts w:ascii="Arial" w:hAnsi="Arial"/>
          <w:b/>
          <w:bCs/>
          <w:color w:val="000000"/>
          <w:sz w:val="18"/>
          <w:szCs w:val="18"/>
        </w:rPr>
        <w:t xml:space="preserve"> </w:t>
      </w:r>
      <w:r w:rsidRPr="009646A5">
        <w:rPr>
          <w:rFonts w:ascii="Arial" w:hAnsi="Arial"/>
          <w:color w:val="000000"/>
          <w:sz w:val="18"/>
          <w:szCs w:val="18"/>
        </w:rPr>
        <w:t>Labo</w:t>
      </w:r>
      <w:r>
        <w:rPr>
          <w:rFonts w:ascii="Arial" w:hAnsi="Arial"/>
          <w:color w:val="000000"/>
          <w:sz w:val="18"/>
          <w:szCs w:val="18"/>
        </w:rPr>
        <w:t>u</w:t>
      </w:r>
      <w:r w:rsidRPr="009646A5">
        <w:rPr>
          <w:rFonts w:ascii="Arial" w:hAnsi="Arial"/>
          <w:color w:val="000000"/>
          <w:sz w:val="18"/>
          <w:szCs w:val="18"/>
        </w:rPr>
        <w:t xml:space="preserve">rForce Survey </w:t>
      </w:r>
      <w:r w:rsidR="00C66B88" w:rsidRPr="009646A5">
        <w:rPr>
          <w:rFonts w:ascii="Arial" w:hAnsi="Arial"/>
          <w:color w:val="000000"/>
          <w:sz w:val="18"/>
          <w:szCs w:val="18"/>
        </w:rPr>
        <w:t>Database</w:t>
      </w:r>
      <w:r w:rsidR="00E45106">
        <w:rPr>
          <w:rFonts w:ascii="Arial" w:hAnsi="Arial"/>
          <w:color w:val="000000"/>
          <w:sz w:val="18"/>
          <w:szCs w:val="18"/>
        </w:rPr>
        <w:t xml:space="preserve">, 2022 </w:t>
      </w:r>
      <w:r>
        <w:rPr>
          <w:rFonts w:ascii="Arial" w:hAnsi="Arial"/>
          <w:color w:val="000000"/>
          <w:sz w:val="18"/>
          <w:szCs w:val="18"/>
        </w:rPr>
        <w:t>. Ramallah- Palestine.</w:t>
      </w:r>
    </w:p>
    <w:p w14:paraId="4A77E4B9"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748E6E3C" w14:textId="77777777" w:rsidR="0071415F" w:rsidRDefault="0071415F" w:rsidP="005F5DD1">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Although there </w:t>
      </w:r>
      <w:r w:rsidR="006F5874">
        <w:rPr>
          <w:rFonts w:ascii="Times New Roman" w:hAnsi="Times New Roman" w:cs="Times New Roman"/>
          <w:sz w:val="24"/>
          <w:szCs w:val="24"/>
        </w:rPr>
        <w:t>was an</w:t>
      </w:r>
      <w:r w:rsidRPr="00540428">
        <w:rPr>
          <w:rFonts w:ascii="Times New Roman" w:hAnsi="Times New Roman" w:cs="Times New Roman"/>
          <w:sz w:val="24"/>
          <w:szCs w:val="24"/>
        </w:rPr>
        <w:t xml:space="preserve"> </w:t>
      </w:r>
      <w:r w:rsidRPr="00446CF3">
        <w:rPr>
          <w:rFonts w:ascii="Times New Roman" w:hAnsi="Times New Roman" w:cs="Times New Roman"/>
          <w:sz w:val="24"/>
          <w:szCs w:val="24"/>
        </w:rPr>
        <w:t xml:space="preserve">increase in mobile ownership, there is still </w:t>
      </w:r>
      <w:r w:rsidR="006F5874" w:rsidRPr="00446CF3">
        <w:rPr>
          <w:rFonts w:ascii="Times New Roman" w:hAnsi="Times New Roman" w:cs="Times New Roman"/>
          <w:sz w:val="24"/>
          <w:szCs w:val="24"/>
        </w:rPr>
        <w:t xml:space="preserve">a </w:t>
      </w:r>
      <w:r w:rsidRPr="00446CF3">
        <w:rPr>
          <w:rFonts w:ascii="Times New Roman" w:hAnsi="Times New Roman" w:cs="Times New Roman"/>
          <w:sz w:val="24"/>
          <w:szCs w:val="24"/>
        </w:rPr>
        <w:t xml:space="preserve">gap between males and females in mobile/cellular ownership in </w:t>
      </w:r>
      <w:r w:rsidR="00BC7315" w:rsidRPr="00446CF3">
        <w:rPr>
          <w:rFonts w:ascii="Times New Roman" w:hAnsi="Times New Roman" w:cs="Times New Roman" w:hint="cs"/>
          <w:sz w:val="24"/>
          <w:szCs w:val="24"/>
          <w:rtl/>
        </w:rPr>
        <w:t>2022</w:t>
      </w:r>
      <w:r w:rsidRPr="00446CF3">
        <w:rPr>
          <w:rFonts w:ascii="Times New Roman" w:hAnsi="Times New Roman" w:cs="Times New Roman"/>
          <w:sz w:val="24"/>
          <w:szCs w:val="24"/>
        </w:rPr>
        <w:t xml:space="preserve">, with </w:t>
      </w:r>
      <w:r w:rsidR="005F5DD1" w:rsidRPr="00446CF3">
        <w:rPr>
          <w:rFonts w:ascii="Times New Roman" w:hAnsi="Times New Roman" w:cs="Times New Roman"/>
          <w:sz w:val="24"/>
          <w:szCs w:val="24"/>
        </w:rPr>
        <w:t>75.7</w:t>
      </w:r>
      <w:r w:rsidRPr="00446CF3">
        <w:rPr>
          <w:rFonts w:ascii="Times New Roman" w:hAnsi="Times New Roman" w:cs="Times New Roman"/>
          <w:sz w:val="24"/>
          <w:szCs w:val="24"/>
        </w:rPr>
        <w:t xml:space="preserve">% of females </w:t>
      </w:r>
      <w:r w:rsidR="006318AC" w:rsidRPr="00446CF3">
        <w:rPr>
          <w:rFonts w:ascii="Times New Roman" w:hAnsi="Times New Roman" w:cs="Times New Roman"/>
          <w:sz w:val="24"/>
          <w:szCs w:val="24"/>
        </w:rPr>
        <w:t xml:space="preserve">owning a device </w:t>
      </w:r>
      <w:r w:rsidRPr="00446CF3">
        <w:rPr>
          <w:rFonts w:ascii="Times New Roman" w:hAnsi="Times New Roman" w:cs="Times New Roman"/>
          <w:sz w:val="24"/>
          <w:szCs w:val="24"/>
        </w:rPr>
        <w:t xml:space="preserve">compared to </w:t>
      </w:r>
      <w:r w:rsidR="005F5DD1" w:rsidRPr="00446CF3">
        <w:rPr>
          <w:rFonts w:ascii="Times New Roman" w:hAnsi="Times New Roman" w:cs="Times New Roman"/>
          <w:sz w:val="24"/>
          <w:szCs w:val="24"/>
        </w:rPr>
        <w:t>82.7</w:t>
      </w:r>
      <w:r w:rsidRPr="00446CF3">
        <w:rPr>
          <w:rFonts w:ascii="Times New Roman" w:hAnsi="Times New Roman" w:cs="Times New Roman"/>
          <w:sz w:val="24"/>
          <w:szCs w:val="24"/>
        </w:rPr>
        <w:t xml:space="preserve">% </w:t>
      </w:r>
      <w:r w:rsidR="006318AC" w:rsidRPr="00446CF3">
        <w:rPr>
          <w:rFonts w:ascii="Times New Roman" w:hAnsi="Times New Roman" w:cs="Times New Roman"/>
          <w:sz w:val="24"/>
          <w:szCs w:val="24"/>
        </w:rPr>
        <w:t>of</w:t>
      </w:r>
      <w:r w:rsidRPr="00446CF3">
        <w:rPr>
          <w:rFonts w:ascii="Times New Roman" w:hAnsi="Times New Roman" w:cs="Times New Roman"/>
          <w:sz w:val="24"/>
          <w:szCs w:val="24"/>
        </w:rPr>
        <w:t xml:space="preserve"> males</w:t>
      </w:r>
      <w:r w:rsidRPr="00446CF3">
        <w:rPr>
          <w:rFonts w:ascii="Times New Roman" w:hAnsi="Times New Roman" w:cs="Times New Roman"/>
          <w:sz w:val="24"/>
          <w:szCs w:val="24"/>
          <w:rtl/>
        </w:rPr>
        <w:t>.</w:t>
      </w:r>
    </w:p>
    <w:p w14:paraId="1727FC9E"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741306F2"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7469DAD9" w14:textId="7CD138EE"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181FE9F" w14:textId="6F9D72AC" w:rsidR="004F6A1A" w:rsidRDefault="004F6A1A" w:rsidP="004F6A1A">
      <w:pPr>
        <w:autoSpaceDE w:val="0"/>
        <w:autoSpaceDN w:val="0"/>
        <w:bidi w:val="0"/>
        <w:adjustRightInd w:val="0"/>
        <w:spacing w:after="0" w:line="240" w:lineRule="auto"/>
        <w:jc w:val="both"/>
        <w:rPr>
          <w:rFonts w:ascii="Times New Roman" w:hAnsi="Times New Roman" w:cs="Times New Roman"/>
          <w:sz w:val="24"/>
          <w:szCs w:val="24"/>
        </w:rPr>
      </w:pPr>
    </w:p>
    <w:p w14:paraId="06452FCB" w14:textId="77777777" w:rsidR="004F6A1A" w:rsidRDefault="004F6A1A" w:rsidP="004F6A1A">
      <w:pPr>
        <w:autoSpaceDE w:val="0"/>
        <w:autoSpaceDN w:val="0"/>
        <w:bidi w:val="0"/>
        <w:adjustRightInd w:val="0"/>
        <w:spacing w:after="0" w:line="240" w:lineRule="auto"/>
        <w:jc w:val="both"/>
        <w:rPr>
          <w:rFonts w:ascii="Times New Roman" w:hAnsi="Times New Roman" w:cs="Times New Roman"/>
          <w:sz w:val="24"/>
          <w:szCs w:val="24"/>
        </w:rPr>
      </w:pPr>
      <w:bookmarkStart w:id="0" w:name="_GoBack"/>
      <w:bookmarkEnd w:id="0"/>
    </w:p>
    <w:p w14:paraId="1BFDA248"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6C4769EA"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AB713F9"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2C85E28B" w14:textId="77777777" w:rsidR="0086098A" w:rsidRDefault="0086098A" w:rsidP="003A30DF">
      <w:pPr>
        <w:tabs>
          <w:tab w:val="left" w:pos="9072"/>
        </w:tabs>
        <w:bidi w:val="0"/>
        <w:spacing w:after="0" w:line="240" w:lineRule="auto"/>
        <w:rPr>
          <w:rFonts w:ascii="Times New Roman" w:hAnsi="Times New Roman" w:cs="Times New Roman"/>
          <w:sz w:val="24"/>
          <w:szCs w:val="24"/>
        </w:rPr>
      </w:pPr>
    </w:p>
    <w:p w14:paraId="2750B2FB" w14:textId="77777777" w:rsidR="0071415F" w:rsidRPr="00CD5DFB" w:rsidRDefault="0071415F" w:rsidP="0086098A">
      <w:pPr>
        <w:tabs>
          <w:tab w:val="left" w:pos="9072"/>
        </w:tabs>
        <w:bidi w:val="0"/>
        <w:spacing w:after="0" w:line="240" w:lineRule="auto"/>
        <w:jc w:val="center"/>
        <w:rPr>
          <w:rFonts w:ascii="Arial" w:hAnsi="Arial"/>
          <w:b/>
          <w:bCs/>
          <w:rtl/>
        </w:rPr>
      </w:pPr>
      <w:r w:rsidRPr="00446CF3">
        <w:rPr>
          <w:rFonts w:ascii="Arial" w:hAnsi="Arial"/>
          <w:b/>
          <w:bCs/>
        </w:rPr>
        <w:t xml:space="preserve">Proportion of Individuals </w:t>
      </w:r>
      <w:r w:rsidR="006318AC" w:rsidRPr="00446CF3">
        <w:rPr>
          <w:rFonts w:ascii="Arial" w:hAnsi="Arial"/>
          <w:b/>
          <w:bCs/>
        </w:rPr>
        <w:t>that</w:t>
      </w:r>
      <w:r w:rsidR="00446CF3">
        <w:rPr>
          <w:rFonts w:ascii="Arial" w:hAnsi="Arial"/>
          <w:b/>
          <w:bCs/>
        </w:rPr>
        <w:t xml:space="preserve"> </w:t>
      </w:r>
      <w:r w:rsidR="006318AC" w:rsidRPr="00446CF3">
        <w:rPr>
          <w:rFonts w:ascii="Arial" w:hAnsi="Arial"/>
          <w:b/>
          <w:bCs/>
        </w:rPr>
        <w:t>O</w:t>
      </w:r>
      <w:r w:rsidRPr="00446CF3">
        <w:rPr>
          <w:rFonts w:ascii="Arial" w:hAnsi="Arial"/>
          <w:b/>
          <w:bCs/>
        </w:rPr>
        <w:t>wn a Mobile Telephone, by Sex for Selected Years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39EF738F" w14:textId="77777777" w:rsidTr="0071415F">
        <w:trPr>
          <w:trHeight w:val="3457"/>
        </w:trPr>
        <w:tc>
          <w:tcPr>
            <w:tcW w:w="9191" w:type="dxa"/>
            <w:shd w:val="clear" w:color="auto" w:fill="auto"/>
          </w:tcPr>
          <w:p w14:paraId="5DEF21C5" w14:textId="77777777" w:rsidR="0071415F" w:rsidRPr="000D2E4D" w:rsidRDefault="0071415F" w:rsidP="0071415F">
            <w:pPr>
              <w:bidi w:val="0"/>
              <w:spacing w:after="0" w:line="24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29C29DD3" wp14:editId="2A2D7B80">
                  <wp:extent cx="5446395" cy="2162810"/>
                  <wp:effectExtent l="0" t="0" r="1905" b="8890"/>
                  <wp:docPr id="6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bl>
    <w:p w14:paraId="32310B7E" w14:textId="77777777" w:rsidR="0071415F" w:rsidRPr="004957B1" w:rsidRDefault="0071415F" w:rsidP="0032603A">
      <w:pPr>
        <w:bidi w:val="0"/>
        <w:spacing w:after="0" w:line="240" w:lineRule="auto"/>
        <w:ind w:left="851" w:hanging="756"/>
        <w:rPr>
          <w:rFonts w:ascii="Arial" w:hAnsi="Arial"/>
          <w:color w:val="000000"/>
          <w:sz w:val="18"/>
          <w:szCs w:val="18"/>
        </w:rPr>
      </w:pPr>
      <w:r w:rsidRPr="004957B1">
        <w:rPr>
          <w:rFonts w:ascii="Arial" w:hAnsi="Arial"/>
          <w:b/>
          <w:bCs/>
          <w:color w:val="000000"/>
          <w:sz w:val="18"/>
          <w:szCs w:val="18"/>
        </w:rPr>
        <w:t>Source: Palestinian Central Bureau of Statistics,</w:t>
      </w:r>
      <w:r w:rsidRPr="004957B1">
        <w:rPr>
          <w:rFonts w:ascii="Arial" w:hAnsi="Arial"/>
          <w:color w:val="000000"/>
          <w:sz w:val="18"/>
          <w:szCs w:val="18"/>
        </w:rPr>
        <w:t xml:space="preserve"> Households Survey on Information and Communications    </w:t>
      </w:r>
      <w:r w:rsidR="00C66B88" w:rsidRPr="004957B1">
        <w:rPr>
          <w:rFonts w:ascii="Arial" w:hAnsi="Arial"/>
          <w:color w:val="000000"/>
          <w:sz w:val="18"/>
          <w:szCs w:val="18"/>
        </w:rPr>
        <w:t>Technology Database</w:t>
      </w:r>
      <w:r w:rsidRPr="004957B1">
        <w:rPr>
          <w:rFonts w:ascii="Arial" w:hAnsi="Arial"/>
          <w:color w:val="000000"/>
          <w:sz w:val="18"/>
          <w:szCs w:val="18"/>
        </w:rPr>
        <w:t>, 2014.Ramallah - Palestine</w:t>
      </w:r>
    </w:p>
    <w:p w14:paraId="1E92B2BF" w14:textId="77777777" w:rsidR="0071415F" w:rsidRDefault="0071415F" w:rsidP="0071415F">
      <w:pPr>
        <w:bidi w:val="0"/>
        <w:spacing w:after="0" w:line="240" w:lineRule="auto"/>
        <w:ind w:left="851" w:hanging="851"/>
        <w:jc w:val="both"/>
        <w:rPr>
          <w:rFonts w:ascii="Arial" w:hAnsi="Arial"/>
          <w:color w:val="000000"/>
          <w:sz w:val="18"/>
          <w:szCs w:val="18"/>
          <w:rtl/>
        </w:rPr>
      </w:pPr>
      <w:r w:rsidRPr="004957B1">
        <w:rPr>
          <w:rFonts w:ascii="Arial" w:hAnsi="Arial"/>
          <w:b/>
          <w:bCs/>
          <w:color w:val="000000"/>
          <w:sz w:val="18"/>
          <w:szCs w:val="18"/>
        </w:rPr>
        <w:t xml:space="preserve">                 Palestinian Central Bureau of Statistics,</w:t>
      </w:r>
      <w:r w:rsidRPr="004957B1">
        <w:rPr>
          <w:rFonts w:ascii="Arial" w:hAnsi="Arial"/>
          <w:color w:val="000000"/>
          <w:sz w:val="18"/>
          <w:szCs w:val="18"/>
        </w:rPr>
        <w:t xml:space="preserve"> Household Survey on Information and Communications Technology, 2019:  Main Findings Report.  Ramallah - Palestine.</w:t>
      </w:r>
    </w:p>
    <w:p w14:paraId="7CE01848" w14:textId="60419783" w:rsidR="00750500" w:rsidRPr="004957B1" w:rsidRDefault="00750500" w:rsidP="00E74AED">
      <w:pPr>
        <w:bidi w:val="0"/>
        <w:spacing w:after="0" w:line="240" w:lineRule="auto"/>
        <w:ind w:left="851" w:hanging="41"/>
        <w:jc w:val="both"/>
        <w:rPr>
          <w:rFonts w:ascii="Arial" w:hAnsi="Arial"/>
          <w:color w:val="000000"/>
          <w:sz w:val="18"/>
          <w:szCs w:val="18"/>
        </w:rPr>
      </w:pPr>
      <w:r w:rsidRPr="009646A5">
        <w:rPr>
          <w:rFonts w:ascii="Arial" w:hAnsi="Arial"/>
          <w:b/>
          <w:bCs/>
          <w:color w:val="000000"/>
          <w:sz w:val="18"/>
          <w:szCs w:val="18"/>
        </w:rPr>
        <w:t>Palestinian Central Bureau of Statistics,</w:t>
      </w:r>
      <w:r w:rsidR="00E45106">
        <w:rPr>
          <w:rFonts w:ascii="Arial" w:hAnsi="Arial"/>
          <w:b/>
          <w:bCs/>
          <w:color w:val="000000"/>
          <w:sz w:val="18"/>
          <w:szCs w:val="18"/>
        </w:rPr>
        <w:t xml:space="preserve"> </w:t>
      </w:r>
      <w:r w:rsidRPr="009646A5">
        <w:rPr>
          <w:rFonts w:ascii="Arial" w:hAnsi="Arial"/>
          <w:color w:val="000000"/>
          <w:sz w:val="18"/>
          <w:szCs w:val="18"/>
        </w:rPr>
        <w:t>Labo</w:t>
      </w:r>
      <w:r>
        <w:rPr>
          <w:rFonts w:ascii="Arial" w:hAnsi="Arial"/>
          <w:color w:val="000000"/>
          <w:sz w:val="18"/>
          <w:szCs w:val="18"/>
        </w:rPr>
        <w:t>u</w:t>
      </w:r>
      <w:r w:rsidRPr="009646A5">
        <w:rPr>
          <w:rFonts w:ascii="Arial" w:hAnsi="Arial"/>
          <w:color w:val="000000"/>
          <w:sz w:val="18"/>
          <w:szCs w:val="18"/>
        </w:rPr>
        <w:t xml:space="preserve">rForce Survey </w:t>
      </w:r>
      <w:r w:rsidR="00C66B88" w:rsidRPr="009646A5">
        <w:rPr>
          <w:rFonts w:ascii="Arial" w:hAnsi="Arial"/>
          <w:color w:val="000000"/>
          <w:sz w:val="18"/>
          <w:szCs w:val="18"/>
        </w:rPr>
        <w:t>Database</w:t>
      </w:r>
      <w:r w:rsidR="00C66B88">
        <w:rPr>
          <w:rFonts w:ascii="Arial" w:hAnsi="Arial"/>
          <w:color w:val="000000"/>
          <w:sz w:val="18"/>
          <w:szCs w:val="18"/>
        </w:rPr>
        <w:t xml:space="preserve">, </w:t>
      </w:r>
      <w:r>
        <w:rPr>
          <w:rFonts w:ascii="Arial" w:hAnsi="Arial"/>
          <w:color w:val="000000"/>
          <w:sz w:val="18"/>
          <w:szCs w:val="18"/>
        </w:rPr>
        <w:t>2022. Ramallah- Palestine.</w:t>
      </w:r>
    </w:p>
    <w:p w14:paraId="3C108CA0" w14:textId="77777777" w:rsidR="0071415F" w:rsidRDefault="0071415F" w:rsidP="0071415F">
      <w:pPr>
        <w:bidi w:val="0"/>
        <w:spacing w:after="0" w:line="240" w:lineRule="auto"/>
        <w:rPr>
          <w:rFonts w:ascii="Times New Roman" w:hAnsi="Times New Roman" w:cs="Times New Roman"/>
          <w:b/>
          <w:bCs/>
          <w:sz w:val="24"/>
          <w:szCs w:val="24"/>
        </w:rPr>
      </w:pPr>
    </w:p>
    <w:p w14:paraId="61EFA360" w14:textId="77777777" w:rsidR="0071415F" w:rsidRPr="00540428" w:rsidRDefault="0071415F" w:rsidP="0071415F">
      <w:pPr>
        <w:bidi w:val="0"/>
        <w:spacing w:after="0" w:line="240" w:lineRule="auto"/>
        <w:rPr>
          <w:rFonts w:ascii="Times New Roman" w:hAnsi="Times New Roman" w:cs="Times New Roman"/>
          <w:b/>
          <w:bCs/>
          <w:sz w:val="24"/>
          <w:szCs w:val="24"/>
        </w:rPr>
      </w:pPr>
      <w:r w:rsidRPr="00540428">
        <w:rPr>
          <w:rFonts w:ascii="Times New Roman" w:hAnsi="Times New Roman" w:cs="Times New Roman"/>
          <w:b/>
          <w:bCs/>
          <w:sz w:val="24"/>
          <w:szCs w:val="24"/>
        </w:rPr>
        <w:t>Summary</w:t>
      </w:r>
    </w:p>
    <w:p w14:paraId="415B7E21" w14:textId="77777777" w:rsidR="0071415F" w:rsidRPr="00540428" w:rsidRDefault="0071415F" w:rsidP="00FB1314">
      <w:pPr>
        <w:pStyle w:val="ListParagraph"/>
        <w:numPr>
          <w:ilvl w:val="0"/>
          <w:numId w:val="4"/>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percentage of prevalence of violence experienced by currently married or ever married women (15-64 years) by their husbands in Palestine in the year 2019 </w:t>
      </w:r>
      <w:r w:rsidR="006318AC">
        <w:rPr>
          <w:rFonts w:ascii="Times New Roman" w:hAnsi="Times New Roman" w:cs="Times New Roman"/>
          <w:sz w:val="24"/>
          <w:szCs w:val="24"/>
        </w:rPr>
        <w:t>reached</w:t>
      </w:r>
      <w:r>
        <w:rPr>
          <w:rFonts w:ascii="Times New Roman" w:hAnsi="Times New Roman" w:cs="Times New Roman"/>
          <w:sz w:val="24"/>
          <w:szCs w:val="24"/>
        </w:rPr>
        <w:t>58.2</w:t>
      </w:r>
      <w:r w:rsidRPr="00540428">
        <w:rPr>
          <w:rFonts w:ascii="Times New Roman" w:hAnsi="Times New Roman" w:cs="Times New Roman"/>
          <w:sz w:val="24"/>
          <w:szCs w:val="24"/>
        </w:rPr>
        <w:t>%.</w:t>
      </w:r>
    </w:p>
    <w:p w14:paraId="6E02932C" w14:textId="77777777" w:rsidR="0071415F" w:rsidRPr="00540428" w:rsidRDefault="0071415F" w:rsidP="00FB1314">
      <w:pPr>
        <w:pStyle w:val="ListParagraph"/>
        <w:numPr>
          <w:ilvl w:val="0"/>
          <w:numId w:val="4"/>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percentage of prevalence of violence experienced by currently married or ever married women (15-64years) by their husbands in the West Bank in the year 2019 </w:t>
      </w:r>
      <w:r w:rsidR="006318AC">
        <w:rPr>
          <w:rFonts w:ascii="Times New Roman" w:hAnsi="Times New Roman" w:cs="Times New Roman"/>
          <w:sz w:val="24"/>
          <w:szCs w:val="24"/>
        </w:rPr>
        <w:t>reached</w:t>
      </w:r>
      <w:r>
        <w:rPr>
          <w:rFonts w:ascii="Times New Roman" w:hAnsi="Times New Roman" w:cs="Times New Roman"/>
          <w:sz w:val="24"/>
          <w:szCs w:val="24"/>
        </w:rPr>
        <w:t xml:space="preserve"> 51.5%.</w:t>
      </w:r>
    </w:p>
    <w:p w14:paraId="73D5015B" w14:textId="77777777" w:rsidR="0071415F" w:rsidRPr="00540428" w:rsidRDefault="0071415F" w:rsidP="00FB1314">
      <w:pPr>
        <w:pStyle w:val="ListParagraph"/>
        <w:numPr>
          <w:ilvl w:val="0"/>
          <w:numId w:val="4"/>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percentage of prevalence of violence experienced by currently married or ever married women (15-64 years) by their husbands in Gaza Strip in the year 2019 </w:t>
      </w:r>
      <w:r w:rsidR="006318AC">
        <w:rPr>
          <w:rFonts w:ascii="Times New Roman" w:hAnsi="Times New Roman" w:cs="Times New Roman"/>
          <w:sz w:val="24"/>
          <w:szCs w:val="24"/>
        </w:rPr>
        <w:t>reached</w:t>
      </w:r>
      <w:r>
        <w:rPr>
          <w:rFonts w:ascii="Times New Roman" w:hAnsi="Times New Roman" w:cs="Times New Roman"/>
          <w:sz w:val="24"/>
          <w:szCs w:val="24"/>
        </w:rPr>
        <w:t xml:space="preserve"> 68.9%</w:t>
      </w:r>
      <w:r w:rsidRPr="00540428">
        <w:rPr>
          <w:rFonts w:ascii="Times New Roman" w:hAnsi="Times New Roman" w:cs="Times New Roman"/>
          <w:sz w:val="24"/>
          <w:szCs w:val="24"/>
        </w:rPr>
        <w:t>.</w:t>
      </w:r>
    </w:p>
    <w:p w14:paraId="4DA2025C" w14:textId="77777777" w:rsidR="0071415F" w:rsidRDefault="0071415F" w:rsidP="00FB1314">
      <w:pPr>
        <w:pStyle w:val="ListParagraph"/>
        <w:numPr>
          <w:ilvl w:val="0"/>
          <w:numId w:val="4"/>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percentage of women in managerial positions </w:t>
      </w:r>
      <w:r>
        <w:rPr>
          <w:rFonts w:ascii="Times New Roman" w:hAnsi="Times New Roman" w:cs="Times New Roman"/>
          <w:sz w:val="24"/>
          <w:szCs w:val="24"/>
        </w:rPr>
        <w:t>increased</w:t>
      </w:r>
      <w:r w:rsidRPr="00540428">
        <w:rPr>
          <w:rFonts w:ascii="Times New Roman" w:hAnsi="Times New Roman" w:cs="Times New Roman"/>
          <w:sz w:val="24"/>
          <w:szCs w:val="24"/>
        </w:rPr>
        <w:t xml:space="preserve"> from </w:t>
      </w:r>
      <w:r>
        <w:rPr>
          <w:rFonts w:ascii="Times New Roman" w:hAnsi="Times New Roman" w:cs="Times New Roman"/>
          <w:sz w:val="24"/>
          <w:szCs w:val="24"/>
        </w:rPr>
        <w:t>16.3</w:t>
      </w:r>
      <w:r w:rsidRPr="00540428">
        <w:rPr>
          <w:rFonts w:ascii="Times New Roman" w:hAnsi="Times New Roman" w:cs="Times New Roman"/>
          <w:sz w:val="24"/>
          <w:szCs w:val="24"/>
        </w:rPr>
        <w:t xml:space="preserve">% in </w:t>
      </w:r>
      <w:r>
        <w:rPr>
          <w:rFonts w:ascii="Times New Roman" w:hAnsi="Times New Roman" w:cs="Times New Roman"/>
          <w:sz w:val="24"/>
          <w:szCs w:val="24"/>
        </w:rPr>
        <w:t>2015</w:t>
      </w:r>
      <w:r w:rsidRPr="00540428">
        <w:rPr>
          <w:rFonts w:ascii="Times New Roman" w:hAnsi="Times New Roman" w:cs="Times New Roman"/>
          <w:sz w:val="24"/>
          <w:szCs w:val="24"/>
        </w:rPr>
        <w:t xml:space="preserve"> to </w:t>
      </w:r>
      <w:r w:rsidR="00750500">
        <w:rPr>
          <w:rFonts w:ascii="Times New Roman" w:hAnsi="Times New Roman" w:cs="Times New Roman"/>
          <w:sz w:val="24"/>
          <w:szCs w:val="24"/>
        </w:rPr>
        <w:t>21.4</w:t>
      </w:r>
      <w:r w:rsidRPr="00540428">
        <w:rPr>
          <w:rFonts w:ascii="Times New Roman" w:hAnsi="Times New Roman" w:cs="Times New Roman"/>
          <w:sz w:val="24"/>
          <w:szCs w:val="24"/>
        </w:rPr>
        <w:t xml:space="preserve">% in </w:t>
      </w:r>
      <w:r w:rsidR="00750500">
        <w:rPr>
          <w:rFonts w:ascii="Times New Roman" w:hAnsi="Times New Roman" w:cs="Times New Roman"/>
          <w:sz w:val="24"/>
          <w:szCs w:val="24"/>
        </w:rPr>
        <w:t>2021</w:t>
      </w:r>
      <w:r w:rsidRPr="00540428">
        <w:rPr>
          <w:rFonts w:ascii="Times New Roman" w:hAnsi="Times New Roman" w:cs="Times New Roman"/>
          <w:sz w:val="24"/>
          <w:szCs w:val="24"/>
        </w:rPr>
        <w:t xml:space="preserve"> in Palestine</w:t>
      </w:r>
      <w:r w:rsidRPr="00540428">
        <w:rPr>
          <w:rFonts w:ascii="Times New Roman" w:hAnsi="Times New Roman" w:cs="Times New Roman"/>
          <w:sz w:val="24"/>
          <w:szCs w:val="24"/>
          <w:rtl/>
        </w:rPr>
        <w:t>.</w:t>
      </w:r>
    </w:p>
    <w:p w14:paraId="5B415877"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74EBAD49"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063C47B"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5E755901"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56E46FA7"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49C2FEA"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46E6DA1B"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214A1D32"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334EC368"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6FAB481E"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8FA90DA"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5F93A8AD"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3EBAD881"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211096AB"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470F4BE"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4C69CF99" w14:textId="77777777" w:rsidR="009E4880" w:rsidRP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24E11BA" w14:textId="77777777" w:rsidR="005F5DD1" w:rsidRDefault="005F5DD1">
      <w:pPr>
        <w:bidi w:val="0"/>
      </w:pPr>
      <w:r>
        <w:br w:type="page"/>
      </w:r>
    </w:p>
    <w:tbl>
      <w:tblPr>
        <w:tblW w:w="0" w:type="auto"/>
        <w:tblBorders>
          <w:top w:val="thinThickSmallGap" w:sz="24" w:space="0" w:color="15A3C5"/>
          <w:left w:val="thinThickSmallGap" w:sz="24" w:space="0" w:color="15A3C5"/>
          <w:bottom w:val="thinThickSmallGap" w:sz="24" w:space="0" w:color="15A3C5"/>
          <w:right w:val="thinThickSmallGap" w:sz="24" w:space="0" w:color="15A3C5"/>
        </w:tblBorders>
        <w:tblLook w:val="04A0" w:firstRow="1" w:lastRow="0" w:firstColumn="1" w:lastColumn="0" w:noHBand="0" w:noVBand="1"/>
      </w:tblPr>
      <w:tblGrid>
        <w:gridCol w:w="2083"/>
        <w:gridCol w:w="6897"/>
      </w:tblGrid>
      <w:tr w:rsidR="00EC0053" w:rsidRPr="000D2E4D" w14:paraId="1610EEC6" w14:textId="77777777" w:rsidTr="00335608">
        <w:tc>
          <w:tcPr>
            <w:tcW w:w="2083" w:type="dxa"/>
            <w:shd w:val="clear" w:color="auto" w:fill="auto"/>
            <w:vAlign w:val="center"/>
          </w:tcPr>
          <w:p w14:paraId="580ACAAF" w14:textId="77777777"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Pr>
                <w:rFonts w:ascii="Times New Roman" w:hAnsi="Times New Roman" w:cs="Times New Roman"/>
                <w:sz w:val="24"/>
                <w:szCs w:val="24"/>
              </w:rPr>
              <w:lastRenderedPageBreak/>
              <w:br w:type="page"/>
            </w:r>
            <w:r>
              <w:rPr>
                <w:noProof/>
              </w:rPr>
              <w:drawing>
                <wp:inline distT="0" distB="0" distL="0" distR="0" wp14:anchorId="2DE79ACB" wp14:editId="292A278D">
                  <wp:extent cx="1113155" cy="1081405"/>
                  <wp:effectExtent l="19050" t="0" r="0" b="0"/>
                  <wp:docPr id="19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9" cstate="print"/>
                          <a:srcRect/>
                          <a:stretch>
                            <a:fillRect/>
                          </a:stretch>
                        </pic:blipFill>
                        <pic:spPr bwMode="auto">
                          <a:xfrm>
                            <a:off x="0" y="0"/>
                            <a:ext cx="1113155" cy="1081405"/>
                          </a:xfrm>
                          <a:prstGeom prst="rect">
                            <a:avLst/>
                          </a:prstGeom>
                          <a:noFill/>
                          <a:ln w="9525">
                            <a:noFill/>
                            <a:miter lim="800000"/>
                            <a:headEnd/>
                            <a:tailEnd/>
                          </a:ln>
                        </pic:spPr>
                      </pic:pic>
                    </a:graphicData>
                  </a:graphic>
                </wp:inline>
              </w:drawing>
            </w:r>
          </w:p>
        </w:tc>
        <w:tc>
          <w:tcPr>
            <w:tcW w:w="6897" w:type="dxa"/>
            <w:shd w:val="clear" w:color="auto" w:fill="auto"/>
            <w:vAlign w:val="center"/>
          </w:tcPr>
          <w:p w14:paraId="310E8BAB" w14:textId="77777777"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6 – Ensure Availability </w:t>
            </w:r>
            <w:r w:rsidR="008B76F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 xml:space="preserve">nd Sustainable Management </w:t>
            </w:r>
            <w:r w:rsidR="008B76F8">
              <w:rPr>
                <w:rFonts w:ascii="Times New Roman" w:hAnsi="Times New Roman" w:cs="Times New Roman"/>
                <w:b/>
                <w:color w:val="000000"/>
                <w:sz w:val="28"/>
                <w:szCs w:val="28"/>
              </w:rPr>
              <w:t>o</w:t>
            </w:r>
            <w:r w:rsidRPr="000D2E4D">
              <w:rPr>
                <w:rFonts w:ascii="Times New Roman" w:hAnsi="Times New Roman" w:cs="Times New Roman"/>
                <w:b/>
                <w:color w:val="000000"/>
                <w:sz w:val="28"/>
                <w:szCs w:val="28"/>
              </w:rPr>
              <w:t xml:space="preserve">f Water </w:t>
            </w:r>
            <w:r w:rsidR="008B76F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Sanitation For All</w:t>
            </w:r>
          </w:p>
        </w:tc>
      </w:tr>
    </w:tbl>
    <w:p w14:paraId="22A4D8A1" w14:textId="77777777" w:rsidR="00EC0053" w:rsidRPr="00DD0D62"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291762E5"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Introduction to the Goal</w:t>
      </w:r>
    </w:p>
    <w:p w14:paraId="0139ACD5"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Goal 6 focus</w:t>
      </w:r>
      <w:r w:rsidR="00F323C1">
        <w:rPr>
          <w:rFonts w:ascii="Times New Roman" w:hAnsi="Times New Roman" w:cs="Times New Roman"/>
          <w:sz w:val="24"/>
          <w:szCs w:val="24"/>
        </w:rPr>
        <w:t>es</w:t>
      </w:r>
      <w:r w:rsidRPr="00DD0D62">
        <w:rPr>
          <w:rFonts w:ascii="Times New Roman" w:hAnsi="Times New Roman" w:cs="Times New Roman"/>
          <w:sz w:val="24"/>
          <w:szCs w:val="24"/>
        </w:rPr>
        <w:t xml:space="preserve"> on the availability of water, a vital and essential resource for all forms of life. Making water accessible for the population and ecosystems is crucial in ensuring their survival. </w:t>
      </w:r>
      <w:r w:rsidRPr="00C60251">
        <w:rPr>
          <w:rFonts w:ascii="Times New Roman" w:hAnsi="Times New Roman" w:cs="Times New Roman"/>
          <w:sz w:val="24"/>
          <w:szCs w:val="24"/>
        </w:rPr>
        <w:t>The planet offers sufficient of potable water, but in many parts of the world millions of people, especially children, still die from diseases due unsafe</w:t>
      </w:r>
      <w:r w:rsidRPr="00DD0D62">
        <w:rPr>
          <w:rFonts w:ascii="Times New Roman" w:hAnsi="Times New Roman" w:cs="Times New Roman"/>
          <w:sz w:val="24"/>
          <w:szCs w:val="24"/>
        </w:rPr>
        <w:t xml:space="preserve"> water supplies, insufficient sanitary facilities and inadequate levels of hygiene. Climate changes and the growing pressure of demand exacerbate the problem of water availability and the forecast for the future is hardly encouraging. The efficiency of water use in all sectors (civil, industrial, energy, farming) must be improved by implementing appropriate monitoring systems, avoiding waste, and creating investments in maintenance and development and incentives for recycling and collection. To ensure adequate levels of quality, water’s return to the environment needs to be free of pollutants. The availability of clean water for health, cleanliness and hygiene must be ensured</w:t>
      </w:r>
      <w:r w:rsidR="00C60251">
        <w:rPr>
          <w:rFonts w:ascii="Times New Roman" w:hAnsi="Times New Roman" w:cs="Times New Roman"/>
          <w:sz w:val="24"/>
          <w:szCs w:val="24"/>
        </w:rPr>
        <w:t xml:space="preserve"> and</w:t>
      </w:r>
      <w:r w:rsidRPr="00DD0D62">
        <w:rPr>
          <w:rFonts w:ascii="Times New Roman" w:hAnsi="Times New Roman" w:cs="Times New Roman"/>
          <w:sz w:val="24"/>
          <w:szCs w:val="24"/>
        </w:rPr>
        <w:t xml:space="preserve"> ecosystems must be protected.</w:t>
      </w:r>
    </w:p>
    <w:p w14:paraId="1CA81F5A"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78C78D78"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Targets</w:t>
      </w:r>
    </w:p>
    <w:p w14:paraId="1A8B2EC4"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 xml:space="preserve">Goal 6 is broken down into </w:t>
      </w:r>
      <w:r w:rsidR="001D59E9">
        <w:rPr>
          <w:rFonts w:ascii="Times New Roman" w:hAnsi="Times New Roman" w:cs="Times New Roman"/>
          <w:sz w:val="24"/>
          <w:szCs w:val="24"/>
        </w:rPr>
        <w:t>eightt</w:t>
      </w:r>
      <w:r w:rsidRPr="00DD0D62">
        <w:rPr>
          <w:rFonts w:ascii="Times New Roman" w:hAnsi="Times New Roman" w:cs="Times New Roman"/>
          <w:sz w:val="24"/>
          <w:szCs w:val="24"/>
        </w:rPr>
        <w:t xml:space="preserve">argets, of which the last </w:t>
      </w:r>
      <w:r w:rsidR="001D59E9">
        <w:rPr>
          <w:rFonts w:ascii="Times New Roman" w:hAnsi="Times New Roman" w:cs="Times New Roman"/>
          <w:sz w:val="24"/>
          <w:szCs w:val="24"/>
        </w:rPr>
        <w:t>two</w:t>
      </w:r>
      <w:r w:rsidRPr="00DD0D62">
        <w:rPr>
          <w:rFonts w:ascii="Times New Roman" w:hAnsi="Times New Roman" w:cs="Times New Roman"/>
          <w:sz w:val="24"/>
          <w:szCs w:val="24"/>
        </w:rPr>
        <w:t xml:space="preserve"> refer to means of implementation:</w:t>
      </w:r>
    </w:p>
    <w:p w14:paraId="688DE24D"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6.1</w:t>
      </w:r>
      <w:r w:rsidRPr="00076B20">
        <w:rPr>
          <w:rFonts w:ascii="Times New Roman" w:hAnsi="Times New Roman" w:cs="Times New Roman"/>
          <w:b/>
          <w:bCs/>
          <w:sz w:val="24"/>
          <w:szCs w:val="24"/>
        </w:rPr>
        <w:tab/>
      </w:r>
    </w:p>
    <w:p w14:paraId="262FA0A8"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achieve universal and equitable access to safe and affordable drinking water for all.</w:t>
      </w:r>
    </w:p>
    <w:p w14:paraId="0C330A1A"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D173C59"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6.2</w:t>
      </w:r>
      <w:r w:rsidRPr="00076B20">
        <w:rPr>
          <w:rFonts w:ascii="Times New Roman" w:hAnsi="Times New Roman" w:cs="Times New Roman"/>
          <w:b/>
          <w:bCs/>
          <w:sz w:val="24"/>
          <w:szCs w:val="24"/>
        </w:rPr>
        <w:tab/>
      </w:r>
    </w:p>
    <w:p w14:paraId="1F72DEF4"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achieve access to adequate and equitable sanitation and hygiene for all and end open defecation, paying special attention to the needs of women and girls and those in vulnerable situations.</w:t>
      </w:r>
    </w:p>
    <w:p w14:paraId="14DFE819"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CD7B60F"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6.3</w:t>
      </w:r>
      <w:r w:rsidRPr="00076B20">
        <w:rPr>
          <w:rFonts w:ascii="Times New Roman" w:hAnsi="Times New Roman" w:cs="Times New Roman"/>
          <w:b/>
          <w:bCs/>
          <w:sz w:val="24"/>
          <w:szCs w:val="24"/>
        </w:rPr>
        <w:tab/>
      </w:r>
    </w:p>
    <w:p w14:paraId="2A705962"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improve water quality by reducing pollution, eliminating dumping and minimizing release of hazardous chemicals and materials, halving the proportion of untreated wastewater and substantially increasing recycling and safe reuse globally.</w:t>
      </w:r>
    </w:p>
    <w:p w14:paraId="3321C8DD"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2238BF8"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6.4</w:t>
      </w:r>
      <w:r w:rsidRPr="00076B20">
        <w:rPr>
          <w:rFonts w:ascii="Times New Roman" w:hAnsi="Times New Roman" w:cs="Times New Roman"/>
          <w:b/>
          <w:bCs/>
          <w:sz w:val="24"/>
          <w:szCs w:val="24"/>
        </w:rPr>
        <w:tab/>
      </w:r>
    </w:p>
    <w:p w14:paraId="18BD8017"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substantially increase water-use efficiency across all sectors and ensure sustainable withdrawals and supply of freshwater to address water scarcity and substantially reduce the number of people suffering from water scarcity.</w:t>
      </w:r>
    </w:p>
    <w:p w14:paraId="38E7A169"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92815AF"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6.5</w:t>
      </w:r>
      <w:r w:rsidRPr="00076B20">
        <w:rPr>
          <w:rFonts w:ascii="Times New Roman" w:hAnsi="Times New Roman" w:cs="Times New Roman"/>
          <w:b/>
          <w:bCs/>
          <w:sz w:val="24"/>
          <w:szCs w:val="24"/>
        </w:rPr>
        <w:tab/>
      </w:r>
    </w:p>
    <w:p w14:paraId="01D49A91" w14:textId="77777777" w:rsidR="0071415F" w:rsidRPr="000D2E4D" w:rsidRDefault="0071415F" w:rsidP="0071415F">
      <w:pPr>
        <w:bidi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implement integrated water resource management at all levels, including through transboundary cooperation as appropriate</w:t>
      </w:r>
      <w:r w:rsidRPr="000D2E4D">
        <w:rPr>
          <w:rFonts w:ascii="Times New Roman" w:hAnsi="Times New Roman" w:cs="Times New Roman"/>
          <w:sz w:val="24"/>
          <w:szCs w:val="24"/>
        </w:rPr>
        <w:t>.</w:t>
      </w:r>
    </w:p>
    <w:p w14:paraId="543A64CC"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F39C1D3"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6.6</w:t>
      </w:r>
      <w:r w:rsidRPr="00076B20">
        <w:rPr>
          <w:rFonts w:ascii="Times New Roman" w:hAnsi="Times New Roman" w:cs="Times New Roman"/>
          <w:b/>
          <w:bCs/>
          <w:sz w:val="24"/>
          <w:szCs w:val="24"/>
        </w:rPr>
        <w:tab/>
      </w:r>
    </w:p>
    <w:p w14:paraId="45CD92B8"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2020, protect and restore water-related ecosystems, including mountains, forests, wetlan</w:t>
      </w:r>
      <w:r>
        <w:rPr>
          <w:rFonts w:ascii="Times New Roman" w:hAnsi="Times New Roman" w:cs="Times New Roman"/>
          <w:sz w:val="24"/>
          <w:szCs w:val="24"/>
        </w:rPr>
        <w:t>ds, rivers, aquifers and lakes.</w:t>
      </w:r>
    </w:p>
    <w:p w14:paraId="7A82793A" w14:textId="77777777" w:rsidR="0071415F" w:rsidRPr="009D1684"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7A71A4D9"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6.a</w:t>
      </w:r>
    </w:p>
    <w:p w14:paraId="74CDFF8E" w14:textId="77777777" w:rsidR="0071415F" w:rsidRPr="0086098A" w:rsidRDefault="0071415F" w:rsidP="0086098A">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expand international cooperation and capacity-building support to developing countries in water-and sanitation-related activities and programmes, including water harvesting, desalination, water efficiency, wastewater treatment, recycling and reuse technologies.</w:t>
      </w:r>
    </w:p>
    <w:p w14:paraId="1DD1EBFD"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076B20">
        <w:rPr>
          <w:rFonts w:ascii="Times New Roman" w:hAnsi="Times New Roman" w:cs="Times New Roman"/>
          <w:b/>
          <w:bCs/>
          <w:sz w:val="24"/>
          <w:szCs w:val="24"/>
        </w:rPr>
        <w:lastRenderedPageBreak/>
        <w:t>6.b</w:t>
      </w:r>
    </w:p>
    <w:p w14:paraId="19571710"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Proportion of local administrative units with established and operational policies and procedures for participation of local communities in water and sanitation management.</w:t>
      </w:r>
    </w:p>
    <w:p w14:paraId="3D1C8599" w14:textId="77777777" w:rsidR="0071415F" w:rsidRPr="0086098A"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2"/>
          <w:szCs w:val="12"/>
        </w:rPr>
      </w:pPr>
    </w:p>
    <w:p w14:paraId="0A3E0EAF" w14:textId="77777777" w:rsidR="0071415F" w:rsidRPr="00A6200E" w:rsidRDefault="0071415F" w:rsidP="00FB1314">
      <w:pPr>
        <w:pStyle w:val="ListParagraph"/>
        <w:numPr>
          <w:ilvl w:val="0"/>
          <w:numId w:val="13"/>
        </w:numPr>
        <w:autoSpaceDE w:val="0"/>
        <w:autoSpaceDN w:val="0"/>
        <w:adjustRightInd w:val="0"/>
        <w:spacing w:after="0" w:line="240" w:lineRule="auto"/>
        <w:jc w:val="both"/>
        <w:rPr>
          <w:rFonts w:ascii="Times New Roman" w:hAnsi="Times New Roman" w:cs="Times New Roman"/>
          <w:b/>
          <w:bCs/>
          <w:color w:val="000000" w:themeColor="text1"/>
          <w:sz w:val="24"/>
          <w:szCs w:val="24"/>
        </w:rPr>
      </w:pPr>
      <w:r w:rsidRPr="00A6200E">
        <w:rPr>
          <w:rFonts w:ascii="Times New Roman" w:hAnsi="Times New Roman" w:cs="Times New Roman"/>
          <w:b/>
          <w:bCs/>
          <w:color w:val="000000" w:themeColor="text1"/>
          <w:sz w:val="24"/>
          <w:szCs w:val="24"/>
        </w:rPr>
        <w:t>Indicators released by PCBS</w:t>
      </w:r>
    </w:p>
    <w:p w14:paraId="09C609B9" w14:textId="77777777" w:rsidR="0071415F" w:rsidRPr="00D12D80"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12D80">
        <w:rPr>
          <w:rFonts w:ascii="Times New Roman" w:hAnsi="Times New Roman" w:cs="Times New Roman"/>
          <w:sz w:val="24"/>
          <w:szCs w:val="24"/>
        </w:rPr>
        <w:t xml:space="preserve">There are </w:t>
      </w:r>
      <w:r w:rsidR="001D59E9">
        <w:rPr>
          <w:rFonts w:ascii="Times New Roman" w:hAnsi="Times New Roman" w:cs="Times New Roman"/>
          <w:sz w:val="24"/>
          <w:szCs w:val="24"/>
        </w:rPr>
        <w:t>three</w:t>
      </w:r>
      <w:r w:rsidRPr="00D12D80">
        <w:rPr>
          <w:rFonts w:ascii="Times New Roman" w:hAnsi="Times New Roman" w:cs="Times New Roman"/>
          <w:sz w:val="24"/>
          <w:szCs w:val="24"/>
        </w:rPr>
        <w:t xml:space="preserve"> indicators released by PCBS for Goal 6, represent</w:t>
      </w:r>
      <w:r w:rsidR="001D59E9">
        <w:rPr>
          <w:rFonts w:ascii="Times New Roman" w:hAnsi="Times New Roman" w:cs="Times New Roman"/>
          <w:sz w:val="24"/>
          <w:szCs w:val="24"/>
        </w:rPr>
        <w:t>ingfive</w:t>
      </w:r>
      <w:r w:rsidRPr="00D12D80">
        <w:rPr>
          <w:rFonts w:ascii="Times New Roman" w:hAnsi="Times New Roman" w:cs="Times New Roman"/>
          <w:sz w:val="24"/>
          <w:szCs w:val="24"/>
        </w:rPr>
        <w:t xml:space="preserve"> data points, referring to </w:t>
      </w:r>
      <w:r w:rsidR="001D59E9">
        <w:rPr>
          <w:rFonts w:ascii="Times New Roman" w:hAnsi="Times New Roman" w:cs="Times New Roman"/>
          <w:sz w:val="24"/>
          <w:szCs w:val="24"/>
        </w:rPr>
        <w:t>three</w:t>
      </w:r>
      <w:r w:rsidRPr="00D12D80">
        <w:rPr>
          <w:rFonts w:ascii="Times New Roman" w:hAnsi="Times New Roman" w:cs="Times New Roman"/>
          <w:sz w:val="24"/>
          <w:szCs w:val="24"/>
        </w:rPr>
        <w:t xml:space="preserve"> of the </w:t>
      </w:r>
      <w:r w:rsidR="001D59E9">
        <w:rPr>
          <w:rFonts w:ascii="Times New Roman" w:hAnsi="Times New Roman" w:cs="Times New Roman"/>
          <w:sz w:val="24"/>
          <w:szCs w:val="24"/>
        </w:rPr>
        <w:t>eight</w:t>
      </w:r>
      <w:r w:rsidRPr="00D12D80">
        <w:rPr>
          <w:rFonts w:ascii="Times New Roman" w:hAnsi="Times New Roman" w:cs="Times New Roman"/>
          <w:sz w:val="24"/>
          <w:szCs w:val="24"/>
        </w:rPr>
        <w:t xml:space="preserve"> targets.</w:t>
      </w:r>
    </w:p>
    <w:p w14:paraId="0D6FAFE3"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10BB5B5A" w14:textId="77777777" w:rsidR="0071415F" w:rsidRDefault="0071415F" w:rsidP="0071415F">
      <w:pPr>
        <w:tabs>
          <w:tab w:val="left" w:pos="9072"/>
        </w:tabs>
        <w:bidi w:val="0"/>
        <w:spacing w:after="0" w:line="240" w:lineRule="auto"/>
        <w:jc w:val="center"/>
        <w:rPr>
          <w:rFonts w:ascii="Arial" w:hAnsi="Arial"/>
          <w:b/>
          <w:bCs/>
        </w:rPr>
      </w:pPr>
      <w:r w:rsidRPr="00CD5DFB">
        <w:rPr>
          <w:rFonts w:ascii="Arial" w:hAnsi="Arial"/>
          <w:b/>
          <w:bCs/>
        </w:rPr>
        <w:t>Table 6.1: List ofSDGs IndicatorsReleased by PCBS</w:t>
      </w:r>
    </w:p>
    <w:p w14:paraId="7EAC54E6" w14:textId="77777777" w:rsidR="0071415F" w:rsidRPr="00076B20" w:rsidRDefault="0071415F" w:rsidP="0071415F">
      <w:pPr>
        <w:tabs>
          <w:tab w:val="left" w:pos="9072"/>
        </w:tabs>
        <w:bidi w:val="0"/>
        <w:spacing w:after="0" w:line="240" w:lineRule="auto"/>
        <w:jc w:val="center"/>
        <w:rPr>
          <w:rFonts w:ascii="Arial" w:hAnsi="Arial"/>
          <w:b/>
          <w:bCs/>
          <w:sz w:val="12"/>
          <w:szCs w:val="12"/>
        </w:rPr>
      </w:pPr>
    </w:p>
    <w:tbl>
      <w:tblPr>
        <w:tblW w:w="5242" w:type="pct"/>
        <w:jc w:val="center"/>
        <w:tblLayout w:type="fixed"/>
        <w:tblLook w:val="04A0" w:firstRow="1" w:lastRow="0" w:firstColumn="1" w:lastColumn="0" w:noHBand="0" w:noVBand="1"/>
      </w:tblPr>
      <w:tblGrid>
        <w:gridCol w:w="4772"/>
        <w:gridCol w:w="1148"/>
        <w:gridCol w:w="940"/>
        <w:gridCol w:w="1046"/>
        <w:gridCol w:w="1593"/>
      </w:tblGrid>
      <w:tr w:rsidR="0071415F" w:rsidRPr="00BD3E97" w14:paraId="4D56A056" w14:textId="77777777" w:rsidTr="00D20890">
        <w:trPr>
          <w:trHeight w:val="504"/>
          <w:jc w:val="center"/>
        </w:trPr>
        <w:tc>
          <w:tcPr>
            <w:tcW w:w="47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1E727" w14:textId="77777777" w:rsidR="0071415F" w:rsidRPr="00BD3E97" w:rsidRDefault="0071415F" w:rsidP="0071415F">
            <w:pPr>
              <w:bidi w:val="0"/>
              <w:spacing w:after="0" w:line="240" w:lineRule="auto"/>
              <w:jc w:val="center"/>
              <w:rPr>
                <w:rFonts w:asciiTheme="minorBidi" w:hAnsiTheme="minorBidi" w:cstheme="minorBidi"/>
                <w:b/>
                <w:bCs/>
                <w:color w:val="000000" w:themeColor="text1"/>
                <w:sz w:val="18"/>
                <w:szCs w:val="18"/>
              </w:rPr>
            </w:pPr>
            <w:r w:rsidRPr="00BD3E97">
              <w:rPr>
                <w:rFonts w:asciiTheme="minorBidi" w:hAnsiTheme="minorBidi" w:cstheme="minorBidi"/>
                <w:b/>
                <w:bCs/>
                <w:color w:val="000000" w:themeColor="text1"/>
                <w:sz w:val="18"/>
                <w:szCs w:val="18"/>
              </w:rPr>
              <w:t>Indicators</w:t>
            </w:r>
          </w:p>
        </w:tc>
        <w:tc>
          <w:tcPr>
            <w:tcW w:w="1148" w:type="dxa"/>
            <w:tcBorders>
              <w:top w:val="single" w:sz="4" w:space="0" w:color="auto"/>
              <w:left w:val="nil"/>
              <w:bottom w:val="single" w:sz="4" w:space="0" w:color="auto"/>
              <w:right w:val="single" w:sz="4" w:space="0" w:color="auto"/>
            </w:tcBorders>
            <w:shd w:val="clear" w:color="auto" w:fill="auto"/>
            <w:noWrap/>
            <w:vAlign w:val="center"/>
            <w:hideMark/>
          </w:tcPr>
          <w:p w14:paraId="5F4D96B6" w14:textId="77777777" w:rsidR="0071415F" w:rsidRPr="00BD3E97" w:rsidRDefault="0071415F" w:rsidP="0071415F">
            <w:pPr>
              <w:bidi w:val="0"/>
              <w:spacing w:after="0" w:line="240" w:lineRule="auto"/>
              <w:jc w:val="center"/>
              <w:rPr>
                <w:rFonts w:asciiTheme="minorBidi" w:hAnsiTheme="minorBidi" w:cstheme="minorBidi"/>
                <w:b/>
                <w:bCs/>
                <w:color w:val="000000" w:themeColor="text1"/>
                <w:sz w:val="18"/>
                <w:szCs w:val="18"/>
              </w:rPr>
            </w:pPr>
            <w:r w:rsidRPr="00BD3E97">
              <w:rPr>
                <w:rFonts w:asciiTheme="minorBidi" w:hAnsiTheme="minorBidi" w:cstheme="minorBidi"/>
                <w:b/>
                <w:bCs/>
                <w:color w:val="000000" w:themeColor="text1"/>
                <w:sz w:val="18"/>
                <w:szCs w:val="18"/>
              </w:rPr>
              <w:t xml:space="preserve">Referring to the SDG </w:t>
            </w:r>
            <w:r w:rsidR="001D59E9">
              <w:rPr>
                <w:rFonts w:asciiTheme="minorBidi" w:hAnsiTheme="minorBidi" w:cstheme="minorBidi"/>
                <w:b/>
                <w:bCs/>
                <w:color w:val="000000" w:themeColor="text1"/>
                <w:sz w:val="18"/>
                <w:szCs w:val="18"/>
              </w:rPr>
              <w:t>i</w:t>
            </w:r>
            <w:r w:rsidRPr="00BD3E97">
              <w:rPr>
                <w:rFonts w:asciiTheme="minorBidi" w:hAnsiTheme="minorBidi" w:cstheme="minorBidi"/>
                <w:b/>
                <w:bCs/>
                <w:color w:val="000000" w:themeColor="text1"/>
                <w:sz w:val="18"/>
                <w:szCs w:val="18"/>
              </w:rPr>
              <w:t>ndicator</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E9BB243" w14:textId="77777777" w:rsidR="0071415F" w:rsidRPr="00BD3E97" w:rsidRDefault="0071415F" w:rsidP="0071415F">
            <w:pPr>
              <w:bidi w:val="0"/>
              <w:spacing w:after="0" w:line="240" w:lineRule="auto"/>
              <w:jc w:val="center"/>
              <w:rPr>
                <w:rFonts w:asciiTheme="minorBidi" w:hAnsiTheme="minorBidi" w:cstheme="minorBidi"/>
                <w:b/>
                <w:bCs/>
                <w:color w:val="000000" w:themeColor="text1"/>
                <w:sz w:val="18"/>
                <w:szCs w:val="18"/>
              </w:rPr>
            </w:pPr>
            <w:r w:rsidRPr="00BD3E97">
              <w:rPr>
                <w:rFonts w:asciiTheme="minorBidi" w:hAnsiTheme="minorBidi" w:cstheme="minorBidi"/>
                <w:b/>
                <w:bCs/>
                <w:color w:val="000000" w:themeColor="text1"/>
                <w:sz w:val="18"/>
                <w:szCs w:val="18"/>
              </w:rPr>
              <w:t>Previous data</w:t>
            </w:r>
          </w:p>
        </w:tc>
        <w:tc>
          <w:tcPr>
            <w:tcW w:w="1046" w:type="dxa"/>
            <w:tcBorders>
              <w:top w:val="single" w:sz="4" w:space="0" w:color="auto"/>
              <w:left w:val="nil"/>
              <w:bottom w:val="single" w:sz="4" w:space="0" w:color="auto"/>
              <w:right w:val="single" w:sz="4" w:space="0" w:color="auto"/>
            </w:tcBorders>
          </w:tcPr>
          <w:p w14:paraId="76128EA0" w14:textId="77777777" w:rsidR="0071415F" w:rsidRPr="00BD3E97" w:rsidRDefault="0071415F" w:rsidP="0071415F">
            <w:pPr>
              <w:bidi w:val="0"/>
              <w:spacing w:after="0" w:line="240" w:lineRule="auto"/>
              <w:jc w:val="center"/>
              <w:rPr>
                <w:rFonts w:asciiTheme="minorBidi" w:hAnsiTheme="minorBidi" w:cstheme="minorBidi"/>
                <w:b/>
                <w:bCs/>
                <w:color w:val="000000" w:themeColor="text1"/>
                <w:sz w:val="18"/>
                <w:szCs w:val="18"/>
              </w:rPr>
            </w:pPr>
            <w:r w:rsidRPr="00BD3E97">
              <w:rPr>
                <w:rFonts w:asciiTheme="minorBidi" w:hAnsiTheme="minorBidi" w:cstheme="minorBidi"/>
                <w:b/>
                <w:bCs/>
                <w:color w:val="000000" w:themeColor="text1"/>
                <w:sz w:val="18"/>
                <w:szCs w:val="18"/>
              </w:rPr>
              <w:t>Last available data</w:t>
            </w:r>
          </w:p>
        </w:tc>
        <w:tc>
          <w:tcPr>
            <w:tcW w:w="1593" w:type="dxa"/>
            <w:tcBorders>
              <w:top w:val="single" w:sz="4" w:space="0" w:color="auto"/>
              <w:left w:val="nil"/>
              <w:bottom w:val="single" w:sz="4" w:space="0" w:color="auto"/>
              <w:right w:val="single" w:sz="4" w:space="0" w:color="auto"/>
            </w:tcBorders>
          </w:tcPr>
          <w:p w14:paraId="40F68B9B" w14:textId="77777777" w:rsidR="0071415F" w:rsidRPr="00BD3E97" w:rsidRDefault="0071415F" w:rsidP="0071415F">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Compared to the previous data point</w:t>
            </w:r>
          </w:p>
        </w:tc>
      </w:tr>
      <w:tr w:rsidR="0071415F" w:rsidRPr="00BD3E97" w14:paraId="1FBC3B9D" w14:textId="77777777" w:rsidTr="00D20890">
        <w:trPr>
          <w:jc w:val="center"/>
        </w:trPr>
        <w:tc>
          <w:tcPr>
            <w:tcW w:w="4772" w:type="dxa"/>
            <w:tcBorders>
              <w:top w:val="nil"/>
              <w:left w:val="single" w:sz="4" w:space="0" w:color="auto"/>
              <w:right w:val="single" w:sz="4" w:space="0" w:color="auto"/>
            </w:tcBorders>
            <w:shd w:val="clear" w:color="auto" w:fill="auto"/>
            <w:vAlign w:val="center"/>
            <w:hideMark/>
          </w:tcPr>
          <w:p w14:paraId="0F51D3B8" w14:textId="77777777" w:rsidR="0071415F" w:rsidRPr="00BD3E97"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BD3E97">
              <w:rPr>
                <w:rFonts w:asciiTheme="minorBidi" w:hAnsiTheme="minorBidi" w:cstheme="minorBidi"/>
                <w:b/>
                <w:color w:val="000000" w:themeColor="text1"/>
                <w:sz w:val="18"/>
                <w:szCs w:val="18"/>
              </w:rPr>
              <w:t>Indicator</w:t>
            </w:r>
            <w:r w:rsidRPr="00BD3E97">
              <w:rPr>
                <w:rFonts w:asciiTheme="minorBidi" w:hAnsiTheme="minorBidi" w:cstheme="minorBidi"/>
                <w:b/>
                <w:bCs/>
                <w:color w:val="000000" w:themeColor="text1"/>
                <w:sz w:val="18"/>
                <w:szCs w:val="18"/>
                <w:rtl/>
              </w:rPr>
              <w:t>6.1.1</w:t>
            </w:r>
            <w:r w:rsidRPr="00BD3E97">
              <w:rPr>
                <w:rFonts w:asciiTheme="minorBidi" w:hAnsiTheme="minorBidi" w:cstheme="minorBidi"/>
                <w:color w:val="000000" w:themeColor="text1"/>
                <w:sz w:val="18"/>
                <w:szCs w:val="18"/>
              </w:rPr>
              <w:t xml:space="preserve"> Proportion of population using safely managed drinking water services</w:t>
            </w:r>
          </w:p>
        </w:tc>
        <w:tc>
          <w:tcPr>
            <w:tcW w:w="1148" w:type="dxa"/>
            <w:tcBorders>
              <w:top w:val="nil"/>
              <w:left w:val="nil"/>
              <w:right w:val="single" w:sz="4" w:space="0" w:color="auto"/>
            </w:tcBorders>
            <w:shd w:val="clear" w:color="auto" w:fill="auto"/>
            <w:noWrap/>
            <w:hideMark/>
          </w:tcPr>
          <w:p w14:paraId="5133F077"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940" w:type="dxa"/>
            <w:tcBorders>
              <w:top w:val="nil"/>
              <w:left w:val="nil"/>
              <w:right w:val="single" w:sz="4" w:space="0" w:color="auto"/>
            </w:tcBorders>
            <w:shd w:val="clear" w:color="auto" w:fill="auto"/>
            <w:noWrap/>
            <w:hideMark/>
          </w:tcPr>
          <w:p w14:paraId="509CEF07" w14:textId="77777777" w:rsidR="0071415F" w:rsidRPr="00BD3E97" w:rsidRDefault="0071415F" w:rsidP="0071415F">
            <w:pPr>
              <w:bidi w:val="0"/>
              <w:spacing w:after="0" w:line="240" w:lineRule="auto"/>
              <w:ind w:left="360"/>
              <w:jc w:val="center"/>
              <w:rPr>
                <w:rFonts w:asciiTheme="minorBidi" w:hAnsiTheme="minorBidi" w:cstheme="minorBidi"/>
                <w:color w:val="000000" w:themeColor="text1"/>
                <w:sz w:val="18"/>
                <w:szCs w:val="18"/>
              </w:rPr>
            </w:pPr>
          </w:p>
        </w:tc>
        <w:tc>
          <w:tcPr>
            <w:tcW w:w="1046" w:type="dxa"/>
            <w:tcBorders>
              <w:top w:val="nil"/>
              <w:left w:val="nil"/>
              <w:right w:val="single" w:sz="4" w:space="0" w:color="auto"/>
            </w:tcBorders>
          </w:tcPr>
          <w:p w14:paraId="2F8ACBAA" w14:textId="77777777" w:rsidR="0071415F" w:rsidRPr="00BD3E97" w:rsidRDefault="0071415F" w:rsidP="0071415F">
            <w:pPr>
              <w:bidi w:val="0"/>
              <w:spacing w:after="0" w:line="240" w:lineRule="auto"/>
              <w:ind w:left="360"/>
              <w:jc w:val="center"/>
              <w:rPr>
                <w:rFonts w:asciiTheme="minorBidi" w:hAnsiTheme="minorBidi" w:cstheme="minorBidi"/>
                <w:color w:val="000000" w:themeColor="text1"/>
                <w:sz w:val="18"/>
                <w:szCs w:val="18"/>
              </w:rPr>
            </w:pPr>
          </w:p>
          <w:p w14:paraId="7AB416B7" w14:textId="77777777" w:rsidR="0071415F" w:rsidRPr="00BD3E97" w:rsidRDefault="0071415F" w:rsidP="0071415F">
            <w:pPr>
              <w:bidi w:val="0"/>
              <w:spacing w:after="0" w:line="240" w:lineRule="auto"/>
              <w:ind w:left="360"/>
              <w:jc w:val="center"/>
              <w:rPr>
                <w:rFonts w:asciiTheme="minorBidi" w:hAnsiTheme="minorBidi" w:cstheme="minorBidi"/>
                <w:color w:val="000000" w:themeColor="text1"/>
                <w:sz w:val="18"/>
                <w:szCs w:val="18"/>
              </w:rPr>
            </w:pPr>
          </w:p>
          <w:p w14:paraId="69D86224" w14:textId="77777777" w:rsidR="0071415F" w:rsidRPr="00BD3E97" w:rsidRDefault="0071415F" w:rsidP="0071415F">
            <w:pPr>
              <w:bidi w:val="0"/>
              <w:spacing w:after="0" w:line="240" w:lineRule="auto"/>
              <w:rPr>
                <w:rFonts w:asciiTheme="minorBidi" w:hAnsiTheme="minorBidi" w:cstheme="minorBidi"/>
                <w:color w:val="000000" w:themeColor="text1"/>
                <w:sz w:val="18"/>
                <w:szCs w:val="18"/>
              </w:rPr>
            </w:pPr>
          </w:p>
        </w:tc>
        <w:tc>
          <w:tcPr>
            <w:tcW w:w="1593" w:type="dxa"/>
            <w:tcBorders>
              <w:top w:val="nil"/>
              <w:left w:val="nil"/>
              <w:right w:val="single" w:sz="4" w:space="0" w:color="auto"/>
            </w:tcBorders>
          </w:tcPr>
          <w:p w14:paraId="2D39DC11" w14:textId="77777777" w:rsidR="0071415F" w:rsidRPr="00BD3E97" w:rsidRDefault="0071415F" w:rsidP="0071415F">
            <w:pPr>
              <w:bidi w:val="0"/>
              <w:spacing w:after="0" w:line="240" w:lineRule="auto"/>
              <w:ind w:left="360"/>
              <w:jc w:val="center"/>
              <w:rPr>
                <w:rFonts w:asciiTheme="minorBidi" w:hAnsiTheme="minorBidi" w:cstheme="minorBidi"/>
                <w:sz w:val="18"/>
                <w:szCs w:val="18"/>
              </w:rPr>
            </w:pPr>
          </w:p>
        </w:tc>
      </w:tr>
      <w:tr w:rsidR="0071415F" w:rsidRPr="00BD3E97" w14:paraId="52B1DC74" w14:textId="77777777" w:rsidTr="00D20890">
        <w:trPr>
          <w:trHeight w:val="300"/>
          <w:jc w:val="center"/>
        </w:trPr>
        <w:tc>
          <w:tcPr>
            <w:tcW w:w="4772" w:type="dxa"/>
            <w:tcBorders>
              <w:top w:val="nil"/>
              <w:left w:val="single" w:sz="4" w:space="0" w:color="auto"/>
              <w:bottom w:val="single" w:sz="4" w:space="0" w:color="auto"/>
              <w:right w:val="single" w:sz="4" w:space="0" w:color="auto"/>
            </w:tcBorders>
            <w:shd w:val="clear" w:color="auto" w:fill="auto"/>
            <w:noWrap/>
            <w:vAlign w:val="center"/>
            <w:hideMark/>
          </w:tcPr>
          <w:p w14:paraId="1347BBCC"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Proportion of population using safely managed drinking water services (PCBS, 2019, </w:t>
            </w:r>
            <w:r w:rsidR="001D59E9">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48" w:type="dxa"/>
            <w:tcBorders>
              <w:top w:val="nil"/>
              <w:left w:val="nil"/>
              <w:bottom w:val="single" w:sz="4" w:space="0" w:color="auto"/>
              <w:right w:val="single" w:sz="4" w:space="0" w:color="auto"/>
            </w:tcBorders>
            <w:shd w:val="clear" w:color="auto" w:fill="auto"/>
            <w:noWrap/>
            <w:hideMark/>
          </w:tcPr>
          <w:p w14:paraId="41FC38B5"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940" w:type="dxa"/>
            <w:tcBorders>
              <w:top w:val="nil"/>
              <w:left w:val="nil"/>
              <w:bottom w:val="single" w:sz="4" w:space="0" w:color="auto"/>
              <w:right w:val="single" w:sz="4" w:space="0" w:color="auto"/>
            </w:tcBorders>
            <w:shd w:val="clear" w:color="auto" w:fill="auto"/>
            <w:noWrap/>
            <w:hideMark/>
          </w:tcPr>
          <w:p w14:paraId="0418490E"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046" w:type="dxa"/>
            <w:tcBorders>
              <w:top w:val="nil"/>
              <w:left w:val="nil"/>
              <w:bottom w:val="single" w:sz="4" w:space="0" w:color="auto"/>
              <w:right w:val="single" w:sz="4" w:space="0" w:color="auto"/>
            </w:tcBorders>
          </w:tcPr>
          <w:p w14:paraId="32B754A3"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39.5</w:t>
            </w:r>
          </w:p>
        </w:tc>
        <w:tc>
          <w:tcPr>
            <w:tcW w:w="1593" w:type="dxa"/>
            <w:tcBorders>
              <w:top w:val="nil"/>
              <w:left w:val="nil"/>
              <w:bottom w:val="single" w:sz="4" w:space="0" w:color="auto"/>
              <w:right w:val="single" w:sz="4" w:space="0" w:color="auto"/>
            </w:tcBorders>
          </w:tcPr>
          <w:p w14:paraId="3E36ADAF" w14:textId="77777777" w:rsidR="0071415F" w:rsidRPr="00BD3E97" w:rsidRDefault="0071415F" w:rsidP="00340C00">
            <w:pPr>
              <w:tabs>
                <w:tab w:val="left" w:pos="9072"/>
              </w:tabs>
              <w:bidi w:val="0"/>
              <w:spacing w:after="0" w:line="240" w:lineRule="auto"/>
              <w:jc w:val="center"/>
              <w:rPr>
                <w:rFonts w:asciiTheme="minorBidi" w:hAnsiTheme="minorBidi" w:cstheme="minorBidi"/>
                <w:sz w:val="18"/>
                <w:szCs w:val="18"/>
              </w:rPr>
            </w:pPr>
          </w:p>
        </w:tc>
      </w:tr>
      <w:tr w:rsidR="0071415F" w:rsidRPr="00BD3E97" w14:paraId="32175DB3" w14:textId="77777777" w:rsidTr="00D20890">
        <w:trPr>
          <w:trHeight w:val="300"/>
          <w:jc w:val="center"/>
        </w:trPr>
        <w:tc>
          <w:tcPr>
            <w:tcW w:w="4772" w:type="dxa"/>
            <w:tcBorders>
              <w:top w:val="single" w:sz="4" w:space="0" w:color="auto"/>
              <w:left w:val="single" w:sz="4" w:space="0" w:color="auto"/>
              <w:right w:val="single" w:sz="4" w:space="0" w:color="auto"/>
            </w:tcBorders>
            <w:shd w:val="clear" w:color="auto" w:fill="auto"/>
            <w:noWrap/>
            <w:vAlign w:val="center"/>
            <w:hideMark/>
          </w:tcPr>
          <w:p w14:paraId="0C632BBB" w14:textId="77777777" w:rsidR="0071415F" w:rsidRPr="00BD3E97"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BD3E97">
              <w:rPr>
                <w:rFonts w:asciiTheme="minorBidi" w:hAnsiTheme="minorBidi" w:cstheme="minorBidi"/>
                <w:b/>
                <w:color w:val="000000" w:themeColor="text1"/>
                <w:sz w:val="18"/>
                <w:szCs w:val="18"/>
              </w:rPr>
              <w:t>Indicator</w:t>
            </w:r>
            <w:r w:rsidRPr="00BD3E97">
              <w:rPr>
                <w:rFonts w:asciiTheme="minorBidi" w:hAnsiTheme="minorBidi" w:cstheme="minorBidi"/>
                <w:b/>
                <w:bCs/>
                <w:color w:val="000000" w:themeColor="text1"/>
                <w:sz w:val="18"/>
                <w:szCs w:val="18"/>
                <w:rtl/>
              </w:rPr>
              <w:t>6.2.1</w:t>
            </w:r>
            <w:r w:rsidRPr="00BD3E97">
              <w:rPr>
                <w:rFonts w:asciiTheme="minorBidi" w:hAnsiTheme="minorBidi" w:cstheme="minorBidi"/>
                <w:color w:val="000000" w:themeColor="text1"/>
                <w:sz w:val="18"/>
                <w:szCs w:val="18"/>
              </w:rPr>
              <w:t xml:space="preserve"> Proportion of population using safely managed sanitation services, including a hand-washing facility with soap and water and population practicing open defecation</w:t>
            </w:r>
          </w:p>
        </w:tc>
        <w:tc>
          <w:tcPr>
            <w:tcW w:w="1148" w:type="dxa"/>
            <w:tcBorders>
              <w:top w:val="single" w:sz="4" w:space="0" w:color="auto"/>
              <w:left w:val="nil"/>
              <w:right w:val="single" w:sz="4" w:space="0" w:color="auto"/>
            </w:tcBorders>
            <w:shd w:val="clear" w:color="auto" w:fill="auto"/>
            <w:noWrap/>
            <w:hideMark/>
          </w:tcPr>
          <w:p w14:paraId="53915363"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940" w:type="dxa"/>
            <w:tcBorders>
              <w:top w:val="single" w:sz="4" w:space="0" w:color="auto"/>
              <w:left w:val="nil"/>
              <w:right w:val="single" w:sz="4" w:space="0" w:color="auto"/>
            </w:tcBorders>
            <w:shd w:val="clear" w:color="auto" w:fill="auto"/>
            <w:noWrap/>
            <w:hideMark/>
          </w:tcPr>
          <w:p w14:paraId="0938EE7C"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046" w:type="dxa"/>
            <w:tcBorders>
              <w:top w:val="single" w:sz="4" w:space="0" w:color="auto"/>
              <w:left w:val="nil"/>
              <w:right w:val="single" w:sz="4" w:space="0" w:color="auto"/>
            </w:tcBorders>
          </w:tcPr>
          <w:p w14:paraId="6821C5A4"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593" w:type="dxa"/>
            <w:tcBorders>
              <w:top w:val="single" w:sz="4" w:space="0" w:color="auto"/>
              <w:left w:val="nil"/>
              <w:right w:val="single" w:sz="4" w:space="0" w:color="auto"/>
            </w:tcBorders>
          </w:tcPr>
          <w:p w14:paraId="72A80010"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p>
        </w:tc>
      </w:tr>
      <w:tr w:rsidR="0071415F" w:rsidRPr="00BD3E97" w14:paraId="44FBDBDC" w14:textId="77777777" w:rsidTr="00D20890">
        <w:trPr>
          <w:trHeight w:val="300"/>
          <w:jc w:val="center"/>
        </w:trPr>
        <w:tc>
          <w:tcPr>
            <w:tcW w:w="4772" w:type="dxa"/>
            <w:tcBorders>
              <w:top w:val="nil"/>
              <w:left w:val="single" w:sz="4" w:space="0" w:color="auto"/>
              <w:right w:val="single" w:sz="4" w:space="0" w:color="auto"/>
            </w:tcBorders>
            <w:shd w:val="clear" w:color="auto" w:fill="auto"/>
            <w:noWrap/>
            <w:vAlign w:val="center"/>
            <w:hideMark/>
          </w:tcPr>
          <w:p w14:paraId="4572677B"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6.2.1.1 Proportion of population using safely managed sanitation services (PCBS, 2019, </w:t>
            </w:r>
            <w:r w:rsidR="001D59E9">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48" w:type="dxa"/>
            <w:tcBorders>
              <w:top w:val="nil"/>
              <w:left w:val="nil"/>
              <w:right w:val="single" w:sz="4" w:space="0" w:color="auto"/>
            </w:tcBorders>
            <w:shd w:val="clear" w:color="auto" w:fill="auto"/>
            <w:noWrap/>
            <w:hideMark/>
          </w:tcPr>
          <w:p w14:paraId="50F8B026"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p w14:paraId="6F8A932B"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940" w:type="dxa"/>
            <w:tcBorders>
              <w:top w:val="nil"/>
              <w:left w:val="nil"/>
              <w:right w:val="single" w:sz="4" w:space="0" w:color="auto"/>
            </w:tcBorders>
            <w:shd w:val="clear" w:color="auto" w:fill="auto"/>
            <w:noWrap/>
            <w:hideMark/>
          </w:tcPr>
          <w:p w14:paraId="323CD202"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99.7 (2017)</w:t>
            </w:r>
          </w:p>
          <w:p w14:paraId="62515417" w14:textId="77777777" w:rsidR="0071415F" w:rsidRPr="00BD3E97" w:rsidRDefault="0071415F" w:rsidP="0071415F">
            <w:pPr>
              <w:tabs>
                <w:tab w:val="left" w:pos="9072"/>
              </w:tabs>
              <w:bidi w:val="0"/>
              <w:spacing w:after="0" w:line="240" w:lineRule="auto"/>
              <w:rPr>
                <w:rFonts w:asciiTheme="minorBidi" w:hAnsiTheme="minorBidi" w:cstheme="minorBidi"/>
                <w:color w:val="000000" w:themeColor="text1"/>
                <w:sz w:val="18"/>
                <w:szCs w:val="18"/>
              </w:rPr>
            </w:pPr>
          </w:p>
        </w:tc>
        <w:tc>
          <w:tcPr>
            <w:tcW w:w="1046" w:type="dxa"/>
            <w:tcBorders>
              <w:top w:val="nil"/>
              <w:left w:val="nil"/>
              <w:right w:val="single" w:sz="4" w:space="0" w:color="auto"/>
            </w:tcBorders>
          </w:tcPr>
          <w:p w14:paraId="6513ED7D"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97.6</w:t>
            </w:r>
          </w:p>
          <w:p w14:paraId="488ACD45" w14:textId="77777777" w:rsidR="0071415F" w:rsidRPr="00BD3E97" w:rsidRDefault="0071415F" w:rsidP="0071415F">
            <w:pPr>
              <w:tabs>
                <w:tab w:val="left" w:pos="9072"/>
              </w:tabs>
              <w:bidi w:val="0"/>
              <w:spacing w:after="0" w:line="240" w:lineRule="auto"/>
              <w:rPr>
                <w:rFonts w:asciiTheme="minorBidi" w:hAnsiTheme="minorBidi" w:cstheme="minorBidi"/>
                <w:color w:val="000000" w:themeColor="text1"/>
                <w:sz w:val="18"/>
                <w:szCs w:val="18"/>
              </w:rPr>
            </w:pPr>
          </w:p>
        </w:tc>
        <w:tc>
          <w:tcPr>
            <w:tcW w:w="1593" w:type="dxa"/>
            <w:tcBorders>
              <w:top w:val="nil"/>
              <w:left w:val="nil"/>
              <w:right w:val="single" w:sz="4" w:space="0" w:color="auto"/>
            </w:tcBorders>
          </w:tcPr>
          <w:p w14:paraId="0FF1A962"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Decrease</w:t>
            </w:r>
          </w:p>
        </w:tc>
      </w:tr>
      <w:tr w:rsidR="0071415F" w:rsidRPr="00BD3E97" w14:paraId="4AC3FAFA" w14:textId="77777777" w:rsidTr="00D20890">
        <w:trPr>
          <w:trHeight w:val="300"/>
          <w:jc w:val="center"/>
        </w:trPr>
        <w:tc>
          <w:tcPr>
            <w:tcW w:w="4772" w:type="dxa"/>
            <w:tcBorders>
              <w:top w:val="nil"/>
              <w:left w:val="single" w:sz="4" w:space="0" w:color="auto"/>
              <w:right w:val="single" w:sz="4" w:space="0" w:color="auto"/>
            </w:tcBorders>
            <w:shd w:val="clear" w:color="auto" w:fill="auto"/>
            <w:noWrap/>
            <w:vAlign w:val="center"/>
          </w:tcPr>
          <w:p w14:paraId="0D2E56CD"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6.2.1.2 Proportion of population using a hand-washing facility with soap and water (PCBS, 2019, </w:t>
            </w:r>
            <w:r w:rsidR="001D59E9">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48" w:type="dxa"/>
            <w:tcBorders>
              <w:top w:val="nil"/>
              <w:left w:val="nil"/>
              <w:right w:val="single" w:sz="4" w:space="0" w:color="auto"/>
            </w:tcBorders>
            <w:shd w:val="clear" w:color="auto" w:fill="auto"/>
            <w:noWrap/>
          </w:tcPr>
          <w:p w14:paraId="45C49BB6"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940" w:type="dxa"/>
            <w:tcBorders>
              <w:top w:val="nil"/>
              <w:left w:val="nil"/>
              <w:right w:val="single" w:sz="4" w:space="0" w:color="auto"/>
            </w:tcBorders>
            <w:shd w:val="clear" w:color="auto" w:fill="auto"/>
            <w:noWrap/>
          </w:tcPr>
          <w:p w14:paraId="22967986"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046" w:type="dxa"/>
            <w:tcBorders>
              <w:top w:val="nil"/>
              <w:left w:val="nil"/>
              <w:right w:val="single" w:sz="4" w:space="0" w:color="auto"/>
            </w:tcBorders>
          </w:tcPr>
          <w:p w14:paraId="01C0CC72"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95.2</w:t>
            </w:r>
          </w:p>
        </w:tc>
        <w:tc>
          <w:tcPr>
            <w:tcW w:w="1593" w:type="dxa"/>
            <w:tcBorders>
              <w:top w:val="nil"/>
              <w:left w:val="nil"/>
              <w:right w:val="single" w:sz="4" w:space="0" w:color="auto"/>
            </w:tcBorders>
          </w:tcPr>
          <w:p w14:paraId="5C6FDED2"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p>
        </w:tc>
      </w:tr>
      <w:tr w:rsidR="0071415F" w:rsidRPr="00BD3E97" w14:paraId="7F6CD59D" w14:textId="77777777" w:rsidTr="00D20890">
        <w:trPr>
          <w:trHeight w:val="300"/>
          <w:jc w:val="center"/>
        </w:trPr>
        <w:tc>
          <w:tcPr>
            <w:tcW w:w="4772" w:type="dxa"/>
            <w:tcBorders>
              <w:top w:val="nil"/>
              <w:left w:val="single" w:sz="4" w:space="0" w:color="auto"/>
              <w:bottom w:val="single" w:sz="4" w:space="0" w:color="auto"/>
              <w:right w:val="single" w:sz="4" w:space="0" w:color="auto"/>
            </w:tcBorders>
            <w:shd w:val="clear" w:color="auto" w:fill="auto"/>
            <w:noWrap/>
            <w:vAlign w:val="center"/>
          </w:tcPr>
          <w:p w14:paraId="5B802DBF"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6.2.1.3 Proportion of population practicing open defecation (PCBS, 2019, </w:t>
            </w:r>
            <w:r w:rsidR="001D59E9">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48" w:type="dxa"/>
            <w:tcBorders>
              <w:top w:val="nil"/>
              <w:left w:val="nil"/>
              <w:bottom w:val="single" w:sz="4" w:space="0" w:color="auto"/>
              <w:right w:val="single" w:sz="4" w:space="0" w:color="auto"/>
            </w:tcBorders>
            <w:shd w:val="clear" w:color="auto" w:fill="auto"/>
            <w:noWrap/>
          </w:tcPr>
          <w:p w14:paraId="5F67EBED"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940" w:type="dxa"/>
            <w:tcBorders>
              <w:top w:val="nil"/>
              <w:left w:val="nil"/>
              <w:bottom w:val="single" w:sz="4" w:space="0" w:color="auto"/>
              <w:right w:val="single" w:sz="4" w:space="0" w:color="auto"/>
            </w:tcBorders>
            <w:shd w:val="clear" w:color="auto" w:fill="auto"/>
            <w:noWrap/>
          </w:tcPr>
          <w:p w14:paraId="30D2C062"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046" w:type="dxa"/>
            <w:tcBorders>
              <w:top w:val="nil"/>
              <w:left w:val="nil"/>
              <w:bottom w:val="single" w:sz="4" w:space="0" w:color="auto"/>
              <w:right w:val="single" w:sz="4" w:space="0" w:color="auto"/>
            </w:tcBorders>
          </w:tcPr>
          <w:p w14:paraId="202B4EEA"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0</w:t>
            </w:r>
          </w:p>
        </w:tc>
        <w:tc>
          <w:tcPr>
            <w:tcW w:w="1593" w:type="dxa"/>
            <w:tcBorders>
              <w:top w:val="nil"/>
              <w:left w:val="nil"/>
              <w:bottom w:val="single" w:sz="4" w:space="0" w:color="auto"/>
              <w:right w:val="single" w:sz="4" w:space="0" w:color="auto"/>
            </w:tcBorders>
          </w:tcPr>
          <w:p w14:paraId="387F1C48"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p>
        </w:tc>
      </w:tr>
      <w:tr w:rsidR="0071415F" w:rsidRPr="00BD3E97" w14:paraId="0468E0D8" w14:textId="77777777" w:rsidTr="00D20890">
        <w:trPr>
          <w:trHeight w:val="300"/>
          <w:jc w:val="center"/>
        </w:trPr>
        <w:tc>
          <w:tcPr>
            <w:tcW w:w="47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BD19D" w14:textId="77777777" w:rsidR="009E4880" w:rsidRPr="00D20890" w:rsidRDefault="0071415F" w:rsidP="00D20890">
            <w:pPr>
              <w:tabs>
                <w:tab w:val="left" w:pos="9072"/>
              </w:tabs>
              <w:bidi w:val="0"/>
              <w:spacing w:after="0" w:line="240" w:lineRule="auto"/>
              <w:jc w:val="both"/>
              <w:rPr>
                <w:rFonts w:asciiTheme="minorBidi" w:hAnsiTheme="minorBidi" w:cstheme="minorBidi"/>
                <w:color w:val="000000" w:themeColor="text1"/>
                <w:sz w:val="18"/>
                <w:szCs w:val="18"/>
                <w:rtl/>
              </w:rPr>
            </w:pPr>
            <w:r w:rsidRPr="00BD3E97">
              <w:rPr>
                <w:rFonts w:asciiTheme="minorBidi" w:hAnsiTheme="minorBidi" w:cstheme="minorBidi"/>
                <w:b/>
                <w:color w:val="000000" w:themeColor="text1"/>
                <w:sz w:val="18"/>
                <w:szCs w:val="18"/>
              </w:rPr>
              <w:t>Indicator</w:t>
            </w:r>
            <w:r w:rsidRPr="00BD3E97">
              <w:rPr>
                <w:rFonts w:asciiTheme="minorBidi" w:hAnsiTheme="minorBidi" w:cstheme="minorBidi"/>
                <w:b/>
                <w:bCs/>
                <w:color w:val="000000" w:themeColor="text1"/>
                <w:sz w:val="18"/>
                <w:szCs w:val="18"/>
              </w:rPr>
              <w:t xml:space="preserve"> 6.a.1 </w:t>
            </w:r>
            <w:r w:rsidRPr="00BD3E97">
              <w:rPr>
                <w:rFonts w:asciiTheme="minorBidi" w:hAnsiTheme="minorBidi" w:cstheme="minorBidi"/>
                <w:color w:val="000000" w:themeColor="text1"/>
                <w:sz w:val="18"/>
                <w:szCs w:val="18"/>
              </w:rPr>
              <w:t>Amount of water- and sanitation-related official development assistance that is part of a government-coordinated spending plan. (UNSD, 2019, Million USD)</w:t>
            </w:r>
          </w:p>
        </w:tc>
        <w:tc>
          <w:tcPr>
            <w:tcW w:w="1148" w:type="dxa"/>
            <w:tcBorders>
              <w:top w:val="single" w:sz="4" w:space="0" w:color="auto"/>
              <w:left w:val="nil"/>
              <w:bottom w:val="single" w:sz="4" w:space="0" w:color="auto"/>
              <w:right w:val="single" w:sz="4" w:space="0" w:color="auto"/>
            </w:tcBorders>
            <w:shd w:val="clear" w:color="auto" w:fill="auto"/>
            <w:noWrap/>
            <w:hideMark/>
          </w:tcPr>
          <w:p w14:paraId="30B524F7"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940" w:type="dxa"/>
            <w:tcBorders>
              <w:top w:val="single" w:sz="4" w:space="0" w:color="auto"/>
              <w:left w:val="nil"/>
              <w:bottom w:val="single" w:sz="4" w:space="0" w:color="auto"/>
              <w:right w:val="single" w:sz="4" w:space="0" w:color="auto"/>
            </w:tcBorders>
            <w:shd w:val="clear" w:color="auto" w:fill="auto"/>
            <w:noWrap/>
            <w:hideMark/>
          </w:tcPr>
          <w:p w14:paraId="3057E2A9"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141.63 (2018)</w:t>
            </w:r>
          </w:p>
        </w:tc>
        <w:tc>
          <w:tcPr>
            <w:tcW w:w="1046" w:type="dxa"/>
            <w:tcBorders>
              <w:top w:val="single" w:sz="4" w:space="0" w:color="auto"/>
              <w:left w:val="nil"/>
              <w:bottom w:val="single" w:sz="4" w:space="0" w:color="auto"/>
              <w:right w:val="single" w:sz="4" w:space="0" w:color="auto"/>
            </w:tcBorders>
          </w:tcPr>
          <w:p w14:paraId="369F3973"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114.30</w:t>
            </w:r>
          </w:p>
          <w:p w14:paraId="156BB245"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p w14:paraId="5FA2AB19" w14:textId="77777777" w:rsidR="0071415F" w:rsidRPr="00BD3E97" w:rsidRDefault="0071415F" w:rsidP="0071415F">
            <w:pPr>
              <w:tabs>
                <w:tab w:val="left" w:pos="9072"/>
              </w:tabs>
              <w:bidi w:val="0"/>
              <w:spacing w:after="0" w:line="240" w:lineRule="auto"/>
              <w:rPr>
                <w:rFonts w:asciiTheme="minorBidi" w:hAnsiTheme="minorBidi" w:cstheme="minorBidi"/>
                <w:color w:val="000000" w:themeColor="text1"/>
                <w:sz w:val="18"/>
                <w:szCs w:val="18"/>
              </w:rPr>
            </w:pPr>
          </w:p>
        </w:tc>
        <w:tc>
          <w:tcPr>
            <w:tcW w:w="1593" w:type="dxa"/>
            <w:tcBorders>
              <w:top w:val="single" w:sz="4" w:space="0" w:color="auto"/>
              <w:left w:val="nil"/>
              <w:bottom w:val="single" w:sz="4" w:space="0" w:color="auto"/>
              <w:right w:val="single" w:sz="4" w:space="0" w:color="auto"/>
            </w:tcBorders>
          </w:tcPr>
          <w:p w14:paraId="7E8ADA76"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Decrease</w:t>
            </w:r>
          </w:p>
          <w:p w14:paraId="2FEBCECA"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p>
        </w:tc>
      </w:tr>
    </w:tbl>
    <w:p w14:paraId="4686808E" w14:textId="77777777" w:rsidR="0071415F" w:rsidRPr="0086098A" w:rsidRDefault="0071415F" w:rsidP="0071415F">
      <w:pPr>
        <w:autoSpaceDE w:val="0"/>
        <w:autoSpaceDN w:val="0"/>
        <w:bidi w:val="0"/>
        <w:adjustRightInd w:val="0"/>
        <w:spacing w:after="0" w:line="240" w:lineRule="auto"/>
        <w:jc w:val="both"/>
        <w:rPr>
          <w:rFonts w:ascii="Times New Roman" w:hAnsi="Times New Roman" w:cs="Times New Roman"/>
          <w:sz w:val="12"/>
          <w:szCs w:val="12"/>
          <w:rtl/>
        </w:rPr>
      </w:pPr>
    </w:p>
    <w:p w14:paraId="30FEA95E" w14:textId="77777777" w:rsidR="0071415F" w:rsidRPr="006D0C5D" w:rsidRDefault="0071415F" w:rsidP="00FB1314">
      <w:pPr>
        <w:pStyle w:val="ListParagraph"/>
        <w:numPr>
          <w:ilvl w:val="0"/>
          <w:numId w:val="13"/>
        </w:numPr>
        <w:autoSpaceDE w:val="0"/>
        <w:autoSpaceDN w:val="0"/>
        <w:adjustRightInd w:val="0"/>
        <w:spacing w:after="0" w:line="240" w:lineRule="auto"/>
        <w:jc w:val="both"/>
        <w:rPr>
          <w:rFonts w:ascii="Times New Roman" w:hAnsi="Times New Roman" w:cs="Times New Roman"/>
          <w:b/>
          <w:bCs/>
          <w:sz w:val="24"/>
          <w:szCs w:val="24"/>
        </w:rPr>
      </w:pPr>
      <w:r w:rsidRPr="006D0C5D">
        <w:rPr>
          <w:rFonts w:ascii="Times New Roman" w:hAnsi="Times New Roman" w:cs="Times New Roman"/>
          <w:b/>
          <w:bCs/>
          <w:sz w:val="24"/>
          <w:szCs w:val="24"/>
        </w:rPr>
        <w:t xml:space="preserve">Reported </w:t>
      </w:r>
      <w:r w:rsidR="00C60251" w:rsidRPr="006D0C5D">
        <w:rPr>
          <w:rFonts w:ascii="Times New Roman" w:hAnsi="Times New Roman" w:cs="Times New Roman"/>
          <w:b/>
          <w:bCs/>
          <w:sz w:val="24"/>
          <w:szCs w:val="24"/>
        </w:rPr>
        <w:t>i</w:t>
      </w:r>
      <w:r w:rsidRPr="006D0C5D">
        <w:rPr>
          <w:rFonts w:ascii="Times New Roman" w:hAnsi="Times New Roman" w:cs="Times New Roman"/>
          <w:b/>
          <w:bCs/>
          <w:sz w:val="24"/>
          <w:szCs w:val="24"/>
        </w:rPr>
        <w:t xml:space="preserve">ndicators by </w:t>
      </w:r>
      <w:r w:rsidR="00C60251" w:rsidRPr="006D0C5D">
        <w:rPr>
          <w:rFonts w:ascii="Times New Roman" w:hAnsi="Times New Roman" w:cs="Times New Roman"/>
          <w:b/>
          <w:bCs/>
          <w:sz w:val="24"/>
          <w:szCs w:val="24"/>
        </w:rPr>
        <w:t>o</w:t>
      </w:r>
      <w:r w:rsidRPr="006D0C5D">
        <w:rPr>
          <w:rFonts w:ascii="Times New Roman" w:hAnsi="Times New Roman" w:cs="Times New Roman"/>
          <w:b/>
          <w:bCs/>
          <w:sz w:val="24"/>
          <w:szCs w:val="24"/>
        </w:rPr>
        <w:t xml:space="preserve">ther </w:t>
      </w:r>
      <w:r w:rsidR="00C60251" w:rsidRPr="006D0C5D">
        <w:rPr>
          <w:rFonts w:ascii="Times New Roman" w:hAnsi="Times New Roman" w:cs="Times New Roman"/>
          <w:b/>
          <w:bCs/>
          <w:sz w:val="24"/>
          <w:szCs w:val="24"/>
        </w:rPr>
        <w:t>s</w:t>
      </w:r>
      <w:r w:rsidRPr="006D0C5D">
        <w:rPr>
          <w:rFonts w:ascii="Times New Roman" w:hAnsi="Times New Roman" w:cs="Times New Roman"/>
          <w:b/>
          <w:bCs/>
          <w:sz w:val="24"/>
          <w:szCs w:val="24"/>
        </w:rPr>
        <w:t>ources</w:t>
      </w:r>
    </w:p>
    <w:p w14:paraId="34B45690" w14:textId="77777777" w:rsidR="0071415F" w:rsidRPr="001D5BA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12D80">
        <w:rPr>
          <w:rFonts w:ascii="Times New Roman" w:hAnsi="Times New Roman" w:cs="Times New Roman"/>
          <w:sz w:val="24"/>
          <w:szCs w:val="24"/>
        </w:rPr>
        <w:t xml:space="preserve">There are </w:t>
      </w:r>
      <w:r w:rsidR="001D59E9">
        <w:rPr>
          <w:rFonts w:ascii="Times New Roman" w:hAnsi="Times New Roman" w:cs="Times New Roman"/>
          <w:sz w:val="24"/>
          <w:szCs w:val="24"/>
        </w:rPr>
        <w:t xml:space="preserve">an </w:t>
      </w:r>
      <w:r w:rsidRPr="00D12D80">
        <w:rPr>
          <w:rFonts w:ascii="Times New Roman" w:hAnsi="Times New Roman" w:cs="Times New Roman"/>
          <w:sz w:val="24"/>
          <w:szCs w:val="24"/>
        </w:rPr>
        <w:t xml:space="preserve">additional </w:t>
      </w:r>
      <w:r w:rsidR="001D59E9">
        <w:rPr>
          <w:rFonts w:ascii="Times New Roman" w:hAnsi="Times New Roman" w:cs="Times New Roman"/>
          <w:sz w:val="24"/>
          <w:szCs w:val="24"/>
        </w:rPr>
        <w:t>four</w:t>
      </w:r>
      <w:r w:rsidRPr="00D12D80">
        <w:rPr>
          <w:rFonts w:ascii="Times New Roman" w:hAnsi="Times New Roman" w:cs="Times New Roman"/>
          <w:sz w:val="24"/>
          <w:szCs w:val="24"/>
        </w:rPr>
        <w:t xml:space="preserve"> indicators </w:t>
      </w:r>
      <w:r w:rsidR="001D59E9">
        <w:rPr>
          <w:rFonts w:ascii="Times New Roman" w:hAnsi="Times New Roman" w:cs="Times New Roman"/>
          <w:sz w:val="24"/>
          <w:szCs w:val="24"/>
        </w:rPr>
        <w:t xml:space="preserve">reported </w:t>
      </w:r>
      <w:r w:rsidRPr="00D12D80">
        <w:rPr>
          <w:rFonts w:ascii="Times New Roman" w:hAnsi="Times New Roman" w:cs="Times New Roman"/>
          <w:sz w:val="24"/>
          <w:szCs w:val="24"/>
        </w:rPr>
        <w:t xml:space="preserve">by other sources that </w:t>
      </w:r>
      <w:r w:rsidR="001D59E9">
        <w:rPr>
          <w:rFonts w:ascii="Times New Roman" w:hAnsi="Times New Roman" w:cs="Times New Roman"/>
          <w:sz w:val="24"/>
          <w:szCs w:val="24"/>
        </w:rPr>
        <w:t xml:space="preserve">are </w:t>
      </w:r>
      <w:r w:rsidRPr="00D12D80">
        <w:rPr>
          <w:rFonts w:ascii="Times New Roman" w:hAnsi="Times New Roman" w:cs="Times New Roman"/>
          <w:sz w:val="24"/>
          <w:szCs w:val="24"/>
        </w:rPr>
        <w:t xml:space="preserve">available on UNSD-Database for Goal </w:t>
      </w:r>
      <w:r w:rsidRPr="00D12D80">
        <w:rPr>
          <w:rFonts w:ascii="Times New Roman" w:hAnsi="Times New Roman" w:cs="Times New Roman" w:hint="cs"/>
          <w:sz w:val="24"/>
          <w:szCs w:val="24"/>
          <w:rtl/>
        </w:rPr>
        <w:t>6</w:t>
      </w:r>
      <w:r w:rsidRPr="00D12D80">
        <w:rPr>
          <w:rFonts w:ascii="Times New Roman" w:hAnsi="Times New Roman" w:cs="Times New Roman"/>
          <w:sz w:val="24"/>
          <w:szCs w:val="24"/>
        </w:rPr>
        <w:t xml:space="preserve"> referring to </w:t>
      </w:r>
      <w:r w:rsidR="001D59E9">
        <w:rPr>
          <w:rFonts w:ascii="Times New Roman" w:hAnsi="Times New Roman" w:cs="Times New Roman"/>
          <w:sz w:val="24"/>
          <w:szCs w:val="24"/>
        </w:rPr>
        <w:t>three</w:t>
      </w:r>
      <w:r w:rsidRPr="00D12D80">
        <w:rPr>
          <w:rFonts w:ascii="Times New Roman" w:hAnsi="Times New Roman" w:cs="Times New Roman"/>
          <w:sz w:val="24"/>
          <w:szCs w:val="24"/>
        </w:rPr>
        <w:t xml:space="preserve">of the </w:t>
      </w:r>
      <w:r w:rsidR="001D59E9">
        <w:rPr>
          <w:rFonts w:ascii="Times New Roman" w:hAnsi="Times New Roman" w:cs="Times New Roman"/>
          <w:sz w:val="24"/>
          <w:szCs w:val="24"/>
        </w:rPr>
        <w:t>seven</w:t>
      </w:r>
      <w:r w:rsidRPr="00D12D80">
        <w:rPr>
          <w:rFonts w:ascii="Times New Roman" w:hAnsi="Times New Roman" w:cs="Times New Roman"/>
          <w:sz w:val="24"/>
          <w:szCs w:val="24"/>
        </w:rPr>
        <w:t xml:space="preserve"> targets</w:t>
      </w:r>
      <w:r w:rsidR="00C60251">
        <w:rPr>
          <w:rFonts w:ascii="Times New Roman" w:hAnsi="Times New Roman" w:cs="Times New Roman"/>
          <w:sz w:val="24"/>
          <w:szCs w:val="24"/>
        </w:rPr>
        <w:t>;t</w:t>
      </w:r>
      <w:r w:rsidRPr="001D5BA6">
        <w:rPr>
          <w:rFonts w:ascii="Times New Roman" w:hAnsi="Times New Roman" w:cs="Times New Roman"/>
          <w:sz w:val="24"/>
          <w:szCs w:val="24"/>
        </w:rPr>
        <w:t xml:space="preserve">herefore, </w:t>
      </w:r>
      <w:r>
        <w:rPr>
          <w:rFonts w:ascii="Times New Roman" w:hAnsi="Times New Roman" w:cs="Times New Roman"/>
          <w:sz w:val="24"/>
          <w:szCs w:val="24"/>
        </w:rPr>
        <w:t xml:space="preserve">75%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C66B88">
        <w:rPr>
          <w:rFonts w:ascii="Times New Roman" w:hAnsi="Times New Roman" w:cs="Times New Roman"/>
          <w:sz w:val="24"/>
          <w:szCs w:val="24"/>
        </w:rPr>
        <w:t>six out</w:t>
      </w:r>
      <w:r>
        <w:rPr>
          <w:rFonts w:ascii="Times New Roman" w:hAnsi="Times New Roman" w:cs="Times New Roman"/>
          <w:sz w:val="24"/>
          <w:szCs w:val="24"/>
        </w:rPr>
        <w:t xml:space="preserve"> of eight)</w:t>
      </w:r>
      <w:r w:rsidR="001D59E9">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1D59E9">
        <w:rPr>
          <w:rFonts w:ascii="Times New Roman" w:hAnsi="Times New Roman" w:cs="Times New Roman"/>
          <w:sz w:val="24"/>
          <w:szCs w:val="24"/>
        </w:rPr>
        <w:t xml:space="preserve"> covered</w:t>
      </w:r>
      <w:r w:rsidRPr="001D5BA6">
        <w:rPr>
          <w:rFonts w:ascii="Times New Roman" w:hAnsi="Times New Roman" w:cs="Times New Roman"/>
          <w:sz w:val="24"/>
          <w:szCs w:val="24"/>
        </w:rPr>
        <w:t>.</w:t>
      </w:r>
    </w:p>
    <w:p w14:paraId="05699CDF" w14:textId="77777777" w:rsidR="0071415F" w:rsidRDefault="0071415F" w:rsidP="0071415F">
      <w:pPr>
        <w:bidi w:val="0"/>
        <w:spacing w:after="0" w:line="240" w:lineRule="auto"/>
        <w:rPr>
          <w:rFonts w:ascii="Times New Roman" w:hAnsi="Times New Roman" w:cs="Times New Roman"/>
          <w:sz w:val="24"/>
          <w:szCs w:val="24"/>
        </w:rPr>
      </w:pPr>
    </w:p>
    <w:p w14:paraId="3FB3C039" w14:textId="77777777" w:rsidR="0071415F" w:rsidRPr="00BD3E97" w:rsidRDefault="0071415F" w:rsidP="0071415F">
      <w:pPr>
        <w:bidi w:val="0"/>
        <w:spacing w:after="0" w:line="240" w:lineRule="auto"/>
        <w:jc w:val="center"/>
        <w:rPr>
          <w:rFonts w:ascii="Arial" w:hAnsi="Arial"/>
          <w:b/>
          <w:bCs/>
          <w:lang w:eastAsia="ar-SA"/>
        </w:rPr>
      </w:pPr>
      <w:r w:rsidRPr="00BD3E97">
        <w:rPr>
          <w:rFonts w:ascii="Arial" w:hAnsi="Arial"/>
          <w:b/>
          <w:bCs/>
          <w:lang w:eastAsia="ar-SA"/>
        </w:rPr>
        <w:t xml:space="preserve">Table 6.2: List of SDGs </w:t>
      </w:r>
      <w:r w:rsidR="001D59E9">
        <w:rPr>
          <w:rFonts w:ascii="Arial" w:hAnsi="Arial"/>
          <w:b/>
          <w:bCs/>
          <w:lang w:eastAsia="ar-SA"/>
        </w:rPr>
        <w:t>I</w:t>
      </w:r>
      <w:r w:rsidRPr="00BD3E97">
        <w:rPr>
          <w:rFonts w:ascii="Arial" w:hAnsi="Arial"/>
          <w:b/>
          <w:bCs/>
          <w:lang w:eastAsia="ar-SA"/>
        </w:rPr>
        <w:t xml:space="preserve">ndicators </w:t>
      </w:r>
      <w:r w:rsidR="001D59E9">
        <w:rPr>
          <w:rFonts w:ascii="Arial" w:hAnsi="Arial"/>
          <w:b/>
          <w:bCs/>
          <w:lang w:eastAsia="ar-SA"/>
        </w:rPr>
        <w:t>R</w:t>
      </w:r>
      <w:r w:rsidRPr="00BD3E97">
        <w:rPr>
          <w:rFonts w:ascii="Arial" w:hAnsi="Arial"/>
          <w:b/>
          <w:bCs/>
          <w:lang w:eastAsia="ar-SA"/>
        </w:rPr>
        <w:t xml:space="preserve">eleased by </w:t>
      </w:r>
      <w:r w:rsidRPr="00BD3E97">
        <w:rPr>
          <w:rFonts w:ascii="Arial" w:hAnsi="Arial"/>
          <w:b/>
          <w:bCs/>
        </w:rPr>
        <w:t>Other Sources</w:t>
      </w:r>
    </w:p>
    <w:p w14:paraId="6DE220CC"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7366"/>
        <w:gridCol w:w="1694"/>
      </w:tblGrid>
      <w:tr w:rsidR="0071415F" w:rsidRPr="000D2E4D" w14:paraId="32A1A833" w14:textId="77777777" w:rsidTr="00D556CC">
        <w:trPr>
          <w:trHeight w:val="504"/>
          <w:tblHeader/>
        </w:trPr>
        <w:tc>
          <w:tcPr>
            <w:tcW w:w="73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112700"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1694" w:type="dxa"/>
            <w:tcBorders>
              <w:top w:val="single" w:sz="4" w:space="0" w:color="auto"/>
              <w:left w:val="nil"/>
              <w:bottom w:val="single" w:sz="4" w:space="0" w:color="auto"/>
              <w:right w:val="single" w:sz="4" w:space="0" w:color="auto"/>
            </w:tcBorders>
            <w:vAlign w:val="center"/>
          </w:tcPr>
          <w:p w14:paraId="0811EC44" w14:textId="77777777" w:rsidR="0071415F" w:rsidRPr="001D5BA6" w:rsidRDefault="0071415F" w:rsidP="0071415F">
            <w:pPr>
              <w:bidi w:val="0"/>
              <w:spacing w:after="0" w:line="240" w:lineRule="auto"/>
              <w:jc w:val="center"/>
            </w:pPr>
            <w:r w:rsidRPr="001D5BA6">
              <w:rPr>
                <w:rFonts w:ascii="Arial" w:hAnsi="Arial"/>
                <w:b/>
                <w:bCs/>
                <w:sz w:val="18"/>
                <w:szCs w:val="18"/>
              </w:rPr>
              <w:t>Most Recent Year</w:t>
            </w:r>
          </w:p>
        </w:tc>
      </w:tr>
      <w:tr w:rsidR="0071415F" w:rsidRPr="000D2E4D" w14:paraId="2748D232" w14:textId="77777777" w:rsidTr="00D20890">
        <w:trPr>
          <w:trHeight w:val="389"/>
        </w:trPr>
        <w:tc>
          <w:tcPr>
            <w:tcW w:w="7366" w:type="dxa"/>
            <w:tcBorders>
              <w:top w:val="single" w:sz="4" w:space="0" w:color="auto"/>
              <w:left w:val="single" w:sz="4" w:space="0" w:color="auto"/>
              <w:right w:val="single" w:sz="4" w:space="0" w:color="auto"/>
            </w:tcBorders>
            <w:shd w:val="clear" w:color="auto" w:fill="auto"/>
            <w:noWrap/>
          </w:tcPr>
          <w:p w14:paraId="7EBE688B" w14:textId="77777777" w:rsidR="0071415F" w:rsidRPr="00080517" w:rsidRDefault="00B866DB" w:rsidP="00D20890">
            <w:pPr>
              <w:tabs>
                <w:tab w:val="left" w:pos="9072"/>
              </w:tabs>
              <w:bidi w:val="0"/>
              <w:spacing w:after="0" w:line="240" w:lineRule="auto"/>
              <w:rPr>
                <w:rFonts w:ascii="Arial" w:hAnsi="Arial"/>
                <w:color w:val="000000"/>
                <w:sz w:val="18"/>
                <w:szCs w:val="18"/>
              </w:rPr>
            </w:pPr>
            <w:r>
              <w:rPr>
                <w:rFonts w:ascii="Arial" w:hAnsi="Arial"/>
                <w:b/>
                <w:color w:val="000000" w:themeColor="text1"/>
                <w:sz w:val="18"/>
                <w:szCs w:val="18"/>
              </w:rPr>
              <w:t xml:space="preserve">Indicator </w:t>
            </w:r>
            <w:r w:rsidR="0071415F" w:rsidRPr="00153439">
              <w:rPr>
                <w:rFonts w:ascii="Arial" w:hAnsi="Arial"/>
                <w:b/>
                <w:color w:val="000000" w:themeColor="text1"/>
                <w:sz w:val="18"/>
                <w:szCs w:val="18"/>
              </w:rPr>
              <w:t xml:space="preserve">6.3.1 </w:t>
            </w:r>
            <w:r w:rsidR="0071415F" w:rsidRPr="005F23F6">
              <w:rPr>
                <w:rFonts w:ascii="Arial" w:hAnsi="Arial"/>
                <w:bCs/>
                <w:color w:val="000000" w:themeColor="text1"/>
                <w:sz w:val="18"/>
                <w:szCs w:val="18"/>
              </w:rPr>
              <w:t>Proportion of domestic and industrial wastewater flows safely treated</w:t>
            </w:r>
          </w:p>
        </w:tc>
        <w:tc>
          <w:tcPr>
            <w:tcW w:w="1694" w:type="dxa"/>
            <w:tcBorders>
              <w:top w:val="single" w:sz="4" w:space="0" w:color="auto"/>
              <w:left w:val="nil"/>
              <w:right w:val="single" w:sz="4" w:space="0" w:color="auto"/>
            </w:tcBorders>
          </w:tcPr>
          <w:p w14:paraId="69BD894A" w14:textId="77777777" w:rsidR="0071415F" w:rsidRPr="00080517" w:rsidRDefault="0071415F" w:rsidP="00D20890">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r w:rsidR="0071415F" w:rsidRPr="000D2E4D" w14:paraId="41535D44" w14:textId="77777777" w:rsidTr="00D20890">
        <w:trPr>
          <w:trHeight w:val="389"/>
        </w:trPr>
        <w:tc>
          <w:tcPr>
            <w:tcW w:w="7366" w:type="dxa"/>
            <w:tcBorders>
              <w:top w:val="single" w:sz="4" w:space="0" w:color="auto"/>
              <w:left w:val="single" w:sz="4" w:space="0" w:color="auto"/>
              <w:bottom w:val="single" w:sz="4" w:space="0" w:color="auto"/>
              <w:right w:val="single" w:sz="4" w:space="0" w:color="auto"/>
            </w:tcBorders>
            <w:shd w:val="clear" w:color="auto" w:fill="auto"/>
            <w:noWrap/>
          </w:tcPr>
          <w:p w14:paraId="2FB49ABD" w14:textId="77777777" w:rsidR="0071415F" w:rsidRPr="00080517" w:rsidRDefault="0071415F" w:rsidP="00D20890">
            <w:pPr>
              <w:tabs>
                <w:tab w:val="left" w:pos="9072"/>
              </w:tabs>
              <w:bidi w:val="0"/>
              <w:spacing w:after="0" w:line="240" w:lineRule="auto"/>
              <w:rPr>
                <w:rFonts w:ascii="Arial" w:hAnsi="Arial"/>
                <w:color w:val="000000"/>
                <w:sz w:val="18"/>
                <w:szCs w:val="18"/>
              </w:rPr>
            </w:pPr>
            <w:r w:rsidRPr="00153439">
              <w:rPr>
                <w:rFonts w:ascii="Arial" w:hAnsi="Arial"/>
                <w:b/>
                <w:sz w:val="18"/>
                <w:szCs w:val="18"/>
              </w:rPr>
              <w:t>Indicator</w:t>
            </w:r>
            <w:r w:rsidRPr="00153439">
              <w:rPr>
                <w:rFonts w:ascii="Arial" w:hAnsi="Arial"/>
                <w:b/>
                <w:color w:val="000000" w:themeColor="text1"/>
                <w:sz w:val="18"/>
                <w:szCs w:val="18"/>
              </w:rPr>
              <w:t>6.4.1</w:t>
            </w:r>
            <w:r w:rsidRPr="005F23F6">
              <w:rPr>
                <w:rFonts w:ascii="Arial" w:hAnsi="Arial"/>
                <w:bCs/>
                <w:color w:val="000000" w:themeColor="text1"/>
                <w:sz w:val="18"/>
                <w:szCs w:val="18"/>
              </w:rPr>
              <w:t xml:space="preserve"> Change in water-use efficiency over time</w:t>
            </w:r>
          </w:p>
        </w:tc>
        <w:tc>
          <w:tcPr>
            <w:tcW w:w="1694" w:type="dxa"/>
            <w:tcBorders>
              <w:top w:val="single" w:sz="4" w:space="0" w:color="auto"/>
              <w:left w:val="nil"/>
              <w:bottom w:val="single" w:sz="4" w:space="0" w:color="auto"/>
              <w:right w:val="single" w:sz="4" w:space="0" w:color="auto"/>
            </w:tcBorders>
          </w:tcPr>
          <w:p w14:paraId="3EA0FE95" w14:textId="77777777" w:rsidR="0071415F" w:rsidRPr="00080517" w:rsidRDefault="0071415F" w:rsidP="00D20890">
            <w:pPr>
              <w:tabs>
                <w:tab w:val="left" w:pos="9072"/>
              </w:tabs>
              <w:spacing w:after="0" w:line="240" w:lineRule="auto"/>
              <w:ind w:right="57"/>
              <w:jc w:val="center"/>
              <w:rPr>
                <w:rFonts w:ascii="Arial" w:hAnsi="Arial"/>
                <w:color w:val="000000"/>
                <w:sz w:val="18"/>
                <w:szCs w:val="18"/>
              </w:rPr>
            </w:pPr>
            <w:r>
              <w:rPr>
                <w:rFonts w:ascii="Arial" w:hAnsi="Arial" w:hint="cs"/>
                <w:color w:val="000000"/>
                <w:sz w:val="18"/>
                <w:szCs w:val="18"/>
                <w:rtl/>
              </w:rPr>
              <w:t>2018</w:t>
            </w:r>
          </w:p>
        </w:tc>
      </w:tr>
      <w:tr w:rsidR="0071415F" w:rsidRPr="000D2E4D" w14:paraId="6BBFDB5C" w14:textId="77777777" w:rsidTr="00D20890">
        <w:trPr>
          <w:trHeight w:val="389"/>
        </w:trPr>
        <w:tc>
          <w:tcPr>
            <w:tcW w:w="7366" w:type="dxa"/>
            <w:tcBorders>
              <w:top w:val="single" w:sz="4" w:space="0" w:color="auto"/>
              <w:left w:val="single" w:sz="4" w:space="0" w:color="auto"/>
              <w:bottom w:val="single" w:sz="4" w:space="0" w:color="auto"/>
              <w:right w:val="single" w:sz="4" w:space="0" w:color="auto"/>
            </w:tcBorders>
            <w:shd w:val="clear" w:color="auto" w:fill="auto"/>
            <w:noWrap/>
          </w:tcPr>
          <w:p w14:paraId="362DC9F4" w14:textId="77777777" w:rsidR="0071415F" w:rsidRDefault="0071415F" w:rsidP="00D20890">
            <w:pPr>
              <w:tabs>
                <w:tab w:val="left" w:pos="9072"/>
              </w:tabs>
              <w:bidi w:val="0"/>
              <w:spacing w:after="0" w:line="240" w:lineRule="auto"/>
              <w:rPr>
                <w:rFonts w:ascii="Arial" w:hAnsi="Arial"/>
                <w:color w:val="000000"/>
                <w:sz w:val="18"/>
                <w:szCs w:val="18"/>
              </w:rPr>
            </w:pPr>
            <w:r w:rsidRPr="00153439">
              <w:rPr>
                <w:rFonts w:ascii="Arial" w:hAnsi="Arial"/>
                <w:b/>
                <w:sz w:val="18"/>
                <w:szCs w:val="18"/>
              </w:rPr>
              <w:t>Indicator</w:t>
            </w:r>
            <w:r w:rsidRPr="00153439">
              <w:rPr>
                <w:rFonts w:ascii="Arial" w:hAnsi="Arial"/>
                <w:b/>
                <w:color w:val="000000" w:themeColor="text1"/>
                <w:sz w:val="18"/>
                <w:szCs w:val="18"/>
              </w:rPr>
              <w:t>6.4.2</w:t>
            </w:r>
            <w:r w:rsidRPr="005F23F6">
              <w:rPr>
                <w:rFonts w:ascii="Arial" w:hAnsi="Arial"/>
                <w:bCs/>
                <w:color w:val="000000" w:themeColor="text1"/>
                <w:sz w:val="18"/>
                <w:szCs w:val="18"/>
              </w:rPr>
              <w:t xml:space="preserve"> Level of water stress: freshwater withdrawal as a proportion of available freshwater resources</w:t>
            </w:r>
          </w:p>
          <w:p w14:paraId="15A95DB9" w14:textId="77777777" w:rsidR="00D20890" w:rsidRPr="00080517" w:rsidRDefault="00D20890" w:rsidP="00D20890">
            <w:pPr>
              <w:tabs>
                <w:tab w:val="left" w:pos="9072"/>
              </w:tabs>
              <w:bidi w:val="0"/>
              <w:spacing w:after="0" w:line="240" w:lineRule="auto"/>
              <w:rPr>
                <w:rFonts w:ascii="Arial" w:hAnsi="Arial"/>
                <w:color w:val="000000"/>
                <w:sz w:val="18"/>
                <w:szCs w:val="18"/>
              </w:rPr>
            </w:pPr>
          </w:p>
        </w:tc>
        <w:tc>
          <w:tcPr>
            <w:tcW w:w="1694" w:type="dxa"/>
            <w:tcBorders>
              <w:top w:val="single" w:sz="4" w:space="0" w:color="auto"/>
              <w:left w:val="nil"/>
              <w:bottom w:val="single" w:sz="4" w:space="0" w:color="auto"/>
              <w:right w:val="single" w:sz="4" w:space="0" w:color="auto"/>
            </w:tcBorders>
          </w:tcPr>
          <w:p w14:paraId="1D7D5202" w14:textId="77777777" w:rsidR="0071415F" w:rsidRPr="00080517" w:rsidRDefault="0071415F" w:rsidP="00D20890">
            <w:pPr>
              <w:tabs>
                <w:tab w:val="left" w:pos="9072"/>
              </w:tabs>
              <w:spacing w:after="0" w:line="240" w:lineRule="auto"/>
              <w:ind w:right="57"/>
              <w:jc w:val="center"/>
              <w:rPr>
                <w:rFonts w:ascii="Arial" w:hAnsi="Arial"/>
                <w:color w:val="000000"/>
                <w:sz w:val="18"/>
                <w:szCs w:val="18"/>
              </w:rPr>
            </w:pPr>
            <w:r>
              <w:rPr>
                <w:rFonts w:ascii="Arial" w:hAnsi="Arial" w:hint="cs"/>
                <w:color w:val="000000"/>
                <w:sz w:val="18"/>
                <w:szCs w:val="18"/>
                <w:rtl/>
              </w:rPr>
              <w:t>2018</w:t>
            </w:r>
          </w:p>
        </w:tc>
      </w:tr>
      <w:tr w:rsidR="0071415F" w:rsidRPr="000D2E4D" w14:paraId="53076CEB" w14:textId="77777777" w:rsidTr="00D20890">
        <w:trPr>
          <w:trHeight w:val="389"/>
        </w:trPr>
        <w:tc>
          <w:tcPr>
            <w:tcW w:w="7366" w:type="dxa"/>
            <w:tcBorders>
              <w:top w:val="single" w:sz="4" w:space="0" w:color="auto"/>
              <w:left w:val="single" w:sz="4" w:space="0" w:color="auto"/>
              <w:bottom w:val="single" w:sz="4" w:space="0" w:color="auto"/>
              <w:right w:val="single" w:sz="4" w:space="0" w:color="auto"/>
            </w:tcBorders>
            <w:shd w:val="clear" w:color="auto" w:fill="auto"/>
            <w:noWrap/>
          </w:tcPr>
          <w:p w14:paraId="3A4F40F3" w14:textId="77777777" w:rsidR="00D20890" w:rsidRPr="00D20890" w:rsidRDefault="0071415F" w:rsidP="00D20890">
            <w:pPr>
              <w:tabs>
                <w:tab w:val="left" w:pos="9072"/>
              </w:tabs>
              <w:bidi w:val="0"/>
              <w:spacing w:after="0" w:line="240" w:lineRule="auto"/>
              <w:rPr>
                <w:rFonts w:ascii="Arial" w:hAnsi="Arial"/>
                <w:bCs/>
                <w:color w:val="000000" w:themeColor="text1"/>
                <w:sz w:val="18"/>
                <w:szCs w:val="18"/>
              </w:rPr>
            </w:pPr>
            <w:r w:rsidRPr="00966878">
              <w:rPr>
                <w:rFonts w:ascii="Arial" w:hAnsi="Arial"/>
                <w:b/>
                <w:color w:val="000000" w:themeColor="text1"/>
                <w:sz w:val="18"/>
                <w:szCs w:val="18"/>
              </w:rPr>
              <w:t xml:space="preserve">Indicator 6.b.1 </w:t>
            </w:r>
            <w:r w:rsidRPr="00966878">
              <w:rPr>
                <w:rFonts w:ascii="Arial" w:hAnsi="Arial"/>
                <w:bCs/>
                <w:color w:val="000000" w:themeColor="text1"/>
                <w:sz w:val="18"/>
                <w:szCs w:val="18"/>
              </w:rPr>
              <w:t>Proportion of local administrative units with established and operational policies and procedures for participation of local communities in water and sanitation management</w:t>
            </w:r>
          </w:p>
        </w:tc>
        <w:tc>
          <w:tcPr>
            <w:tcW w:w="1694" w:type="dxa"/>
            <w:tcBorders>
              <w:top w:val="single" w:sz="4" w:space="0" w:color="auto"/>
              <w:left w:val="nil"/>
              <w:bottom w:val="single" w:sz="4" w:space="0" w:color="auto"/>
              <w:right w:val="single" w:sz="4" w:space="0" w:color="auto"/>
            </w:tcBorders>
          </w:tcPr>
          <w:p w14:paraId="0D7B6CBE" w14:textId="77777777" w:rsidR="0071415F" w:rsidRPr="00080517" w:rsidRDefault="00D556CC" w:rsidP="00D20890">
            <w:pPr>
              <w:tabs>
                <w:tab w:val="left" w:pos="9072"/>
              </w:tabs>
              <w:spacing w:after="0" w:line="240" w:lineRule="auto"/>
              <w:ind w:right="57"/>
              <w:jc w:val="center"/>
              <w:rPr>
                <w:rFonts w:ascii="Arial" w:hAnsi="Arial"/>
                <w:color w:val="000000"/>
                <w:sz w:val="18"/>
                <w:szCs w:val="18"/>
              </w:rPr>
            </w:pPr>
            <w:r>
              <w:rPr>
                <w:rFonts w:ascii="Arial" w:hAnsi="Arial" w:hint="cs"/>
                <w:color w:val="000000"/>
                <w:sz w:val="18"/>
                <w:szCs w:val="18"/>
                <w:rtl/>
              </w:rPr>
              <w:t>2019</w:t>
            </w:r>
          </w:p>
        </w:tc>
      </w:tr>
    </w:tbl>
    <w:p w14:paraId="5EEA608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608680EC" w14:textId="77777777" w:rsidR="00877949"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6.1.1 Proportion of population using safely managed drinking water services</w:t>
      </w:r>
    </w:p>
    <w:p w14:paraId="230CC211" w14:textId="77777777" w:rsidR="0071415F" w:rsidRPr="00966878" w:rsidRDefault="0071415F"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B7DC1F8" w14:textId="77777777" w:rsidR="0071415F" w:rsidRDefault="0071415F" w:rsidP="00C65ABD">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Around 39.5% of population in Palestine used </w:t>
      </w:r>
      <w:r w:rsidR="009B50E8">
        <w:rPr>
          <w:rFonts w:ascii="Times New Roman" w:hAnsi="Times New Roman" w:cs="Times New Roman"/>
          <w:color w:val="000000" w:themeColor="text1"/>
          <w:sz w:val="24"/>
          <w:szCs w:val="24"/>
        </w:rPr>
        <w:t xml:space="preserve">a </w:t>
      </w:r>
      <w:r w:rsidRPr="00966878">
        <w:rPr>
          <w:rFonts w:ascii="Times New Roman" w:hAnsi="Times New Roman" w:cs="Times New Roman"/>
          <w:color w:val="000000" w:themeColor="text1"/>
          <w:sz w:val="24"/>
          <w:szCs w:val="24"/>
        </w:rPr>
        <w:t xml:space="preserve">safely managed drinking water source, 66.2% in the West Bank and 4.3% in Gaza Strip in 2019.  </w:t>
      </w:r>
    </w:p>
    <w:p w14:paraId="62871EFC" w14:textId="77777777" w:rsidR="009E4880" w:rsidRDefault="009E4880" w:rsidP="009E488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4BC85DB" w14:textId="77777777" w:rsidR="0071415F" w:rsidRPr="00966878" w:rsidRDefault="0071415F" w:rsidP="00F70204">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 xml:space="preserve">Proportion of </w:t>
      </w:r>
      <w:r w:rsidR="009B50E8">
        <w:rPr>
          <w:rFonts w:ascii="Arial" w:hAnsi="Arial"/>
          <w:b/>
          <w:bCs/>
          <w:color w:val="000000" w:themeColor="text1"/>
        </w:rPr>
        <w:t>P</w:t>
      </w:r>
      <w:r w:rsidRPr="00966878">
        <w:rPr>
          <w:rFonts w:ascii="Arial" w:hAnsi="Arial"/>
          <w:b/>
          <w:bCs/>
          <w:color w:val="000000" w:themeColor="text1"/>
        </w:rPr>
        <w:t xml:space="preserve">opulation* </w:t>
      </w:r>
      <w:r w:rsidR="009B50E8">
        <w:rPr>
          <w:rFonts w:ascii="Arial" w:hAnsi="Arial"/>
          <w:b/>
          <w:bCs/>
          <w:color w:val="000000" w:themeColor="text1"/>
        </w:rPr>
        <w:t>U</w:t>
      </w:r>
      <w:r w:rsidRPr="00966878">
        <w:rPr>
          <w:rFonts w:ascii="Arial" w:hAnsi="Arial"/>
          <w:b/>
          <w:bCs/>
          <w:color w:val="000000" w:themeColor="text1"/>
        </w:rPr>
        <w:t xml:space="preserve">sing </w:t>
      </w:r>
      <w:r w:rsidR="009B50E8">
        <w:rPr>
          <w:rFonts w:ascii="Arial" w:hAnsi="Arial"/>
          <w:b/>
          <w:bCs/>
          <w:color w:val="000000" w:themeColor="text1"/>
        </w:rPr>
        <w:t>S</w:t>
      </w:r>
      <w:r w:rsidRPr="00966878">
        <w:rPr>
          <w:rFonts w:ascii="Arial" w:hAnsi="Arial"/>
          <w:b/>
          <w:bCs/>
          <w:color w:val="000000" w:themeColor="text1"/>
        </w:rPr>
        <w:t xml:space="preserve">afely </w:t>
      </w:r>
      <w:r w:rsidR="009B50E8">
        <w:rPr>
          <w:rFonts w:ascii="Arial" w:hAnsi="Arial"/>
          <w:b/>
          <w:bCs/>
          <w:color w:val="000000" w:themeColor="text1"/>
        </w:rPr>
        <w:t>M</w:t>
      </w:r>
      <w:r w:rsidRPr="00966878">
        <w:rPr>
          <w:rFonts w:ascii="Arial" w:hAnsi="Arial"/>
          <w:b/>
          <w:bCs/>
          <w:color w:val="000000" w:themeColor="text1"/>
        </w:rPr>
        <w:t xml:space="preserve">anaged </w:t>
      </w:r>
      <w:r w:rsidR="009B50E8">
        <w:rPr>
          <w:rFonts w:ascii="Arial" w:hAnsi="Arial"/>
          <w:b/>
          <w:bCs/>
          <w:color w:val="000000" w:themeColor="text1"/>
        </w:rPr>
        <w:t>D</w:t>
      </w:r>
      <w:r w:rsidRPr="00966878">
        <w:rPr>
          <w:rFonts w:ascii="Arial" w:hAnsi="Arial"/>
          <w:b/>
          <w:bCs/>
          <w:color w:val="000000" w:themeColor="text1"/>
        </w:rPr>
        <w:t xml:space="preserve">rinking </w:t>
      </w:r>
      <w:r w:rsidR="009B50E8">
        <w:rPr>
          <w:rFonts w:ascii="Arial" w:hAnsi="Arial"/>
          <w:b/>
          <w:bCs/>
          <w:color w:val="000000" w:themeColor="text1"/>
        </w:rPr>
        <w:t>W</w:t>
      </w:r>
      <w:r w:rsidRPr="00966878">
        <w:rPr>
          <w:rFonts w:ascii="Arial" w:hAnsi="Arial"/>
          <w:b/>
          <w:bCs/>
          <w:color w:val="000000" w:themeColor="text1"/>
        </w:rPr>
        <w:t xml:space="preserve">ater </w:t>
      </w:r>
      <w:r w:rsidR="009B50E8">
        <w:rPr>
          <w:rFonts w:ascii="Arial" w:hAnsi="Arial"/>
          <w:b/>
          <w:bCs/>
          <w:color w:val="000000" w:themeColor="text1"/>
        </w:rPr>
        <w:t>S</w:t>
      </w:r>
      <w:r w:rsidRPr="00966878">
        <w:rPr>
          <w:rFonts w:ascii="Arial" w:hAnsi="Arial"/>
          <w:b/>
          <w:bCs/>
          <w:color w:val="000000" w:themeColor="text1"/>
        </w:rPr>
        <w:t>ervices for</w:t>
      </w:r>
      <w:r w:rsidR="00F70204">
        <w:rPr>
          <w:rFonts w:ascii="Arial" w:hAnsi="Arial"/>
          <w:b/>
          <w:bCs/>
          <w:color w:val="000000" w:themeColor="text1"/>
        </w:rPr>
        <w:t>2019</w:t>
      </w:r>
      <w:r w:rsidRPr="00966878">
        <w:rPr>
          <w:rFonts w:ascii="Arial" w:hAnsi="Arial"/>
          <w:b/>
          <w:bCs/>
          <w:color w:val="000000" w:themeColor="text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7C87312" w14:textId="77777777" w:rsidTr="00536909">
        <w:trPr>
          <w:trHeight w:val="3209"/>
        </w:trPr>
        <w:tc>
          <w:tcPr>
            <w:tcW w:w="9030" w:type="dxa"/>
            <w:shd w:val="clear" w:color="auto" w:fill="auto"/>
          </w:tcPr>
          <w:p w14:paraId="7F681A5E" w14:textId="77777777" w:rsidR="0071415F" w:rsidRPr="000D2E4D" w:rsidRDefault="0071415F" w:rsidP="0071415F">
            <w:pPr>
              <w:pStyle w:val="Title"/>
              <w:rPr>
                <w:bCs w:val="0"/>
                <w:color w:val="000000"/>
                <w:sz w:val="22"/>
                <w:szCs w:val="22"/>
                <w:lang w:val="it-IT"/>
              </w:rPr>
            </w:pPr>
            <w:r>
              <w:rPr>
                <w:noProof/>
              </w:rPr>
              <w:lastRenderedPageBreak/>
              <w:drawing>
                <wp:inline distT="0" distB="0" distL="0" distR="0" wp14:anchorId="513C22D7" wp14:editId="0B116B0D">
                  <wp:extent cx="5939790" cy="1943100"/>
                  <wp:effectExtent l="0" t="0" r="3810" b="0"/>
                  <wp:docPr id="19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bl>
    <w:p w14:paraId="3FF35B2C" w14:textId="77777777" w:rsidR="0071415F" w:rsidRPr="00966878" w:rsidRDefault="0071415F" w:rsidP="00C65ABD">
      <w:pPr>
        <w:bidi w:val="0"/>
        <w:spacing w:after="0" w:line="240" w:lineRule="auto"/>
        <w:jc w:val="both"/>
        <w:rPr>
          <w:rFonts w:ascii="Arial" w:hAnsi="Arial"/>
          <w:color w:val="000000" w:themeColor="text1"/>
          <w:sz w:val="18"/>
          <w:szCs w:val="18"/>
        </w:rPr>
      </w:pPr>
      <w:r>
        <w:rPr>
          <w:rFonts w:ascii="Arial" w:hAnsi="Arial"/>
          <w:b/>
          <w:bCs/>
          <w:color w:val="000000"/>
          <w:sz w:val="18"/>
          <w:szCs w:val="18"/>
        </w:rPr>
        <w:t xml:space="preserve">Source:  </w:t>
      </w:r>
      <w:r w:rsidRPr="00966878">
        <w:rPr>
          <w:rFonts w:ascii="Arial" w:hAnsi="Arial"/>
          <w:b/>
          <w:bCs/>
          <w:color w:val="000000" w:themeColor="text1"/>
          <w:sz w:val="18"/>
          <w:szCs w:val="18"/>
        </w:rPr>
        <w:t>Palestinian Central Bureau of Statistics</w:t>
      </w:r>
      <w:r w:rsidRPr="00966878">
        <w:rPr>
          <w:rFonts w:ascii="Arial" w:hAnsi="Arial"/>
          <w:color w:val="000000" w:themeColor="text1"/>
          <w:sz w:val="18"/>
          <w:szCs w:val="18"/>
        </w:rPr>
        <w:t>, 2020. Palestinian Multiple Indicator Cluster Survey 2019-2020.  Ramallah – Palestine.</w:t>
      </w:r>
    </w:p>
    <w:p w14:paraId="75FD7475"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1769A5A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4957B1">
        <w:rPr>
          <w:rFonts w:ascii="Times New Roman" w:hAnsi="Times New Roman" w:cs="Times New Roman"/>
          <w:b/>
          <w:bCs/>
          <w:i/>
          <w:iCs/>
          <w:sz w:val="24"/>
          <w:szCs w:val="24"/>
        </w:rPr>
        <w:t>Indicator 6.2</w:t>
      </w:r>
      <w:r w:rsidRPr="00966878">
        <w:rPr>
          <w:rFonts w:ascii="Times New Roman" w:hAnsi="Times New Roman" w:cs="Times New Roman"/>
          <w:b/>
          <w:bCs/>
          <w:i/>
          <w:iCs/>
          <w:color w:val="000000" w:themeColor="text1"/>
          <w:sz w:val="24"/>
          <w:szCs w:val="24"/>
        </w:rPr>
        <w:t>.1 Proportion of population using safely managed sanitation services, including a hand-washing facility with soap and water</w:t>
      </w:r>
    </w:p>
    <w:p w14:paraId="4B0539A8" w14:textId="77777777" w:rsidR="00877949" w:rsidRPr="00966878"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281C623" w14:textId="77777777" w:rsidR="00DD0DC4" w:rsidRPr="0086098A" w:rsidRDefault="0071415F" w:rsidP="0086098A">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Around97.6% of populations in Palestine in 2019 use</w:t>
      </w:r>
      <w:r w:rsidR="009B50E8">
        <w:rPr>
          <w:rFonts w:ascii="Times New Roman" w:hAnsi="Times New Roman" w:cs="Times New Roman"/>
          <w:color w:val="000000" w:themeColor="text1"/>
          <w:sz w:val="24"/>
          <w:szCs w:val="24"/>
        </w:rPr>
        <w:t>d</w:t>
      </w:r>
      <w:r w:rsidRPr="00966878">
        <w:rPr>
          <w:rFonts w:ascii="Times New Roman" w:hAnsi="Times New Roman" w:cs="Times New Roman"/>
          <w:color w:val="000000" w:themeColor="text1"/>
          <w:sz w:val="24"/>
          <w:szCs w:val="24"/>
        </w:rPr>
        <w:t xml:space="preserve"> safely managed sanitation services, </w:t>
      </w:r>
      <w:r w:rsidR="009B50E8">
        <w:rPr>
          <w:rFonts w:ascii="Times New Roman" w:hAnsi="Times New Roman" w:cs="Times New Roman"/>
          <w:color w:val="000000" w:themeColor="text1"/>
          <w:sz w:val="24"/>
          <w:szCs w:val="24"/>
        </w:rPr>
        <w:t xml:space="preserve">with </w:t>
      </w:r>
      <w:r w:rsidRPr="00966878">
        <w:rPr>
          <w:rFonts w:ascii="Times New Roman" w:hAnsi="Times New Roman" w:cs="Times New Roman"/>
          <w:color w:val="000000" w:themeColor="text1"/>
          <w:sz w:val="24"/>
          <w:szCs w:val="24"/>
        </w:rPr>
        <w:t xml:space="preserve">around 97.8% in urban </w:t>
      </w:r>
      <w:r w:rsidR="009B50E8">
        <w:rPr>
          <w:rFonts w:ascii="Times New Roman" w:hAnsi="Times New Roman" w:cs="Times New Roman"/>
          <w:color w:val="000000" w:themeColor="text1"/>
          <w:sz w:val="24"/>
          <w:szCs w:val="24"/>
        </w:rPr>
        <w:t xml:space="preserve">areas, </w:t>
      </w:r>
      <w:r w:rsidRPr="00966878">
        <w:rPr>
          <w:rFonts w:ascii="Times New Roman" w:hAnsi="Times New Roman" w:cs="Times New Roman"/>
          <w:color w:val="000000" w:themeColor="text1"/>
          <w:sz w:val="24"/>
          <w:szCs w:val="24"/>
        </w:rPr>
        <w:t xml:space="preserve">98.5% in camps, </w:t>
      </w:r>
      <w:r w:rsidR="009B50E8">
        <w:rPr>
          <w:rFonts w:ascii="Times New Roman" w:hAnsi="Times New Roman" w:cs="Times New Roman"/>
          <w:color w:val="000000" w:themeColor="text1"/>
          <w:sz w:val="24"/>
          <w:szCs w:val="24"/>
        </w:rPr>
        <w:t>and</w:t>
      </w:r>
      <w:r w:rsidRPr="00966878">
        <w:rPr>
          <w:rFonts w:ascii="Times New Roman" w:hAnsi="Times New Roman" w:cs="Times New Roman"/>
          <w:color w:val="000000" w:themeColor="text1"/>
          <w:sz w:val="24"/>
          <w:szCs w:val="24"/>
        </w:rPr>
        <w:t xml:space="preserve"> 96.1% in rural areas.</w:t>
      </w:r>
    </w:p>
    <w:p w14:paraId="679AF9F7" w14:textId="77777777" w:rsidR="00DD0DC4" w:rsidRDefault="00DD0DC4" w:rsidP="00DD0DC4">
      <w:pPr>
        <w:tabs>
          <w:tab w:val="left" w:pos="9072"/>
        </w:tabs>
        <w:bidi w:val="0"/>
        <w:spacing w:after="0" w:line="240" w:lineRule="auto"/>
        <w:jc w:val="center"/>
        <w:rPr>
          <w:rFonts w:ascii="Arial" w:hAnsi="Arial"/>
          <w:b/>
          <w:bCs/>
          <w:color w:val="000000" w:themeColor="text1"/>
        </w:rPr>
      </w:pPr>
    </w:p>
    <w:p w14:paraId="3F745CFC" w14:textId="77777777" w:rsidR="0071415F" w:rsidRPr="00CD5DFB" w:rsidRDefault="0071415F" w:rsidP="000C43F6">
      <w:pPr>
        <w:tabs>
          <w:tab w:val="left" w:pos="9072"/>
        </w:tabs>
        <w:bidi w:val="0"/>
        <w:spacing w:after="0" w:line="240" w:lineRule="auto"/>
        <w:jc w:val="center"/>
        <w:rPr>
          <w:rFonts w:ascii="Arial" w:hAnsi="Arial"/>
          <w:b/>
          <w:bCs/>
        </w:rPr>
      </w:pPr>
      <w:r w:rsidRPr="000C43F6">
        <w:rPr>
          <w:rFonts w:ascii="Arial" w:hAnsi="Arial"/>
          <w:b/>
          <w:bCs/>
          <w:color w:val="000000" w:themeColor="text1"/>
        </w:rPr>
        <w:t xml:space="preserve">Proportion of Households* Using Safely Managed Sanitation Services for Selected </w:t>
      </w:r>
      <w:r w:rsidRPr="000C43F6">
        <w:rPr>
          <w:rFonts w:ascii="Arial" w:hAnsi="Arial"/>
          <w:b/>
          <w:bCs/>
        </w:rPr>
        <w:t>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E48AA4F" w14:textId="77777777" w:rsidTr="00D556CC">
        <w:trPr>
          <w:trHeight w:val="3100"/>
        </w:trPr>
        <w:tc>
          <w:tcPr>
            <w:tcW w:w="9060" w:type="dxa"/>
            <w:shd w:val="clear" w:color="auto" w:fill="auto"/>
          </w:tcPr>
          <w:p w14:paraId="6E200ABB"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36447624" wp14:editId="7B750131">
                  <wp:extent cx="5685155" cy="1951892"/>
                  <wp:effectExtent l="0" t="0" r="0" b="0"/>
                  <wp:docPr id="192"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bl>
    <w:p w14:paraId="24BA74A3" w14:textId="77777777" w:rsidR="0071415F" w:rsidRDefault="0071415F" w:rsidP="0071415F">
      <w:pPr>
        <w:bidi w:val="0"/>
        <w:spacing w:after="0" w:line="240" w:lineRule="auto"/>
        <w:jc w:val="both"/>
        <w:rPr>
          <w:rFonts w:ascii="Arial" w:hAnsi="Arial"/>
          <w:color w:val="000000"/>
          <w:sz w:val="18"/>
          <w:szCs w:val="18"/>
        </w:rPr>
      </w:pPr>
      <w:r>
        <w:rPr>
          <w:rFonts w:ascii="Arial" w:hAnsi="Arial"/>
          <w:b/>
          <w:bCs/>
          <w:color w:val="000000"/>
          <w:sz w:val="18"/>
          <w:szCs w:val="18"/>
        </w:rPr>
        <w:t xml:space="preserve">Source: </w:t>
      </w:r>
      <w:r w:rsidRPr="00D87188">
        <w:rPr>
          <w:rFonts w:ascii="Arial" w:hAnsi="Arial"/>
          <w:b/>
          <w:bCs/>
          <w:color w:val="000000"/>
          <w:sz w:val="18"/>
          <w:szCs w:val="18"/>
        </w:rPr>
        <w:t xml:space="preserve">Palestinian Central Bureau of </w:t>
      </w:r>
      <w:r w:rsidR="00C66B88" w:rsidRPr="00D87188">
        <w:rPr>
          <w:rFonts w:ascii="Arial" w:hAnsi="Arial"/>
          <w:b/>
          <w:bCs/>
          <w:color w:val="000000"/>
          <w:sz w:val="18"/>
          <w:szCs w:val="18"/>
        </w:rPr>
        <w:t>Statistics,</w:t>
      </w:r>
      <w:r w:rsidR="00C66B88" w:rsidRPr="00D87188">
        <w:rPr>
          <w:rFonts w:ascii="Arial" w:hAnsi="Arial"/>
          <w:color w:val="000000"/>
          <w:sz w:val="18"/>
          <w:szCs w:val="18"/>
        </w:rPr>
        <w:t xml:space="preserve"> Housing</w:t>
      </w:r>
      <w:r w:rsidRPr="00D87188">
        <w:rPr>
          <w:rFonts w:ascii="Arial" w:hAnsi="Arial"/>
          <w:color w:val="000000"/>
          <w:sz w:val="18"/>
          <w:szCs w:val="18"/>
        </w:rPr>
        <w:t xml:space="preserve"> and Housing Condition Survey Database,</w:t>
      </w:r>
      <w:r>
        <w:rPr>
          <w:rFonts w:ascii="Arial" w:hAnsi="Arial"/>
          <w:color w:val="000000"/>
          <w:sz w:val="18"/>
          <w:szCs w:val="18"/>
        </w:rPr>
        <w:t xml:space="preserve"> 2000-</w:t>
      </w:r>
    </w:p>
    <w:p w14:paraId="20196630" w14:textId="77777777" w:rsidR="0071415F" w:rsidRPr="00076B20" w:rsidRDefault="0071415F" w:rsidP="0071415F">
      <w:pPr>
        <w:bidi w:val="0"/>
        <w:spacing w:after="0" w:line="240" w:lineRule="auto"/>
        <w:jc w:val="both"/>
        <w:rPr>
          <w:rFonts w:ascii="Arial" w:hAnsi="Arial"/>
          <w:b/>
          <w:bCs/>
          <w:color w:val="000000"/>
          <w:sz w:val="18"/>
          <w:szCs w:val="18"/>
        </w:rPr>
      </w:pPr>
      <w:r>
        <w:rPr>
          <w:rFonts w:ascii="Arial" w:hAnsi="Arial"/>
          <w:color w:val="000000"/>
          <w:sz w:val="18"/>
          <w:szCs w:val="18"/>
        </w:rPr>
        <w:t xml:space="preserve">                2006. </w:t>
      </w:r>
      <w:r w:rsidRPr="00D87188">
        <w:rPr>
          <w:rFonts w:ascii="Arial" w:hAnsi="Arial"/>
          <w:color w:val="000000"/>
          <w:sz w:val="18"/>
          <w:szCs w:val="18"/>
        </w:rPr>
        <w:t>Ramallah - Palestine</w:t>
      </w:r>
    </w:p>
    <w:p w14:paraId="0971F22B" w14:textId="77777777" w:rsidR="0071415F" w:rsidRPr="00D87188" w:rsidRDefault="0071415F" w:rsidP="0071415F">
      <w:pPr>
        <w:bidi w:val="0"/>
        <w:spacing w:after="0" w:line="240" w:lineRule="auto"/>
        <w:ind w:left="810"/>
        <w:jc w:val="both"/>
        <w:rPr>
          <w:rFonts w:ascii="Arial" w:hAnsi="Arial"/>
          <w:color w:val="000000"/>
          <w:sz w:val="18"/>
          <w:szCs w:val="18"/>
        </w:rPr>
      </w:pPr>
      <w:r w:rsidRPr="00D87188">
        <w:rPr>
          <w:rFonts w:ascii="Arial" w:hAnsi="Arial"/>
          <w:b/>
          <w:bCs/>
          <w:color w:val="000000"/>
          <w:sz w:val="18"/>
          <w:szCs w:val="18"/>
        </w:rPr>
        <w:t xml:space="preserve">Palestinian Central Bureau of </w:t>
      </w:r>
      <w:r w:rsidR="00C66B88" w:rsidRPr="00D87188">
        <w:rPr>
          <w:rFonts w:ascii="Arial" w:hAnsi="Arial"/>
          <w:b/>
          <w:bCs/>
          <w:color w:val="000000"/>
          <w:sz w:val="18"/>
          <w:szCs w:val="18"/>
        </w:rPr>
        <w:t>Statistics,</w:t>
      </w:r>
      <w:r w:rsidR="00C66B88" w:rsidRPr="00D87188">
        <w:rPr>
          <w:rFonts w:ascii="Arial" w:hAnsi="Arial"/>
          <w:color w:val="000000"/>
          <w:sz w:val="18"/>
          <w:szCs w:val="18"/>
        </w:rPr>
        <w:t xml:space="preserve"> Population</w:t>
      </w:r>
      <w:r w:rsidRPr="00D87188">
        <w:rPr>
          <w:rFonts w:ascii="Arial" w:hAnsi="Arial"/>
          <w:color w:val="000000"/>
          <w:sz w:val="18"/>
          <w:szCs w:val="18"/>
        </w:rPr>
        <w:t>, Housing, and Establishment Census 2007</w:t>
      </w:r>
      <w:r>
        <w:rPr>
          <w:rFonts w:ascii="Arial" w:hAnsi="Arial"/>
          <w:color w:val="000000"/>
          <w:sz w:val="18"/>
          <w:szCs w:val="18"/>
        </w:rPr>
        <w:t>.</w:t>
      </w:r>
      <w:r w:rsidRPr="00D87188">
        <w:rPr>
          <w:rFonts w:ascii="Arial" w:hAnsi="Arial"/>
          <w:color w:val="000000"/>
          <w:sz w:val="18"/>
          <w:szCs w:val="18"/>
        </w:rPr>
        <w:t xml:space="preserve"> Ramallah - Palestine</w:t>
      </w:r>
    </w:p>
    <w:p w14:paraId="73640DF8" w14:textId="77777777" w:rsidR="0071415F" w:rsidRPr="00D87188" w:rsidRDefault="0071415F" w:rsidP="0071415F">
      <w:pPr>
        <w:bidi w:val="0"/>
        <w:spacing w:after="0" w:line="240" w:lineRule="auto"/>
        <w:ind w:left="810"/>
        <w:jc w:val="both"/>
        <w:rPr>
          <w:rFonts w:ascii="Arial" w:hAnsi="Arial"/>
          <w:color w:val="000000"/>
          <w:sz w:val="18"/>
          <w:szCs w:val="18"/>
        </w:rPr>
      </w:pPr>
      <w:r w:rsidRPr="00D87188">
        <w:rPr>
          <w:rFonts w:ascii="Arial" w:hAnsi="Arial"/>
          <w:b/>
          <w:bCs/>
          <w:color w:val="000000"/>
          <w:sz w:val="18"/>
          <w:szCs w:val="18"/>
        </w:rPr>
        <w:t xml:space="preserve">Palestinian Central Bureau of </w:t>
      </w:r>
      <w:r w:rsidR="00C66B88" w:rsidRPr="00D87188">
        <w:rPr>
          <w:rFonts w:ascii="Arial" w:hAnsi="Arial"/>
          <w:b/>
          <w:bCs/>
          <w:color w:val="000000"/>
          <w:sz w:val="18"/>
          <w:szCs w:val="18"/>
        </w:rPr>
        <w:t>Statistics,</w:t>
      </w:r>
      <w:r w:rsidR="00C66B88" w:rsidRPr="00536909">
        <w:rPr>
          <w:rFonts w:ascii="Arial" w:hAnsi="Arial"/>
          <w:color w:val="000000"/>
          <w:sz w:val="18"/>
          <w:szCs w:val="18"/>
        </w:rPr>
        <w:t xml:space="preserve"> Household</w:t>
      </w:r>
      <w:r w:rsidRPr="00536909">
        <w:rPr>
          <w:rFonts w:ascii="Arial" w:hAnsi="Arial"/>
          <w:color w:val="000000"/>
          <w:sz w:val="18"/>
          <w:szCs w:val="18"/>
        </w:rPr>
        <w:t xml:space="preserve"> Environment Survey Database_2011</w:t>
      </w:r>
      <w:r>
        <w:rPr>
          <w:rFonts w:ascii="Arial" w:hAnsi="Arial"/>
          <w:b/>
          <w:bCs/>
          <w:color w:val="000000"/>
          <w:sz w:val="18"/>
          <w:szCs w:val="18"/>
        </w:rPr>
        <w:t>.</w:t>
      </w:r>
      <w:r w:rsidRPr="00D87188">
        <w:rPr>
          <w:rFonts w:ascii="Arial" w:hAnsi="Arial"/>
          <w:color w:val="000000"/>
          <w:sz w:val="18"/>
          <w:szCs w:val="18"/>
        </w:rPr>
        <w:t xml:space="preserve"> Ramallah - Palestine</w:t>
      </w:r>
    </w:p>
    <w:p w14:paraId="6078E5B1" w14:textId="77777777" w:rsidR="0071415F" w:rsidRPr="00966878" w:rsidRDefault="0071415F" w:rsidP="0071415F">
      <w:pPr>
        <w:bidi w:val="0"/>
        <w:spacing w:after="0" w:line="240" w:lineRule="auto"/>
        <w:ind w:left="810"/>
        <w:jc w:val="both"/>
        <w:rPr>
          <w:rFonts w:ascii="Arial" w:hAnsi="Arial"/>
          <w:color w:val="000000" w:themeColor="text1"/>
          <w:sz w:val="18"/>
          <w:szCs w:val="18"/>
        </w:rPr>
      </w:pPr>
      <w:r w:rsidRPr="00D87188">
        <w:rPr>
          <w:rFonts w:ascii="Arial" w:hAnsi="Arial"/>
          <w:b/>
          <w:bCs/>
          <w:color w:val="000000"/>
          <w:sz w:val="18"/>
          <w:szCs w:val="18"/>
        </w:rPr>
        <w:t>Palestinian Central Bureau of Statistics,</w:t>
      </w:r>
      <w:r w:rsidRPr="00D87188">
        <w:rPr>
          <w:rFonts w:ascii="Arial" w:hAnsi="Arial"/>
          <w:color w:val="000000"/>
          <w:sz w:val="18"/>
          <w:szCs w:val="18"/>
        </w:rPr>
        <w:t xml:space="preserve"> Population, Housing and Establishments Census </w:t>
      </w:r>
      <w:r w:rsidRPr="00966878">
        <w:rPr>
          <w:rFonts w:ascii="Arial" w:hAnsi="Arial"/>
          <w:color w:val="000000" w:themeColor="text1"/>
          <w:sz w:val="18"/>
          <w:szCs w:val="18"/>
        </w:rPr>
        <w:t>2017:  Housing Report – Final Results- Palestine, 2017. Ramallah - Palestine.</w:t>
      </w:r>
    </w:p>
    <w:p w14:paraId="1910A838" w14:textId="77777777" w:rsidR="0071415F" w:rsidRPr="00966878" w:rsidRDefault="0071415F" w:rsidP="0071415F">
      <w:pPr>
        <w:bidi w:val="0"/>
        <w:spacing w:after="0" w:line="240" w:lineRule="auto"/>
        <w:ind w:left="810"/>
        <w:jc w:val="both"/>
        <w:rPr>
          <w:rFonts w:ascii="Arial" w:hAnsi="Arial"/>
          <w:color w:val="000000" w:themeColor="text1"/>
          <w:sz w:val="18"/>
          <w:szCs w:val="18"/>
        </w:rPr>
      </w:pPr>
      <w:r w:rsidRPr="00966878">
        <w:rPr>
          <w:rFonts w:ascii="Arial" w:hAnsi="Arial"/>
          <w:b/>
          <w:bCs/>
          <w:color w:val="000000" w:themeColor="text1"/>
          <w:sz w:val="18"/>
          <w:szCs w:val="18"/>
        </w:rPr>
        <w:t>Palestinian Central Bureau of Statistics</w:t>
      </w:r>
      <w:r w:rsidRPr="00966878">
        <w:rPr>
          <w:rFonts w:ascii="Arial" w:hAnsi="Arial"/>
          <w:color w:val="000000" w:themeColor="text1"/>
          <w:sz w:val="18"/>
          <w:szCs w:val="18"/>
        </w:rPr>
        <w:t>, 2020. Palestinian Multiple Indicator Cluster Survey 2019-2020.  Ramallah – Palestine.</w:t>
      </w:r>
    </w:p>
    <w:p w14:paraId="2F123BEB" w14:textId="77777777" w:rsidR="0071415F" w:rsidRPr="00966878" w:rsidRDefault="0071415F" w:rsidP="0071415F">
      <w:pPr>
        <w:bidi w:val="0"/>
        <w:spacing w:after="0" w:line="240" w:lineRule="auto"/>
        <w:jc w:val="both"/>
        <w:rPr>
          <w:rFonts w:ascii="Arial" w:hAnsi="Arial"/>
          <w:color w:val="000000" w:themeColor="text1"/>
          <w:sz w:val="18"/>
          <w:szCs w:val="18"/>
        </w:rPr>
      </w:pPr>
      <w:r w:rsidRPr="00966878">
        <w:rPr>
          <w:rFonts w:ascii="Arial" w:hAnsi="Arial"/>
          <w:color w:val="000000" w:themeColor="text1"/>
          <w:sz w:val="18"/>
          <w:szCs w:val="18"/>
        </w:rPr>
        <w:t>* Safely managed sanitation services for 2002, 2006, 2007, 2011, 2017, includes piped sewer system, cesspit and pit.</w:t>
      </w:r>
    </w:p>
    <w:p w14:paraId="69917C76" w14:textId="77777777" w:rsidR="0071415F" w:rsidRPr="00966878" w:rsidRDefault="0071415F" w:rsidP="0071415F">
      <w:pPr>
        <w:bidi w:val="0"/>
        <w:spacing w:after="0" w:line="240" w:lineRule="auto"/>
        <w:jc w:val="both"/>
        <w:rPr>
          <w:rFonts w:ascii="Arial" w:hAnsi="Arial"/>
          <w:color w:val="000000" w:themeColor="text1"/>
          <w:sz w:val="18"/>
          <w:szCs w:val="18"/>
        </w:rPr>
      </w:pPr>
    </w:p>
    <w:p w14:paraId="0D60AFC2"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On the other hand, data </w:t>
      </w:r>
      <w:r w:rsidR="009B50E8">
        <w:rPr>
          <w:rFonts w:ascii="Times New Roman" w:hAnsi="Times New Roman" w:cs="Times New Roman"/>
          <w:color w:val="000000" w:themeColor="text1"/>
          <w:sz w:val="24"/>
          <w:szCs w:val="24"/>
        </w:rPr>
        <w:t>from the</w:t>
      </w:r>
      <w:r w:rsidRPr="00966878">
        <w:rPr>
          <w:rFonts w:ascii="Times New Roman" w:hAnsi="Times New Roman" w:cs="Times New Roman"/>
          <w:bCs/>
          <w:iCs/>
          <w:color w:val="000000" w:themeColor="text1"/>
          <w:sz w:val="24"/>
          <w:szCs w:val="24"/>
        </w:rPr>
        <w:t>Palestinian</w:t>
      </w:r>
      <w:r w:rsidRPr="00966878">
        <w:rPr>
          <w:rFonts w:ascii="Times New Roman" w:hAnsi="Times New Roman" w:cs="Times New Roman"/>
          <w:color w:val="000000" w:themeColor="text1"/>
          <w:sz w:val="24"/>
          <w:szCs w:val="24"/>
        </w:rPr>
        <w:t xml:space="preserve"> Multiple Indicator Cluster Survey 2019-2020</w:t>
      </w:r>
      <w:r w:rsidRPr="00966878">
        <w:rPr>
          <w:rFonts w:ascii="Times New Roman" w:hAnsi="Times New Roman" w:cs="Times New Roman"/>
          <w:iCs/>
          <w:color w:val="000000" w:themeColor="text1"/>
          <w:sz w:val="24"/>
          <w:szCs w:val="24"/>
        </w:rPr>
        <w:t xml:space="preserve"> indicate</w:t>
      </w:r>
      <w:r w:rsidR="009B50E8">
        <w:rPr>
          <w:rFonts w:ascii="Times New Roman" w:hAnsi="Times New Roman" w:cs="Times New Roman"/>
          <w:iCs/>
          <w:color w:val="000000" w:themeColor="text1"/>
          <w:sz w:val="24"/>
          <w:szCs w:val="24"/>
        </w:rPr>
        <w:t>s</w:t>
      </w:r>
      <w:r w:rsidRPr="00F81490">
        <w:rPr>
          <w:rFonts w:ascii="Times New Roman" w:hAnsi="Times New Roman" w:cs="Times New Roman"/>
          <w:color w:val="000000" w:themeColor="text1"/>
          <w:sz w:val="24"/>
          <w:szCs w:val="24"/>
        </w:rPr>
        <w:t xml:space="preserve">that the proportion of population using a hand-washing facility with soap and water </w:t>
      </w:r>
      <w:r w:rsidRPr="00966878">
        <w:rPr>
          <w:rFonts w:ascii="Times New Roman" w:hAnsi="Times New Roman" w:cs="Times New Roman"/>
          <w:color w:val="000000" w:themeColor="text1"/>
          <w:sz w:val="24"/>
          <w:szCs w:val="24"/>
        </w:rPr>
        <w:t xml:space="preserve">in Palestine </w:t>
      </w:r>
      <w:r w:rsidR="009B50E8">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95.2% in 2019.</w:t>
      </w:r>
    </w:p>
    <w:p w14:paraId="514366BD"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1C94285" w14:textId="77777777" w:rsidR="00446CF3" w:rsidRPr="00966878" w:rsidRDefault="00446CF3" w:rsidP="00446CF3">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109A456" w14:textId="77777777" w:rsidR="006D0C5D" w:rsidRDefault="006D0C5D" w:rsidP="00B65D58">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9F23DAD" w14:textId="77777777" w:rsidR="0071415F" w:rsidRPr="00966878" w:rsidRDefault="0071415F" w:rsidP="006D0C5D">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lastRenderedPageBreak/>
        <w:t xml:space="preserve">Indicator 6.a.1 Amount of water-and sanitation-related official development assistance that is part of a government-coordinated spending plan </w:t>
      </w:r>
    </w:p>
    <w:p w14:paraId="4D34E5CC" w14:textId="77777777" w:rsidR="00BF4F06" w:rsidRPr="00966878" w:rsidRDefault="00BF4F06" w:rsidP="00BF4F06">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16095AF" w14:textId="77777777" w:rsidR="0071415F" w:rsidRPr="007B4A03" w:rsidRDefault="0071415F" w:rsidP="00897CE6">
      <w:pPr>
        <w:bidi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The official development assistance to the water and sanitation sectors in Palestine is volatile, whereas data for 2019 indicate</w:t>
      </w:r>
      <w:r w:rsidR="009B50E8">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that the total assistance amounted to 114.3 million USD compar</w:t>
      </w:r>
      <w:r w:rsidR="00AF0C00">
        <w:rPr>
          <w:rFonts w:ascii="Times New Roman" w:hAnsi="Times New Roman" w:cs="Times New Roman"/>
          <w:color w:val="000000" w:themeColor="text1"/>
          <w:sz w:val="24"/>
          <w:szCs w:val="24"/>
        </w:rPr>
        <w:t xml:space="preserve">ed with </w:t>
      </w:r>
      <w:r w:rsidR="00897CE6">
        <w:rPr>
          <w:rFonts w:ascii="Times New Roman" w:hAnsi="Times New Roman" w:cs="Times New Roman"/>
          <w:color w:val="000000" w:themeColor="text1"/>
          <w:sz w:val="24"/>
          <w:szCs w:val="24"/>
        </w:rPr>
        <w:t>117</w:t>
      </w:r>
      <w:r w:rsidR="00AF0C00">
        <w:rPr>
          <w:rFonts w:ascii="Times New Roman" w:hAnsi="Times New Roman" w:cs="Times New Roman"/>
          <w:color w:val="000000" w:themeColor="text1"/>
          <w:sz w:val="24"/>
          <w:szCs w:val="24"/>
        </w:rPr>
        <w:t xml:space="preserve"> million USD in </w:t>
      </w:r>
      <w:r w:rsidR="00897CE6">
        <w:rPr>
          <w:rFonts w:ascii="Times New Roman" w:hAnsi="Times New Roman" w:cs="Times New Roman"/>
          <w:color w:val="000000" w:themeColor="text1"/>
          <w:sz w:val="24"/>
          <w:szCs w:val="24"/>
        </w:rPr>
        <w:t>2015</w:t>
      </w:r>
      <w:r w:rsidR="00AF0C00">
        <w:rPr>
          <w:rFonts w:ascii="Times New Roman" w:hAnsi="Times New Roman" w:cs="Times New Roman"/>
          <w:color w:val="000000" w:themeColor="text1"/>
          <w:sz w:val="24"/>
          <w:szCs w:val="24"/>
        </w:rPr>
        <w:t>.</w:t>
      </w:r>
    </w:p>
    <w:p w14:paraId="715B147E" w14:textId="77777777" w:rsidR="00DD0DC4" w:rsidRDefault="00DD0DC4" w:rsidP="00DD0DC4">
      <w:pPr>
        <w:tabs>
          <w:tab w:val="left" w:pos="9072"/>
        </w:tabs>
        <w:bidi w:val="0"/>
        <w:spacing w:after="0" w:line="240" w:lineRule="auto"/>
        <w:jc w:val="center"/>
        <w:rPr>
          <w:rFonts w:ascii="Arial" w:hAnsi="Arial"/>
          <w:b/>
          <w:bCs/>
          <w:color w:val="000000" w:themeColor="text1"/>
        </w:rPr>
      </w:pPr>
    </w:p>
    <w:p w14:paraId="4E2E0F46" w14:textId="77777777" w:rsidR="00DD0DC4" w:rsidRDefault="00DD0DC4" w:rsidP="00DD0DC4">
      <w:pPr>
        <w:tabs>
          <w:tab w:val="left" w:pos="9072"/>
        </w:tabs>
        <w:bidi w:val="0"/>
        <w:spacing w:after="0" w:line="240" w:lineRule="auto"/>
        <w:jc w:val="center"/>
        <w:rPr>
          <w:rFonts w:ascii="Arial" w:hAnsi="Arial"/>
          <w:b/>
          <w:bCs/>
          <w:color w:val="000000" w:themeColor="text1"/>
        </w:rPr>
      </w:pPr>
    </w:p>
    <w:p w14:paraId="580CCC37" w14:textId="77777777" w:rsidR="0071415F" w:rsidRPr="00966878" w:rsidRDefault="0071415F" w:rsidP="0071415F">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 xml:space="preserve">Amount of </w:t>
      </w:r>
      <w:r w:rsidR="009B50E8">
        <w:rPr>
          <w:rFonts w:ascii="Arial" w:hAnsi="Arial"/>
          <w:b/>
          <w:bCs/>
          <w:color w:val="000000" w:themeColor="text1"/>
        </w:rPr>
        <w:t>W</w:t>
      </w:r>
      <w:r w:rsidRPr="00966878">
        <w:rPr>
          <w:rFonts w:ascii="Arial" w:hAnsi="Arial"/>
          <w:b/>
          <w:bCs/>
          <w:color w:val="000000" w:themeColor="text1"/>
        </w:rPr>
        <w:t xml:space="preserve">ater- and </w:t>
      </w:r>
      <w:r w:rsidR="009B50E8">
        <w:rPr>
          <w:rFonts w:ascii="Arial" w:hAnsi="Arial"/>
          <w:b/>
          <w:bCs/>
          <w:color w:val="000000" w:themeColor="text1"/>
        </w:rPr>
        <w:t>S</w:t>
      </w:r>
      <w:r w:rsidRPr="00966878">
        <w:rPr>
          <w:rFonts w:ascii="Arial" w:hAnsi="Arial"/>
          <w:b/>
          <w:bCs/>
          <w:color w:val="000000" w:themeColor="text1"/>
        </w:rPr>
        <w:t xml:space="preserve">anitation-related </w:t>
      </w:r>
      <w:r w:rsidR="009B50E8">
        <w:rPr>
          <w:rFonts w:ascii="Arial" w:hAnsi="Arial"/>
          <w:b/>
          <w:bCs/>
          <w:color w:val="000000" w:themeColor="text1"/>
        </w:rPr>
        <w:t>O</w:t>
      </w:r>
      <w:r w:rsidRPr="00966878">
        <w:rPr>
          <w:rFonts w:ascii="Arial" w:hAnsi="Arial"/>
          <w:b/>
          <w:bCs/>
          <w:color w:val="000000" w:themeColor="text1"/>
        </w:rPr>
        <w:t xml:space="preserve">fficial </w:t>
      </w:r>
      <w:r w:rsidR="009B50E8">
        <w:rPr>
          <w:rFonts w:ascii="Arial" w:hAnsi="Arial"/>
          <w:b/>
          <w:bCs/>
          <w:color w:val="000000" w:themeColor="text1"/>
        </w:rPr>
        <w:t>D</w:t>
      </w:r>
      <w:r w:rsidRPr="00966878">
        <w:rPr>
          <w:rFonts w:ascii="Arial" w:hAnsi="Arial"/>
          <w:b/>
          <w:bCs/>
          <w:color w:val="000000" w:themeColor="text1"/>
        </w:rPr>
        <w:t xml:space="preserve">evelopment </w:t>
      </w:r>
      <w:r w:rsidR="009B50E8">
        <w:rPr>
          <w:rFonts w:ascii="Arial" w:hAnsi="Arial"/>
          <w:b/>
          <w:bCs/>
          <w:color w:val="000000" w:themeColor="text1"/>
        </w:rPr>
        <w:t>A</w:t>
      </w:r>
      <w:r w:rsidRPr="00966878">
        <w:rPr>
          <w:rFonts w:ascii="Arial" w:hAnsi="Arial"/>
          <w:b/>
          <w:bCs/>
          <w:color w:val="000000" w:themeColor="text1"/>
        </w:rPr>
        <w:t xml:space="preserve">ssistance in Palestine for </w:t>
      </w:r>
      <w:r w:rsidR="009B50E8">
        <w:rPr>
          <w:rFonts w:ascii="Arial" w:hAnsi="Arial"/>
          <w:b/>
          <w:bCs/>
          <w:color w:val="000000" w:themeColor="text1"/>
        </w:rPr>
        <w:t>S</w:t>
      </w:r>
      <w:r w:rsidRPr="00966878">
        <w:rPr>
          <w:rFonts w:ascii="Arial" w:hAnsi="Arial"/>
          <w:b/>
          <w:bCs/>
          <w:color w:val="000000" w:themeColor="text1"/>
        </w:rPr>
        <w:t xml:space="preserve">elected </w:t>
      </w:r>
      <w:r w:rsidR="009B50E8">
        <w:rPr>
          <w:rFonts w:ascii="Arial" w:hAnsi="Arial"/>
          <w:b/>
          <w:bCs/>
          <w:color w:val="000000" w:themeColor="text1"/>
        </w:rPr>
        <w:t>Y</w:t>
      </w:r>
      <w:r w:rsidRPr="00966878">
        <w:rPr>
          <w:rFonts w:ascii="Arial" w:hAnsi="Arial"/>
          <w:b/>
          <w:bCs/>
          <w:color w:val="000000" w:themeColor="text1"/>
        </w:rPr>
        <w:t>ears (Million USD)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ED60F35" w14:textId="77777777" w:rsidTr="0071415F">
        <w:tc>
          <w:tcPr>
            <w:tcW w:w="9286" w:type="dxa"/>
            <w:shd w:val="clear" w:color="auto" w:fill="auto"/>
          </w:tcPr>
          <w:p w14:paraId="7E03475F"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noProof/>
                <w:sz w:val="28"/>
                <w:szCs w:val="28"/>
              </w:rPr>
              <w:drawing>
                <wp:inline distT="0" distB="0" distL="0" distR="0" wp14:anchorId="52BBA4E5" wp14:editId="03B1B4D8">
                  <wp:extent cx="5430520" cy="2361565"/>
                  <wp:effectExtent l="0" t="0" r="0" b="0"/>
                  <wp:docPr id="7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bl>
    <w:p w14:paraId="55123C4B" w14:textId="77777777" w:rsidR="0071415F" w:rsidRDefault="0071415F" w:rsidP="007141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jc w:val="both"/>
        <w:rPr>
          <w:rFonts w:ascii="Arial" w:hAnsi="Arial"/>
          <w:sz w:val="18"/>
          <w:szCs w:val="18"/>
        </w:rPr>
      </w:pPr>
      <w:r w:rsidRPr="00240DF3">
        <w:rPr>
          <w:rFonts w:ascii="Arial" w:hAnsi="Arial"/>
          <w:b/>
          <w:bCs/>
          <w:color w:val="000000"/>
          <w:sz w:val="18"/>
          <w:szCs w:val="18"/>
        </w:rPr>
        <w:t>Source:</w:t>
      </w:r>
      <w:r w:rsidRPr="00240DF3">
        <w:rPr>
          <w:rFonts w:ascii="Arial" w:hAnsi="Arial"/>
          <w:sz w:val="18"/>
          <w:szCs w:val="18"/>
        </w:rPr>
        <w:t>https://unstats.un.org/sdgs/indicators/database</w:t>
      </w:r>
    </w:p>
    <w:p w14:paraId="379FF37F" w14:textId="77777777" w:rsidR="0071415F" w:rsidRPr="00A44E81" w:rsidRDefault="0071415F" w:rsidP="0071415F">
      <w:pPr>
        <w:autoSpaceDE w:val="0"/>
        <w:autoSpaceDN w:val="0"/>
        <w:bidi w:val="0"/>
        <w:adjustRightInd w:val="0"/>
        <w:spacing w:after="0" w:line="240" w:lineRule="auto"/>
        <w:jc w:val="both"/>
        <w:rPr>
          <w:rFonts w:ascii="Times New Roman" w:hAnsi="Times New Roman" w:cs="Times New Roman"/>
          <w:b/>
          <w:sz w:val="28"/>
          <w:szCs w:val="28"/>
        </w:rPr>
      </w:pPr>
    </w:p>
    <w:p w14:paraId="0E4D1858"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D0D62">
        <w:rPr>
          <w:rFonts w:ascii="Times New Roman" w:hAnsi="Times New Roman" w:cs="Times New Roman"/>
          <w:b/>
          <w:bCs/>
          <w:sz w:val="24"/>
          <w:szCs w:val="24"/>
        </w:rPr>
        <w:t>Summary</w:t>
      </w:r>
    </w:p>
    <w:p w14:paraId="3EABAD34"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Achieving the basic needs of the Pa</w:t>
      </w:r>
      <w:r w:rsidRPr="00966878">
        <w:rPr>
          <w:rFonts w:ascii="Times New Roman" w:hAnsi="Times New Roman" w:cs="Times New Roman"/>
          <w:color w:val="000000" w:themeColor="text1"/>
          <w:sz w:val="24"/>
          <w:szCs w:val="24"/>
        </w:rPr>
        <w:t xml:space="preserve">lestinian population is a national priority, and the government is struggling to expand access to safe drinking water and sanitation.  The proportion of population using safely managed drinking water services in Palestine </w:t>
      </w:r>
      <w:r w:rsidR="009B50E8">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39.5% in 2019 (66.2% in the West Bank and 4.3% in Gaza Strip), </w:t>
      </w:r>
      <w:r w:rsidR="00CE3478">
        <w:rPr>
          <w:rFonts w:ascii="Times New Roman" w:hAnsi="Times New Roman" w:cs="Times New Roman"/>
          <w:color w:val="000000" w:themeColor="text1"/>
          <w:sz w:val="24"/>
          <w:szCs w:val="24"/>
        </w:rPr>
        <w:t>thus, a</w:t>
      </w:r>
      <w:r w:rsidRPr="00966878">
        <w:rPr>
          <w:rFonts w:ascii="Times New Roman" w:hAnsi="Times New Roman" w:cs="Times New Roman"/>
          <w:color w:val="000000" w:themeColor="text1"/>
          <w:sz w:val="24"/>
          <w:szCs w:val="24"/>
        </w:rPr>
        <w:t xml:space="preserve"> flag </w:t>
      </w:r>
      <w:r w:rsidR="00CE3478">
        <w:rPr>
          <w:rFonts w:ascii="Times New Roman" w:hAnsi="Times New Roman" w:cs="Times New Roman"/>
          <w:color w:val="000000" w:themeColor="text1"/>
          <w:sz w:val="24"/>
          <w:szCs w:val="24"/>
        </w:rPr>
        <w:t xml:space="preserve">must be raised </w:t>
      </w:r>
      <w:r w:rsidRPr="00966878">
        <w:rPr>
          <w:rFonts w:ascii="Times New Roman" w:hAnsi="Times New Roman" w:cs="Times New Roman"/>
          <w:color w:val="000000" w:themeColor="text1"/>
          <w:sz w:val="24"/>
          <w:szCs w:val="24"/>
        </w:rPr>
        <w:t xml:space="preserve">to highlight and solve this problem, </w:t>
      </w:r>
      <w:r w:rsidR="00CE3478">
        <w:rPr>
          <w:rFonts w:ascii="Times New Roman" w:hAnsi="Times New Roman" w:cs="Times New Roman"/>
          <w:color w:val="000000" w:themeColor="text1"/>
          <w:sz w:val="24"/>
          <w:szCs w:val="24"/>
        </w:rPr>
        <w:t>particularly</w:t>
      </w:r>
      <w:r w:rsidRPr="00966878">
        <w:rPr>
          <w:rFonts w:ascii="Times New Roman" w:hAnsi="Times New Roman" w:cs="Times New Roman"/>
          <w:color w:val="000000" w:themeColor="text1"/>
          <w:sz w:val="24"/>
          <w:szCs w:val="24"/>
        </w:rPr>
        <w:t xml:space="preserve"> in </w:t>
      </w:r>
      <w:r w:rsidR="00CE3478">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 xml:space="preserve">Gaza </w:t>
      </w:r>
      <w:r w:rsidRPr="00DD0D62">
        <w:rPr>
          <w:rFonts w:ascii="Times New Roman" w:hAnsi="Times New Roman" w:cs="Times New Roman"/>
          <w:sz w:val="24"/>
          <w:szCs w:val="24"/>
        </w:rPr>
        <w:t>strip.</w:t>
      </w:r>
    </w:p>
    <w:p w14:paraId="5B20776F"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0792CB79"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259494E2"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50207738"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088A8660" w14:textId="77777777" w:rsidR="00D556CC" w:rsidRDefault="00D556CC">
      <w:pPr>
        <w:bidi w:val="0"/>
      </w:pPr>
      <w:r>
        <w:br w:type="page"/>
      </w:r>
    </w:p>
    <w:tbl>
      <w:tblPr>
        <w:tblW w:w="9311" w:type="dxa"/>
        <w:tblBorders>
          <w:top w:val="thinThickSmallGap" w:sz="24" w:space="0" w:color="F9AF2A"/>
          <w:left w:val="thinThickSmallGap" w:sz="24" w:space="0" w:color="F9AF2A"/>
          <w:bottom w:val="thinThickSmallGap" w:sz="24" w:space="0" w:color="F9AF2A"/>
          <w:right w:val="thinThickSmallGap" w:sz="24" w:space="0" w:color="F9AF2A"/>
        </w:tblBorders>
        <w:tblLook w:val="04A0" w:firstRow="1" w:lastRow="0" w:firstColumn="1" w:lastColumn="0" w:noHBand="0" w:noVBand="1"/>
      </w:tblPr>
      <w:tblGrid>
        <w:gridCol w:w="2084"/>
        <w:gridCol w:w="7227"/>
      </w:tblGrid>
      <w:tr w:rsidR="0071415F" w:rsidRPr="000D2E4D" w14:paraId="09C27535" w14:textId="77777777" w:rsidTr="0071415F">
        <w:tc>
          <w:tcPr>
            <w:tcW w:w="2084" w:type="dxa"/>
            <w:shd w:val="clear" w:color="auto" w:fill="auto"/>
            <w:vAlign w:val="center"/>
          </w:tcPr>
          <w:p w14:paraId="4551BAFC" w14:textId="77777777" w:rsidR="0071415F" w:rsidRPr="000D2E4D" w:rsidRDefault="0071415F" w:rsidP="0071415F">
            <w:pPr>
              <w:pStyle w:val="Header"/>
              <w:tabs>
                <w:tab w:val="left" w:pos="720"/>
              </w:tabs>
              <w:bidi w:val="0"/>
              <w:jc w:val="center"/>
              <w:rPr>
                <w:rFonts w:ascii="Times New Roman" w:hAnsi="Times New Roman" w:cs="Times New Roman"/>
                <w:b/>
                <w:bCs/>
                <w:color w:val="000000"/>
                <w:sz w:val="24"/>
                <w:szCs w:val="24"/>
                <w:lang w:val="it-IT"/>
              </w:rPr>
            </w:pPr>
            <w:r w:rsidRPr="00ED650C">
              <w:rPr>
                <w:rFonts w:ascii="Times New Roman" w:hAnsi="Times New Roman" w:cs="Times New Roman"/>
                <w:sz w:val="24"/>
                <w:szCs w:val="24"/>
              </w:rPr>
              <w:lastRenderedPageBreak/>
              <w:br w:type="page"/>
            </w:r>
            <w:r>
              <w:rPr>
                <w:noProof/>
              </w:rPr>
              <w:drawing>
                <wp:inline distT="0" distB="0" distL="0" distR="0" wp14:anchorId="5373792A" wp14:editId="0FFC3107">
                  <wp:extent cx="1121410" cy="1073150"/>
                  <wp:effectExtent l="19050" t="0" r="2540" b="0"/>
                  <wp:docPr id="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0" cstate="print"/>
                          <a:srcRect/>
                          <a:stretch>
                            <a:fillRect/>
                          </a:stretch>
                        </pic:blipFill>
                        <pic:spPr bwMode="auto">
                          <a:xfrm>
                            <a:off x="0" y="0"/>
                            <a:ext cx="1121410" cy="1073150"/>
                          </a:xfrm>
                          <a:prstGeom prst="rect">
                            <a:avLst/>
                          </a:prstGeom>
                          <a:noFill/>
                          <a:ln w="9525">
                            <a:noFill/>
                            <a:miter lim="800000"/>
                            <a:headEnd/>
                            <a:tailEnd/>
                          </a:ln>
                        </pic:spPr>
                      </pic:pic>
                    </a:graphicData>
                  </a:graphic>
                </wp:inline>
              </w:drawing>
            </w:r>
          </w:p>
        </w:tc>
        <w:tc>
          <w:tcPr>
            <w:tcW w:w="7227" w:type="dxa"/>
            <w:shd w:val="clear" w:color="auto" w:fill="auto"/>
            <w:vAlign w:val="center"/>
          </w:tcPr>
          <w:p w14:paraId="6B7F3288" w14:textId="77777777" w:rsidR="0071415F" w:rsidRPr="000D2E4D" w:rsidRDefault="0071415F" w:rsidP="0071415F">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Pr="000D2E4D">
              <w:rPr>
                <w:rFonts w:ascii="Times New Roman" w:hAnsi="Times New Roman" w:cs="Times New Roman" w:hint="cs"/>
                <w:b/>
                <w:color w:val="000000"/>
                <w:sz w:val="28"/>
                <w:szCs w:val="28"/>
                <w:rtl/>
              </w:rPr>
              <w:t>7</w:t>
            </w:r>
            <w:r w:rsidRPr="000D2E4D">
              <w:rPr>
                <w:rFonts w:ascii="Times New Roman" w:hAnsi="Times New Roman" w:cs="Times New Roman"/>
                <w:b/>
                <w:color w:val="000000"/>
                <w:sz w:val="28"/>
                <w:szCs w:val="28"/>
              </w:rPr>
              <w:t xml:space="preserve"> – Ensure Access To Affordable, Reliable, Sustainable </w:t>
            </w:r>
            <w:r w:rsidR="009B50E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Modern Energy For All</w:t>
            </w:r>
          </w:p>
        </w:tc>
      </w:tr>
    </w:tbl>
    <w:p w14:paraId="04173804" w14:textId="77777777" w:rsidR="0071415F" w:rsidRDefault="0071415F" w:rsidP="0071415F">
      <w:pPr>
        <w:bidi w:val="0"/>
        <w:spacing w:after="0" w:line="240" w:lineRule="auto"/>
        <w:ind w:right="-334"/>
        <w:jc w:val="both"/>
        <w:rPr>
          <w:rFonts w:ascii="Times New Roman" w:hAnsi="Times New Roman" w:cs="Times New Roman"/>
          <w:b/>
          <w:sz w:val="24"/>
          <w:szCs w:val="24"/>
        </w:rPr>
      </w:pPr>
    </w:p>
    <w:p w14:paraId="09CCA90E" w14:textId="77777777" w:rsidR="0071415F" w:rsidRPr="00FE68DF" w:rsidRDefault="0071415F" w:rsidP="0071415F">
      <w:pPr>
        <w:bidi w:val="0"/>
        <w:spacing w:after="0" w:line="240" w:lineRule="auto"/>
        <w:ind w:right="-334"/>
        <w:jc w:val="both"/>
        <w:rPr>
          <w:rFonts w:ascii="Times New Roman" w:hAnsi="Times New Roman" w:cs="Times New Roman"/>
          <w:b/>
          <w:bCs/>
          <w:sz w:val="24"/>
          <w:szCs w:val="24"/>
          <w:lang w:eastAsia="ar-SA"/>
        </w:rPr>
      </w:pPr>
      <w:r w:rsidRPr="00FE68DF">
        <w:rPr>
          <w:rFonts w:ascii="Times New Roman" w:hAnsi="Times New Roman" w:cs="Times New Roman"/>
          <w:b/>
          <w:bCs/>
          <w:sz w:val="24"/>
          <w:szCs w:val="24"/>
          <w:lang w:eastAsia="ar-SA"/>
        </w:rPr>
        <w:t>Introduction to the Goal</w:t>
      </w:r>
    </w:p>
    <w:p w14:paraId="0B7E2906" w14:textId="77777777" w:rsidR="0071415F" w:rsidRDefault="008B1779" w:rsidP="0071415F">
      <w:pPr>
        <w:bidi w:val="0"/>
        <w:spacing w:after="0" w:line="240" w:lineRule="auto"/>
        <w:ind w:right="-334"/>
        <w:jc w:val="both"/>
        <w:rPr>
          <w:rFonts w:ascii="Times New Roman" w:hAnsi="Times New Roman" w:cs="Times New Roman"/>
          <w:sz w:val="24"/>
          <w:szCs w:val="24"/>
          <w:lang w:eastAsia="ar-SA"/>
        </w:rPr>
      </w:pPr>
      <w:r>
        <w:rPr>
          <w:rFonts w:ascii="Times New Roman" w:hAnsi="Times New Roman" w:cs="Times New Roman"/>
          <w:sz w:val="24"/>
          <w:szCs w:val="24"/>
          <w:lang w:eastAsia="ar-SA"/>
        </w:rPr>
        <w:t>G</w:t>
      </w:r>
      <w:r w:rsidR="0071415F" w:rsidRPr="00FE68DF">
        <w:rPr>
          <w:rFonts w:ascii="Times New Roman" w:hAnsi="Times New Roman" w:cs="Times New Roman"/>
          <w:sz w:val="24"/>
          <w:szCs w:val="24"/>
          <w:lang w:eastAsia="ar-SA"/>
        </w:rPr>
        <w:t>oal 7 of ensuring universal access to affordable, reliable, sustainable and modern energy services is especially relevant for enabling inclusion and fairness in use of energy resources and for the positive returns that a more efficient and rational use of these resources can have on both economic and social development and in terms of energy and environmental sustainability. The use of inefficient and unsafe technologies and ‘unclean’ fuels, indeed, affects the quantity and quality of energy consumption, incurring significant social, economic</w:t>
      </w:r>
      <w:r>
        <w:rPr>
          <w:rFonts w:ascii="Times New Roman" w:hAnsi="Times New Roman" w:cs="Times New Roman"/>
          <w:sz w:val="24"/>
          <w:szCs w:val="24"/>
          <w:lang w:eastAsia="ar-SA"/>
        </w:rPr>
        <w:t>,</w:t>
      </w:r>
      <w:r w:rsidR="0071415F" w:rsidRPr="00FE68DF">
        <w:rPr>
          <w:rFonts w:ascii="Times New Roman" w:hAnsi="Times New Roman" w:cs="Times New Roman"/>
          <w:sz w:val="24"/>
          <w:szCs w:val="24"/>
          <w:lang w:eastAsia="ar-SA"/>
        </w:rPr>
        <w:t xml:space="preserve"> and environmental costs. This is not only in terms of the continuing depletion of energy resources to exhaustion, but also with respect to health risks tied to emissions of harmful gases, both domestically and in the air. From this point of view, one sees a great disparity of opportunity globally and </w:t>
      </w:r>
      <w:r>
        <w:rPr>
          <w:rFonts w:ascii="Times New Roman" w:hAnsi="Times New Roman" w:cs="Times New Roman"/>
          <w:sz w:val="24"/>
          <w:szCs w:val="24"/>
          <w:lang w:eastAsia="ar-SA"/>
        </w:rPr>
        <w:t>particularly</w:t>
      </w:r>
      <w:r w:rsidR="0071415F" w:rsidRPr="00FE68DF">
        <w:rPr>
          <w:rFonts w:ascii="Times New Roman" w:hAnsi="Times New Roman" w:cs="Times New Roman"/>
          <w:sz w:val="24"/>
          <w:szCs w:val="24"/>
          <w:lang w:eastAsia="ar-SA"/>
        </w:rPr>
        <w:t xml:space="preserve"> between urban and rural areas and between more and less developed countries, all to the advantage of the former. On the other hand, the increase in energy consumption from renewable sources and improvements to energy efficiency are very relevant goals for the most developed economies, which indeed are often the biggest consumers.</w:t>
      </w:r>
    </w:p>
    <w:p w14:paraId="01F881BB" w14:textId="77777777" w:rsidR="0071415F" w:rsidRPr="00FE68DF" w:rsidRDefault="0071415F" w:rsidP="0071415F">
      <w:pPr>
        <w:bidi w:val="0"/>
        <w:spacing w:after="0" w:line="240" w:lineRule="auto"/>
        <w:ind w:right="-334"/>
        <w:jc w:val="both"/>
        <w:rPr>
          <w:rFonts w:ascii="Times New Roman" w:hAnsi="Times New Roman" w:cs="Times New Roman"/>
          <w:sz w:val="24"/>
          <w:szCs w:val="24"/>
          <w:lang w:eastAsia="ar-SA"/>
        </w:rPr>
      </w:pPr>
    </w:p>
    <w:p w14:paraId="35959F67" w14:textId="77777777" w:rsidR="0071415F" w:rsidRPr="00FE68DF" w:rsidRDefault="0071415F" w:rsidP="0071415F">
      <w:pPr>
        <w:bidi w:val="0"/>
        <w:spacing w:after="0" w:line="240" w:lineRule="auto"/>
        <w:ind w:right="-334"/>
        <w:jc w:val="both"/>
        <w:rPr>
          <w:rFonts w:ascii="Times New Roman" w:hAnsi="Times New Roman" w:cs="Times New Roman"/>
          <w:b/>
          <w:bCs/>
          <w:sz w:val="24"/>
          <w:szCs w:val="24"/>
          <w:lang w:eastAsia="ar-SA"/>
        </w:rPr>
      </w:pPr>
      <w:r w:rsidRPr="00FE68DF">
        <w:rPr>
          <w:rFonts w:ascii="Times New Roman" w:hAnsi="Times New Roman" w:cs="Times New Roman"/>
          <w:b/>
          <w:bCs/>
          <w:sz w:val="24"/>
          <w:szCs w:val="24"/>
          <w:lang w:eastAsia="ar-SA"/>
        </w:rPr>
        <w:t>Targets</w:t>
      </w:r>
    </w:p>
    <w:p w14:paraId="4810FC4D" w14:textId="77777777" w:rsidR="0071415F" w:rsidRPr="00FE68DF" w:rsidRDefault="0071415F" w:rsidP="0071415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Goal 7 is broken down into </w:t>
      </w:r>
      <w:r w:rsidR="008B1779">
        <w:rPr>
          <w:rFonts w:ascii="Times New Roman" w:hAnsi="Times New Roman" w:cs="Times New Roman"/>
          <w:sz w:val="24"/>
          <w:szCs w:val="24"/>
          <w:lang w:eastAsia="ar-SA"/>
        </w:rPr>
        <w:t>fivet</w:t>
      </w:r>
      <w:r w:rsidRPr="00FE68DF">
        <w:rPr>
          <w:rFonts w:ascii="Times New Roman" w:hAnsi="Times New Roman" w:cs="Times New Roman"/>
          <w:sz w:val="24"/>
          <w:szCs w:val="24"/>
          <w:lang w:eastAsia="ar-SA"/>
        </w:rPr>
        <w:t xml:space="preserve">argets, of which the last </w:t>
      </w:r>
      <w:r w:rsidR="008B1779">
        <w:rPr>
          <w:rFonts w:ascii="Times New Roman" w:hAnsi="Times New Roman" w:cs="Times New Roman"/>
          <w:sz w:val="24"/>
          <w:szCs w:val="24"/>
          <w:lang w:eastAsia="ar-SA"/>
        </w:rPr>
        <w:t>two</w:t>
      </w:r>
      <w:r w:rsidRPr="00FE68DF">
        <w:rPr>
          <w:rFonts w:ascii="Times New Roman" w:hAnsi="Times New Roman" w:cs="Times New Roman"/>
          <w:sz w:val="24"/>
          <w:szCs w:val="24"/>
          <w:lang w:eastAsia="ar-SA"/>
        </w:rPr>
        <w:t xml:space="preserve"> refer to means of implementation: </w:t>
      </w:r>
    </w:p>
    <w:p w14:paraId="4EABE432"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7.1 </w:t>
      </w:r>
    </w:p>
    <w:p w14:paraId="335E4448" w14:textId="77777777" w:rsidR="0071415F" w:rsidRPr="0018402D" w:rsidRDefault="0071415F" w:rsidP="0071415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ensure universal access to affordable, reliable and modern energy services</w:t>
      </w:r>
      <w:r w:rsidR="00D46D9A">
        <w:rPr>
          <w:rFonts w:ascii="Times New Roman" w:hAnsi="Times New Roman" w:cs="Times New Roman"/>
          <w:sz w:val="24"/>
          <w:szCs w:val="24"/>
          <w:lang w:eastAsia="ar-SA"/>
        </w:rPr>
        <w:t>.</w:t>
      </w:r>
    </w:p>
    <w:p w14:paraId="426E4A22" w14:textId="77777777" w:rsidR="0071415F" w:rsidRPr="00FE68DF" w:rsidRDefault="0071415F" w:rsidP="0071415F">
      <w:pPr>
        <w:bidi w:val="0"/>
        <w:spacing w:after="0" w:line="240" w:lineRule="auto"/>
        <w:ind w:right="-334"/>
        <w:jc w:val="both"/>
        <w:rPr>
          <w:rFonts w:ascii="Times New Roman" w:hAnsi="Times New Roman" w:cs="Times New Roman"/>
          <w:b/>
          <w:bCs/>
          <w:sz w:val="10"/>
          <w:szCs w:val="10"/>
          <w:lang w:eastAsia="ar-SA"/>
        </w:rPr>
      </w:pPr>
    </w:p>
    <w:p w14:paraId="1C1EDB3D"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7.2 </w:t>
      </w:r>
    </w:p>
    <w:p w14:paraId="66CD6150" w14:textId="77777777" w:rsidR="0071415F" w:rsidRPr="0018402D" w:rsidRDefault="0071415F" w:rsidP="0071415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increase substantially the share of renewable energy in the global energy mix</w:t>
      </w:r>
      <w:r w:rsidR="00D46D9A">
        <w:rPr>
          <w:rFonts w:ascii="Times New Roman" w:hAnsi="Times New Roman" w:cs="Times New Roman"/>
          <w:sz w:val="24"/>
          <w:szCs w:val="24"/>
          <w:lang w:eastAsia="ar-SA"/>
        </w:rPr>
        <w:t>.</w:t>
      </w:r>
    </w:p>
    <w:p w14:paraId="701B3611" w14:textId="77777777" w:rsidR="0071415F" w:rsidRPr="00FE68DF" w:rsidRDefault="0071415F" w:rsidP="0071415F">
      <w:pPr>
        <w:bidi w:val="0"/>
        <w:spacing w:after="0" w:line="240" w:lineRule="auto"/>
        <w:ind w:right="-334"/>
        <w:jc w:val="both"/>
        <w:rPr>
          <w:rFonts w:ascii="Times New Roman" w:hAnsi="Times New Roman" w:cs="Times New Roman"/>
          <w:b/>
          <w:bCs/>
          <w:sz w:val="10"/>
          <w:szCs w:val="10"/>
          <w:lang w:eastAsia="ar-SA"/>
        </w:rPr>
      </w:pPr>
    </w:p>
    <w:p w14:paraId="5EF61B9E"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7.3 </w:t>
      </w:r>
    </w:p>
    <w:p w14:paraId="228E568A" w14:textId="77777777" w:rsidR="0071415F" w:rsidRPr="0018402D" w:rsidRDefault="0071415F" w:rsidP="0071415F">
      <w:pPr>
        <w:bidi w:val="0"/>
        <w:spacing w:after="0" w:line="240" w:lineRule="auto"/>
        <w:ind w:right="-334"/>
        <w:jc w:val="both"/>
        <w:rPr>
          <w:rFonts w:ascii="Times New Roman" w:hAnsi="Times New Roman" w:cs="Times New Roman"/>
          <w:sz w:val="24"/>
          <w:szCs w:val="24"/>
        </w:rPr>
      </w:pPr>
      <w:r w:rsidRPr="0018402D">
        <w:rPr>
          <w:rFonts w:ascii="Times New Roman" w:hAnsi="Times New Roman" w:cs="Times New Roman"/>
          <w:sz w:val="24"/>
          <w:szCs w:val="24"/>
          <w:lang w:eastAsia="ar-SA"/>
        </w:rPr>
        <w:t>By 2030, double the global rate of improvement in energy efficiency</w:t>
      </w:r>
      <w:r w:rsidR="00D46D9A">
        <w:rPr>
          <w:rFonts w:ascii="Times New Roman" w:hAnsi="Times New Roman" w:cs="Times New Roman"/>
          <w:sz w:val="24"/>
          <w:szCs w:val="24"/>
          <w:lang w:eastAsia="ar-SA"/>
        </w:rPr>
        <w:t>.</w:t>
      </w:r>
    </w:p>
    <w:p w14:paraId="499AB350" w14:textId="77777777" w:rsidR="0071415F" w:rsidRPr="00FE68DF" w:rsidRDefault="0071415F" w:rsidP="0071415F">
      <w:pPr>
        <w:bidi w:val="0"/>
        <w:spacing w:after="0" w:line="240" w:lineRule="auto"/>
        <w:ind w:right="-334"/>
        <w:jc w:val="both"/>
        <w:rPr>
          <w:rFonts w:ascii="Times New Roman" w:hAnsi="Times New Roman" w:cs="Times New Roman"/>
          <w:b/>
          <w:bCs/>
          <w:sz w:val="10"/>
          <w:szCs w:val="10"/>
          <w:lang w:eastAsia="ar-SA"/>
        </w:rPr>
      </w:pPr>
    </w:p>
    <w:p w14:paraId="4EDDF355"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7.a</w:t>
      </w:r>
    </w:p>
    <w:p w14:paraId="33CCD39B" w14:textId="77777777" w:rsidR="0071415F" w:rsidRPr="0018402D" w:rsidRDefault="0071415F" w:rsidP="0071415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enhance international cooperation to facilitate access to clean energy research and technology, including renewable energy, energy efficiency and advanced and cleaner fossil-fuel technology, and promote investment in energy infrastructure and clean energy technology</w:t>
      </w:r>
      <w:r w:rsidR="00D46D9A">
        <w:rPr>
          <w:rFonts w:ascii="Times New Roman" w:hAnsi="Times New Roman" w:cs="Times New Roman"/>
          <w:sz w:val="24"/>
          <w:szCs w:val="24"/>
          <w:lang w:eastAsia="ar-SA"/>
        </w:rPr>
        <w:t>.</w:t>
      </w:r>
    </w:p>
    <w:p w14:paraId="53DE9EF9" w14:textId="77777777" w:rsidR="0071415F" w:rsidRPr="00FE68DF" w:rsidRDefault="0071415F" w:rsidP="0071415F">
      <w:pPr>
        <w:bidi w:val="0"/>
        <w:spacing w:after="0" w:line="240" w:lineRule="auto"/>
        <w:ind w:right="-334"/>
        <w:jc w:val="both"/>
        <w:rPr>
          <w:rFonts w:ascii="Times New Roman" w:hAnsi="Times New Roman" w:cs="Times New Roman"/>
          <w:b/>
          <w:bCs/>
          <w:sz w:val="10"/>
          <w:szCs w:val="10"/>
          <w:lang w:eastAsia="ar-SA"/>
        </w:rPr>
      </w:pPr>
    </w:p>
    <w:p w14:paraId="1E85A31B"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7.b</w:t>
      </w:r>
    </w:p>
    <w:p w14:paraId="07CF04D3" w14:textId="77777777" w:rsidR="0071415F" w:rsidRDefault="0071415F" w:rsidP="0071415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 xml:space="preserve">By 2030, expand infrastructure and upgrade technology for supplying modern and sustainable energy services for all in developing countries, in particular least developed countries, </w:t>
      </w:r>
      <w:r w:rsidR="00784F6B">
        <w:rPr>
          <w:rFonts w:ascii="Times New Roman" w:hAnsi="Times New Roman" w:cs="Times New Roman"/>
          <w:sz w:val="24"/>
          <w:szCs w:val="24"/>
          <w:lang w:eastAsia="ar-SA"/>
        </w:rPr>
        <w:t>S</w:t>
      </w:r>
      <w:r w:rsidRPr="0018402D">
        <w:rPr>
          <w:rFonts w:ascii="Times New Roman" w:hAnsi="Times New Roman" w:cs="Times New Roman"/>
          <w:sz w:val="24"/>
          <w:szCs w:val="24"/>
          <w:lang w:eastAsia="ar-SA"/>
        </w:rPr>
        <w:t xml:space="preserve">mall </w:t>
      </w:r>
      <w:r w:rsidR="00784F6B">
        <w:rPr>
          <w:rFonts w:ascii="Times New Roman" w:hAnsi="Times New Roman" w:cs="Times New Roman"/>
          <w:sz w:val="24"/>
          <w:szCs w:val="24"/>
          <w:lang w:eastAsia="ar-SA"/>
        </w:rPr>
        <w:t>I</w:t>
      </w:r>
      <w:r w:rsidRPr="0018402D">
        <w:rPr>
          <w:rFonts w:ascii="Times New Roman" w:hAnsi="Times New Roman" w:cs="Times New Roman"/>
          <w:sz w:val="24"/>
          <w:szCs w:val="24"/>
          <w:lang w:eastAsia="ar-SA"/>
        </w:rPr>
        <w:t xml:space="preserve">sland </w:t>
      </w:r>
      <w:r w:rsidR="00784F6B">
        <w:rPr>
          <w:rFonts w:ascii="Times New Roman" w:hAnsi="Times New Roman" w:cs="Times New Roman"/>
          <w:sz w:val="24"/>
          <w:szCs w:val="24"/>
          <w:lang w:eastAsia="ar-SA"/>
        </w:rPr>
        <w:t>D</w:t>
      </w:r>
      <w:r w:rsidRPr="0018402D">
        <w:rPr>
          <w:rFonts w:ascii="Times New Roman" w:hAnsi="Times New Roman" w:cs="Times New Roman"/>
          <w:sz w:val="24"/>
          <w:szCs w:val="24"/>
          <w:lang w:eastAsia="ar-SA"/>
        </w:rPr>
        <w:t xml:space="preserve">eveloping </w:t>
      </w:r>
      <w:r w:rsidR="00784F6B">
        <w:rPr>
          <w:rFonts w:ascii="Times New Roman" w:hAnsi="Times New Roman" w:cs="Times New Roman"/>
          <w:sz w:val="24"/>
          <w:szCs w:val="24"/>
          <w:lang w:eastAsia="ar-SA"/>
        </w:rPr>
        <w:t>S</w:t>
      </w:r>
      <w:r w:rsidRPr="0018402D">
        <w:rPr>
          <w:rFonts w:ascii="Times New Roman" w:hAnsi="Times New Roman" w:cs="Times New Roman"/>
          <w:sz w:val="24"/>
          <w:szCs w:val="24"/>
          <w:lang w:eastAsia="ar-SA"/>
        </w:rPr>
        <w:t>tates and landlocked developing countries, in accordance with their respective programs of support</w:t>
      </w:r>
      <w:r w:rsidR="00D46D9A">
        <w:rPr>
          <w:rFonts w:ascii="Times New Roman" w:hAnsi="Times New Roman" w:cs="Times New Roman"/>
          <w:sz w:val="24"/>
          <w:szCs w:val="24"/>
          <w:lang w:eastAsia="ar-SA"/>
        </w:rPr>
        <w:t>.</w:t>
      </w:r>
    </w:p>
    <w:p w14:paraId="2BF8C71B" w14:textId="77777777" w:rsidR="0071415F" w:rsidRPr="0018402D" w:rsidRDefault="0071415F" w:rsidP="0071415F">
      <w:pPr>
        <w:bidi w:val="0"/>
        <w:spacing w:after="0" w:line="240" w:lineRule="auto"/>
        <w:ind w:right="-334"/>
        <w:jc w:val="both"/>
        <w:rPr>
          <w:rFonts w:ascii="Times New Roman" w:hAnsi="Times New Roman" w:cs="Times New Roman"/>
          <w:sz w:val="24"/>
          <w:szCs w:val="24"/>
          <w:lang w:eastAsia="ar-SA"/>
        </w:rPr>
      </w:pPr>
    </w:p>
    <w:p w14:paraId="01FB0FFC" w14:textId="77777777" w:rsidR="0071415F" w:rsidRPr="00A6200E" w:rsidRDefault="0071415F" w:rsidP="00FB1314">
      <w:pPr>
        <w:pStyle w:val="ListParagraph"/>
        <w:numPr>
          <w:ilvl w:val="0"/>
          <w:numId w:val="14"/>
        </w:numPr>
        <w:spacing w:after="0" w:line="240" w:lineRule="auto"/>
        <w:ind w:right="-334"/>
        <w:jc w:val="both"/>
        <w:rPr>
          <w:rFonts w:ascii="Times New Roman" w:hAnsi="Times New Roman" w:cs="Times New Roman"/>
          <w:b/>
          <w:bCs/>
          <w:sz w:val="24"/>
          <w:szCs w:val="24"/>
          <w:lang w:eastAsia="ar-SA"/>
        </w:rPr>
      </w:pPr>
      <w:r w:rsidRPr="00A6200E">
        <w:rPr>
          <w:rFonts w:ascii="Times New Roman" w:hAnsi="Times New Roman" w:cs="Times New Roman"/>
          <w:b/>
          <w:bCs/>
          <w:sz w:val="24"/>
          <w:szCs w:val="24"/>
          <w:lang w:eastAsia="ar-SA"/>
        </w:rPr>
        <w:t>Indicators released by PCBS</w:t>
      </w:r>
    </w:p>
    <w:p w14:paraId="17A0DA5E" w14:textId="77777777" w:rsidR="0071415F" w:rsidRPr="00271A9A" w:rsidRDefault="0071415F" w:rsidP="0071415F">
      <w:pPr>
        <w:bidi w:val="0"/>
        <w:spacing w:after="0" w:line="240" w:lineRule="auto"/>
        <w:ind w:right="-334"/>
        <w:jc w:val="both"/>
        <w:rPr>
          <w:rFonts w:ascii="Times New Roman" w:hAnsi="Times New Roman" w:cs="Times New Roman"/>
          <w:sz w:val="24"/>
          <w:szCs w:val="24"/>
          <w:lang w:eastAsia="ar-SA"/>
        </w:rPr>
      </w:pPr>
      <w:r w:rsidRPr="00271A9A">
        <w:rPr>
          <w:rFonts w:ascii="Times New Roman" w:hAnsi="Times New Roman" w:cs="Times New Roman"/>
          <w:sz w:val="24"/>
          <w:szCs w:val="24"/>
          <w:lang w:eastAsia="ar-SA"/>
        </w:rPr>
        <w:t xml:space="preserve">There are </w:t>
      </w:r>
      <w:r w:rsidR="00D46D9A">
        <w:rPr>
          <w:rFonts w:ascii="Times New Roman" w:hAnsi="Times New Roman" w:cs="Times New Roman"/>
          <w:sz w:val="24"/>
          <w:szCs w:val="24"/>
          <w:lang w:eastAsia="ar-SA"/>
        </w:rPr>
        <w:t>five</w:t>
      </w:r>
      <w:r w:rsidRPr="00271A9A">
        <w:rPr>
          <w:rFonts w:ascii="Times New Roman" w:hAnsi="Times New Roman" w:cs="Times New Roman"/>
          <w:sz w:val="24"/>
          <w:szCs w:val="24"/>
          <w:lang w:eastAsia="ar-SA"/>
        </w:rPr>
        <w:t xml:space="preserve"> indicators released by PCBS for Goal 7, represent</w:t>
      </w:r>
      <w:r w:rsidR="00D46D9A">
        <w:rPr>
          <w:rFonts w:ascii="Times New Roman" w:hAnsi="Times New Roman" w:cs="Times New Roman"/>
          <w:sz w:val="24"/>
          <w:szCs w:val="24"/>
          <w:lang w:eastAsia="ar-SA"/>
        </w:rPr>
        <w:t>ingfive</w:t>
      </w:r>
      <w:r w:rsidRPr="00271A9A">
        <w:rPr>
          <w:rFonts w:ascii="Times New Roman" w:hAnsi="Times New Roman" w:cs="Times New Roman"/>
          <w:sz w:val="24"/>
          <w:szCs w:val="24"/>
          <w:lang w:eastAsia="ar-SA"/>
        </w:rPr>
        <w:t xml:space="preserve"> data point</w:t>
      </w:r>
      <w:r w:rsidR="00D46D9A">
        <w:rPr>
          <w:rFonts w:ascii="Times New Roman" w:hAnsi="Times New Roman" w:cs="Times New Roman"/>
          <w:sz w:val="24"/>
          <w:szCs w:val="24"/>
          <w:lang w:eastAsia="ar-SA"/>
        </w:rPr>
        <w:t>s</w:t>
      </w:r>
      <w:r w:rsidRPr="00271A9A">
        <w:rPr>
          <w:rFonts w:ascii="Times New Roman" w:hAnsi="Times New Roman" w:cs="Times New Roman"/>
          <w:sz w:val="24"/>
          <w:szCs w:val="24"/>
          <w:lang w:eastAsia="ar-SA"/>
        </w:rPr>
        <w:t xml:space="preserve">, referring to </w:t>
      </w:r>
      <w:r w:rsidR="00D46D9A">
        <w:rPr>
          <w:rFonts w:ascii="Times New Roman" w:hAnsi="Times New Roman" w:cs="Times New Roman"/>
          <w:sz w:val="24"/>
          <w:szCs w:val="24"/>
          <w:lang w:eastAsia="ar-SA"/>
        </w:rPr>
        <w:t xml:space="preserve">four </w:t>
      </w:r>
      <w:r w:rsidRPr="00271A9A">
        <w:rPr>
          <w:rFonts w:ascii="Times New Roman" w:hAnsi="Times New Roman" w:cs="Times New Roman"/>
          <w:sz w:val="24"/>
          <w:szCs w:val="24"/>
          <w:lang w:eastAsia="ar-SA"/>
        </w:rPr>
        <w:t xml:space="preserve">of the </w:t>
      </w:r>
      <w:r w:rsidR="00D46D9A">
        <w:rPr>
          <w:rFonts w:ascii="Times New Roman" w:hAnsi="Times New Roman" w:cs="Times New Roman"/>
          <w:sz w:val="24"/>
          <w:szCs w:val="24"/>
          <w:lang w:eastAsia="ar-SA"/>
        </w:rPr>
        <w:t>five</w:t>
      </w:r>
      <w:r w:rsidRPr="00271A9A">
        <w:rPr>
          <w:rFonts w:ascii="Times New Roman" w:hAnsi="Times New Roman" w:cs="Times New Roman"/>
          <w:sz w:val="24"/>
          <w:szCs w:val="24"/>
          <w:lang w:eastAsia="ar-SA"/>
        </w:rPr>
        <w:t xml:space="preserve"> targets.</w:t>
      </w:r>
    </w:p>
    <w:p w14:paraId="10E5F4E3" w14:textId="77777777" w:rsidR="0071415F" w:rsidRDefault="0071415F" w:rsidP="0071415F">
      <w:pPr>
        <w:tabs>
          <w:tab w:val="left" w:pos="9072"/>
        </w:tabs>
        <w:bidi w:val="0"/>
        <w:spacing w:after="0" w:line="240" w:lineRule="auto"/>
        <w:jc w:val="center"/>
        <w:rPr>
          <w:rFonts w:ascii="Times New Roman" w:hAnsi="Times New Roman" w:cs="Times New Roman"/>
          <w:color w:val="FF0000"/>
          <w:sz w:val="16"/>
          <w:szCs w:val="16"/>
          <w:lang w:eastAsia="ar-SA"/>
        </w:rPr>
      </w:pPr>
    </w:p>
    <w:p w14:paraId="60F05D70" w14:textId="77777777" w:rsidR="0071415F" w:rsidRDefault="0071415F" w:rsidP="0071415F">
      <w:pPr>
        <w:tabs>
          <w:tab w:val="left" w:pos="9072"/>
        </w:tabs>
        <w:bidi w:val="0"/>
        <w:spacing w:after="0" w:line="240" w:lineRule="auto"/>
        <w:jc w:val="center"/>
        <w:rPr>
          <w:rFonts w:ascii="Times New Roman" w:hAnsi="Times New Roman" w:cs="Times New Roman"/>
          <w:color w:val="FF0000"/>
          <w:sz w:val="16"/>
          <w:szCs w:val="16"/>
          <w:lang w:eastAsia="ar-SA"/>
        </w:rPr>
      </w:pPr>
    </w:p>
    <w:p w14:paraId="003D7BA4" w14:textId="77777777" w:rsidR="0071415F" w:rsidRDefault="0071415F" w:rsidP="0086098A">
      <w:pPr>
        <w:tabs>
          <w:tab w:val="left" w:pos="9072"/>
        </w:tabs>
        <w:bidi w:val="0"/>
        <w:spacing w:after="0" w:line="240" w:lineRule="auto"/>
        <w:rPr>
          <w:rFonts w:ascii="Times New Roman" w:hAnsi="Times New Roman" w:cs="Times New Roman"/>
          <w:color w:val="FF0000"/>
          <w:sz w:val="16"/>
          <w:szCs w:val="16"/>
          <w:lang w:eastAsia="ar-SA"/>
        </w:rPr>
      </w:pPr>
    </w:p>
    <w:p w14:paraId="51BCEFE9" w14:textId="77777777" w:rsidR="0086098A" w:rsidRDefault="0086098A" w:rsidP="0086098A">
      <w:pPr>
        <w:tabs>
          <w:tab w:val="left" w:pos="9072"/>
        </w:tabs>
        <w:bidi w:val="0"/>
        <w:spacing w:after="0" w:line="240" w:lineRule="auto"/>
        <w:rPr>
          <w:rFonts w:ascii="Times New Roman" w:hAnsi="Times New Roman" w:cs="Times New Roman"/>
          <w:color w:val="FF0000"/>
          <w:sz w:val="16"/>
          <w:szCs w:val="16"/>
          <w:lang w:eastAsia="ar-SA"/>
        </w:rPr>
      </w:pPr>
    </w:p>
    <w:p w14:paraId="584C935D" w14:textId="77777777" w:rsidR="0086098A" w:rsidRDefault="0086098A" w:rsidP="0086098A">
      <w:pPr>
        <w:tabs>
          <w:tab w:val="left" w:pos="9072"/>
        </w:tabs>
        <w:bidi w:val="0"/>
        <w:spacing w:after="0" w:line="240" w:lineRule="auto"/>
        <w:rPr>
          <w:rFonts w:ascii="Times New Roman" w:hAnsi="Times New Roman" w:cs="Times New Roman"/>
          <w:color w:val="FF0000"/>
          <w:sz w:val="16"/>
          <w:szCs w:val="16"/>
          <w:lang w:eastAsia="ar-SA"/>
        </w:rPr>
      </w:pPr>
    </w:p>
    <w:p w14:paraId="0CBE3739" w14:textId="77777777" w:rsidR="0086098A" w:rsidRDefault="0086098A" w:rsidP="0086098A">
      <w:pPr>
        <w:tabs>
          <w:tab w:val="left" w:pos="9072"/>
        </w:tabs>
        <w:bidi w:val="0"/>
        <w:spacing w:after="0" w:line="240" w:lineRule="auto"/>
        <w:rPr>
          <w:rFonts w:ascii="Times New Roman" w:hAnsi="Times New Roman" w:cs="Times New Roman"/>
          <w:color w:val="FF0000"/>
          <w:sz w:val="16"/>
          <w:szCs w:val="16"/>
          <w:lang w:eastAsia="ar-SA"/>
        </w:rPr>
      </w:pPr>
    </w:p>
    <w:p w14:paraId="7859306A" w14:textId="77777777" w:rsidR="0086098A" w:rsidRDefault="0086098A" w:rsidP="0086098A">
      <w:pPr>
        <w:tabs>
          <w:tab w:val="left" w:pos="9072"/>
        </w:tabs>
        <w:bidi w:val="0"/>
        <w:spacing w:after="0" w:line="240" w:lineRule="auto"/>
        <w:rPr>
          <w:rFonts w:ascii="Times New Roman" w:hAnsi="Times New Roman" w:cs="Times New Roman"/>
          <w:color w:val="FF0000"/>
          <w:sz w:val="16"/>
          <w:szCs w:val="16"/>
          <w:lang w:eastAsia="ar-SA"/>
        </w:rPr>
      </w:pPr>
    </w:p>
    <w:p w14:paraId="10A340E1" w14:textId="77777777" w:rsidR="0071415F" w:rsidRDefault="0071415F" w:rsidP="0071415F">
      <w:pPr>
        <w:tabs>
          <w:tab w:val="left" w:pos="9072"/>
        </w:tabs>
        <w:bidi w:val="0"/>
        <w:spacing w:after="0" w:line="240" w:lineRule="auto"/>
        <w:jc w:val="center"/>
        <w:rPr>
          <w:rFonts w:ascii="Arial" w:hAnsi="Arial"/>
          <w:b/>
          <w:bCs/>
        </w:rPr>
      </w:pPr>
      <w:r w:rsidRPr="00CD5DFB">
        <w:rPr>
          <w:rFonts w:ascii="Arial" w:hAnsi="Arial"/>
          <w:b/>
          <w:bCs/>
        </w:rPr>
        <w:lastRenderedPageBreak/>
        <w:t>Table7.1: List ofSDGIndicators Released by PCBS</w:t>
      </w:r>
    </w:p>
    <w:p w14:paraId="61FCC0A4" w14:textId="77777777" w:rsidR="0071415F" w:rsidRPr="00FE68DF" w:rsidRDefault="0071415F" w:rsidP="0071415F">
      <w:pPr>
        <w:tabs>
          <w:tab w:val="left" w:pos="9072"/>
        </w:tabs>
        <w:bidi w:val="0"/>
        <w:spacing w:after="0" w:line="240" w:lineRule="auto"/>
        <w:jc w:val="center"/>
        <w:rPr>
          <w:rStyle w:val="Bodytext8pt"/>
          <w:rFonts w:ascii="Times New Roman" w:hAnsi="Times New Roman" w:cs="Times New Roman"/>
          <w:b w:val="0"/>
          <w:bCs w:val="0"/>
          <w:sz w:val="12"/>
          <w:szCs w:val="12"/>
          <w:lang w:val="en-US"/>
        </w:rPr>
      </w:pPr>
    </w:p>
    <w:tbl>
      <w:tblPr>
        <w:tblW w:w="5239" w:type="pct"/>
        <w:jc w:val="center"/>
        <w:tblLook w:val="04A0" w:firstRow="1" w:lastRow="0" w:firstColumn="1" w:lastColumn="0" w:noHBand="0" w:noVBand="1"/>
      </w:tblPr>
      <w:tblGrid>
        <w:gridCol w:w="4880"/>
        <w:gridCol w:w="1200"/>
        <w:gridCol w:w="977"/>
        <w:gridCol w:w="977"/>
        <w:gridCol w:w="1459"/>
      </w:tblGrid>
      <w:tr w:rsidR="0071415F" w:rsidRPr="000D2E4D" w14:paraId="515E1CCA" w14:textId="77777777" w:rsidTr="00402D8A">
        <w:trPr>
          <w:trHeight w:val="413"/>
          <w:jc w:val="center"/>
        </w:trPr>
        <w:tc>
          <w:tcPr>
            <w:tcW w:w="4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749AA" w14:textId="77777777"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Indicators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5351E2C9" w14:textId="77777777"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 xml:space="preserve">Referring to the SDG </w:t>
            </w:r>
            <w:r w:rsidR="00D46D9A">
              <w:rPr>
                <w:rFonts w:ascii="Arial" w:hAnsi="Arial"/>
                <w:b/>
                <w:bCs/>
                <w:color w:val="000000" w:themeColor="text1"/>
                <w:sz w:val="18"/>
                <w:szCs w:val="18"/>
              </w:rPr>
              <w:t>i</w:t>
            </w:r>
            <w:r w:rsidRPr="000777E9">
              <w:rPr>
                <w:rFonts w:ascii="Arial" w:hAnsi="Arial"/>
                <w:b/>
                <w:bCs/>
                <w:color w:val="000000" w:themeColor="text1"/>
                <w:sz w:val="18"/>
                <w:szCs w:val="18"/>
              </w:rPr>
              <w:t>ndicator</w:t>
            </w:r>
          </w:p>
        </w:tc>
        <w:tc>
          <w:tcPr>
            <w:tcW w:w="977" w:type="dxa"/>
            <w:tcBorders>
              <w:top w:val="single" w:sz="4" w:space="0" w:color="auto"/>
              <w:left w:val="nil"/>
              <w:bottom w:val="single" w:sz="4" w:space="0" w:color="auto"/>
              <w:right w:val="single" w:sz="4" w:space="0" w:color="auto"/>
            </w:tcBorders>
          </w:tcPr>
          <w:p w14:paraId="077625AB" w14:textId="77777777"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Previous data</w:t>
            </w:r>
          </w:p>
        </w:tc>
        <w:tc>
          <w:tcPr>
            <w:tcW w:w="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FD322" w14:textId="77777777"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 xml:space="preserve">Last </w:t>
            </w:r>
            <w:r w:rsidR="00D46D9A">
              <w:rPr>
                <w:rFonts w:ascii="Arial" w:hAnsi="Arial"/>
                <w:b/>
                <w:bCs/>
                <w:color w:val="000000" w:themeColor="text1"/>
                <w:sz w:val="18"/>
                <w:szCs w:val="18"/>
              </w:rPr>
              <w:t>a</w:t>
            </w:r>
            <w:r w:rsidRPr="000777E9">
              <w:rPr>
                <w:rFonts w:ascii="Arial" w:hAnsi="Arial"/>
                <w:b/>
                <w:bCs/>
                <w:color w:val="000000" w:themeColor="text1"/>
                <w:sz w:val="18"/>
                <w:szCs w:val="18"/>
              </w:rPr>
              <w:t>vailable data</w:t>
            </w:r>
          </w:p>
        </w:tc>
        <w:tc>
          <w:tcPr>
            <w:tcW w:w="1459" w:type="dxa"/>
            <w:tcBorders>
              <w:top w:val="single" w:sz="4" w:space="0" w:color="auto"/>
              <w:left w:val="single" w:sz="4" w:space="0" w:color="auto"/>
              <w:bottom w:val="single" w:sz="4" w:space="0" w:color="auto"/>
              <w:right w:val="single" w:sz="4" w:space="0" w:color="auto"/>
            </w:tcBorders>
          </w:tcPr>
          <w:p w14:paraId="5AA39A2A" w14:textId="77777777"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Compared to the previous data point</w:t>
            </w:r>
          </w:p>
        </w:tc>
      </w:tr>
      <w:tr w:rsidR="0071415F" w:rsidRPr="000D2E4D" w14:paraId="06EDA56E" w14:textId="77777777" w:rsidTr="00402D8A">
        <w:trPr>
          <w:trHeight w:val="319"/>
          <w:jc w:val="center"/>
        </w:trPr>
        <w:tc>
          <w:tcPr>
            <w:tcW w:w="4880" w:type="dxa"/>
            <w:tcBorders>
              <w:top w:val="nil"/>
              <w:left w:val="single" w:sz="4" w:space="0" w:color="auto"/>
              <w:right w:val="single" w:sz="4" w:space="0" w:color="auto"/>
            </w:tcBorders>
            <w:shd w:val="clear" w:color="auto" w:fill="auto"/>
            <w:vAlign w:val="center"/>
            <w:hideMark/>
          </w:tcPr>
          <w:p w14:paraId="228361ED" w14:textId="77777777" w:rsidR="0071415F" w:rsidRPr="00966878" w:rsidRDefault="0071415F" w:rsidP="0071415F">
            <w:pPr>
              <w:tabs>
                <w:tab w:val="left" w:pos="9072"/>
              </w:tabs>
              <w:bidi w:val="0"/>
              <w:spacing w:after="0" w:line="240" w:lineRule="auto"/>
              <w:rPr>
                <w:rFonts w:ascii="Arial" w:hAnsi="Arial"/>
                <w:color w:val="000000" w:themeColor="text1"/>
                <w:sz w:val="18"/>
                <w:szCs w:val="18"/>
              </w:rPr>
            </w:pPr>
            <w:r w:rsidRPr="00966878">
              <w:rPr>
                <w:rFonts w:ascii="Arial" w:hAnsi="Arial"/>
                <w:b/>
                <w:color w:val="000000" w:themeColor="text1"/>
                <w:sz w:val="18"/>
                <w:szCs w:val="18"/>
              </w:rPr>
              <w:t>Indicator</w:t>
            </w:r>
            <w:r w:rsidRPr="00966878">
              <w:rPr>
                <w:rFonts w:ascii="Arial" w:hAnsi="Arial"/>
                <w:b/>
                <w:bCs/>
                <w:color w:val="000000" w:themeColor="text1"/>
                <w:sz w:val="18"/>
                <w:szCs w:val="18"/>
                <w:rtl/>
              </w:rPr>
              <w:t>7.1.1</w:t>
            </w:r>
            <w:r w:rsidRPr="00966878">
              <w:rPr>
                <w:rFonts w:ascii="Arial" w:hAnsi="Arial"/>
                <w:color w:val="000000" w:themeColor="text1"/>
                <w:sz w:val="18"/>
                <w:szCs w:val="18"/>
              </w:rPr>
              <w:t xml:space="preserve"> Proportion of population with access to electricity(PCBS, 2020, </w:t>
            </w:r>
            <w:r w:rsidR="00D46D9A">
              <w:rPr>
                <w:rFonts w:ascii="Arial" w:hAnsi="Arial"/>
                <w:color w:val="000000" w:themeColor="text1"/>
                <w:sz w:val="18"/>
                <w:szCs w:val="18"/>
              </w:rPr>
              <w:t>p</w:t>
            </w:r>
            <w:r w:rsidRPr="00966878">
              <w:rPr>
                <w:rFonts w:ascii="Arial" w:hAnsi="Arial"/>
                <w:color w:val="000000" w:themeColor="text1"/>
                <w:sz w:val="18"/>
                <w:szCs w:val="18"/>
              </w:rPr>
              <w:t>ercentage)</w:t>
            </w:r>
          </w:p>
        </w:tc>
        <w:tc>
          <w:tcPr>
            <w:tcW w:w="1200" w:type="dxa"/>
            <w:tcBorders>
              <w:top w:val="nil"/>
              <w:left w:val="nil"/>
              <w:right w:val="single" w:sz="4" w:space="0" w:color="auto"/>
            </w:tcBorders>
            <w:shd w:val="clear" w:color="auto" w:fill="auto"/>
            <w:noWrap/>
            <w:hideMark/>
          </w:tcPr>
          <w:p w14:paraId="25509432" w14:textId="77777777" w:rsidR="0071415F" w:rsidRPr="00966878" w:rsidRDefault="0071415F" w:rsidP="0071415F">
            <w:pPr>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77" w:type="dxa"/>
            <w:tcBorders>
              <w:top w:val="nil"/>
              <w:left w:val="nil"/>
              <w:right w:val="single" w:sz="4" w:space="0" w:color="auto"/>
            </w:tcBorders>
          </w:tcPr>
          <w:p w14:paraId="1F520680" w14:textId="77777777" w:rsidR="0071415F" w:rsidRPr="00966878" w:rsidRDefault="0071415F" w:rsidP="0071415F">
            <w:pPr>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99.9 (2017)</w:t>
            </w:r>
          </w:p>
        </w:tc>
        <w:tc>
          <w:tcPr>
            <w:tcW w:w="977" w:type="dxa"/>
            <w:tcBorders>
              <w:top w:val="nil"/>
              <w:left w:val="single" w:sz="4" w:space="0" w:color="auto"/>
              <w:right w:val="single" w:sz="4" w:space="0" w:color="auto"/>
            </w:tcBorders>
            <w:shd w:val="clear" w:color="auto" w:fill="auto"/>
            <w:noWrap/>
            <w:hideMark/>
          </w:tcPr>
          <w:p w14:paraId="28D02927" w14:textId="77777777" w:rsidR="0071415F" w:rsidRPr="00966878" w:rsidRDefault="0071415F" w:rsidP="0071415F">
            <w:pPr>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100</w:t>
            </w:r>
          </w:p>
        </w:tc>
        <w:tc>
          <w:tcPr>
            <w:tcW w:w="1459" w:type="dxa"/>
            <w:tcBorders>
              <w:top w:val="nil"/>
              <w:left w:val="single" w:sz="4" w:space="0" w:color="auto"/>
              <w:right w:val="single" w:sz="4" w:space="0" w:color="auto"/>
            </w:tcBorders>
          </w:tcPr>
          <w:p w14:paraId="54C7900A" w14:textId="77777777" w:rsidR="0071415F" w:rsidRPr="00797858" w:rsidRDefault="0071415F" w:rsidP="0071415F">
            <w:pPr>
              <w:bidi w:val="0"/>
              <w:spacing w:after="0" w:line="240" w:lineRule="auto"/>
              <w:jc w:val="center"/>
              <w:rPr>
                <w:rFonts w:ascii="Arial" w:hAnsi="Arial"/>
                <w:sz w:val="18"/>
                <w:szCs w:val="18"/>
              </w:rPr>
            </w:pPr>
            <w:r w:rsidRPr="00797858">
              <w:rPr>
                <w:rFonts w:ascii="Arial" w:hAnsi="Arial"/>
                <w:sz w:val="18"/>
                <w:szCs w:val="18"/>
              </w:rPr>
              <w:t>Increase</w:t>
            </w:r>
          </w:p>
        </w:tc>
      </w:tr>
      <w:tr w:rsidR="0071415F" w:rsidRPr="000D2E4D" w14:paraId="74375CB8" w14:textId="77777777" w:rsidTr="00402D8A">
        <w:trPr>
          <w:trHeight w:val="319"/>
          <w:jc w:val="center"/>
        </w:trPr>
        <w:tc>
          <w:tcPr>
            <w:tcW w:w="4880" w:type="dxa"/>
            <w:tcBorders>
              <w:top w:val="single" w:sz="4" w:space="0" w:color="auto"/>
              <w:left w:val="single" w:sz="4" w:space="0" w:color="auto"/>
              <w:right w:val="single" w:sz="4" w:space="0" w:color="auto"/>
            </w:tcBorders>
            <w:shd w:val="clear" w:color="auto" w:fill="auto"/>
            <w:noWrap/>
            <w:vAlign w:val="center"/>
            <w:hideMark/>
          </w:tcPr>
          <w:p w14:paraId="65F01F9C" w14:textId="77777777" w:rsidR="0071415F" w:rsidRPr="00966878" w:rsidRDefault="0071415F" w:rsidP="0071415F">
            <w:pPr>
              <w:tabs>
                <w:tab w:val="left" w:pos="9072"/>
              </w:tabs>
              <w:bidi w:val="0"/>
              <w:spacing w:after="0" w:line="240" w:lineRule="auto"/>
              <w:rPr>
                <w:rFonts w:ascii="Arial" w:hAnsi="Arial"/>
                <w:color w:val="000000" w:themeColor="text1"/>
                <w:sz w:val="18"/>
                <w:szCs w:val="18"/>
              </w:rPr>
            </w:pPr>
            <w:r w:rsidRPr="00966878">
              <w:rPr>
                <w:rFonts w:ascii="Arial" w:hAnsi="Arial"/>
                <w:b/>
                <w:color w:val="000000" w:themeColor="text1"/>
                <w:sz w:val="18"/>
                <w:szCs w:val="18"/>
              </w:rPr>
              <w:t>Indicator</w:t>
            </w:r>
            <w:r w:rsidRPr="00966878">
              <w:rPr>
                <w:rFonts w:ascii="Arial" w:hAnsi="Arial"/>
                <w:b/>
                <w:bCs/>
                <w:color w:val="000000" w:themeColor="text1"/>
                <w:sz w:val="18"/>
                <w:szCs w:val="18"/>
              </w:rPr>
              <w:t xml:space="preserve"> 7.1.2</w:t>
            </w:r>
            <w:r w:rsidRPr="00966878">
              <w:rPr>
                <w:rFonts w:ascii="Arial" w:hAnsi="Arial"/>
                <w:color w:val="000000" w:themeColor="text1"/>
                <w:sz w:val="18"/>
                <w:szCs w:val="18"/>
              </w:rPr>
              <w:t xml:space="preserve"> Proportion of population with primary reliance on clean fuels and technology(PCBS, 2020, </w:t>
            </w:r>
            <w:r w:rsidR="00D46D9A">
              <w:rPr>
                <w:rFonts w:ascii="Arial" w:hAnsi="Arial"/>
                <w:color w:val="000000" w:themeColor="text1"/>
                <w:sz w:val="18"/>
                <w:szCs w:val="18"/>
              </w:rPr>
              <w:t>p</w:t>
            </w:r>
            <w:r w:rsidRPr="00966878">
              <w:rPr>
                <w:rFonts w:ascii="Arial" w:hAnsi="Arial"/>
                <w:color w:val="000000" w:themeColor="text1"/>
                <w:sz w:val="18"/>
                <w:szCs w:val="18"/>
              </w:rPr>
              <w:t>ercentage)</w:t>
            </w:r>
          </w:p>
        </w:tc>
        <w:tc>
          <w:tcPr>
            <w:tcW w:w="1200" w:type="dxa"/>
            <w:tcBorders>
              <w:top w:val="single" w:sz="4" w:space="0" w:color="auto"/>
              <w:left w:val="nil"/>
              <w:right w:val="single" w:sz="4" w:space="0" w:color="auto"/>
            </w:tcBorders>
            <w:shd w:val="clear" w:color="auto" w:fill="auto"/>
            <w:noWrap/>
            <w:vAlign w:val="center"/>
            <w:hideMark/>
          </w:tcPr>
          <w:p w14:paraId="47F99BC8"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77" w:type="dxa"/>
            <w:tcBorders>
              <w:top w:val="single" w:sz="4" w:space="0" w:color="auto"/>
              <w:left w:val="nil"/>
              <w:right w:val="single" w:sz="4" w:space="0" w:color="auto"/>
            </w:tcBorders>
            <w:vAlign w:val="center"/>
          </w:tcPr>
          <w:p w14:paraId="4DDA2803"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99.2</w:t>
            </w:r>
            <w:r w:rsidRPr="00966878">
              <w:rPr>
                <w:rFonts w:ascii="Arial" w:hAnsi="Arial"/>
                <w:color w:val="000000" w:themeColor="text1"/>
                <w:sz w:val="18"/>
                <w:szCs w:val="18"/>
              </w:rPr>
              <w:t xml:space="preserve"> (2017)</w:t>
            </w:r>
          </w:p>
        </w:tc>
        <w:tc>
          <w:tcPr>
            <w:tcW w:w="977" w:type="dxa"/>
            <w:tcBorders>
              <w:top w:val="single" w:sz="4" w:space="0" w:color="auto"/>
              <w:left w:val="single" w:sz="4" w:space="0" w:color="auto"/>
              <w:right w:val="single" w:sz="4" w:space="0" w:color="auto"/>
            </w:tcBorders>
            <w:shd w:val="clear" w:color="auto" w:fill="auto"/>
            <w:noWrap/>
            <w:vAlign w:val="center"/>
            <w:hideMark/>
          </w:tcPr>
          <w:p w14:paraId="453DEB8F"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81.5</w:t>
            </w:r>
            <w:r w:rsidR="00E95A9F">
              <w:rPr>
                <w:rFonts w:ascii="Arial" w:hAnsi="Arial"/>
                <w:color w:val="000000" w:themeColor="text1"/>
                <w:sz w:val="18"/>
                <w:szCs w:val="18"/>
              </w:rPr>
              <w:t>*</w:t>
            </w:r>
          </w:p>
        </w:tc>
        <w:tc>
          <w:tcPr>
            <w:tcW w:w="1459" w:type="dxa"/>
            <w:tcBorders>
              <w:top w:val="single" w:sz="4" w:space="0" w:color="auto"/>
              <w:left w:val="single" w:sz="4" w:space="0" w:color="auto"/>
              <w:right w:val="single" w:sz="4" w:space="0" w:color="auto"/>
            </w:tcBorders>
            <w:vAlign w:val="center"/>
          </w:tcPr>
          <w:p w14:paraId="73829913" w14:textId="77777777" w:rsidR="0071415F" w:rsidRPr="00797858" w:rsidRDefault="00D46D9A" w:rsidP="0071415F">
            <w:pPr>
              <w:tabs>
                <w:tab w:val="left" w:pos="9072"/>
              </w:tabs>
              <w:bidi w:val="0"/>
              <w:spacing w:after="0" w:line="240" w:lineRule="auto"/>
              <w:jc w:val="center"/>
              <w:rPr>
                <w:rFonts w:ascii="Arial" w:hAnsi="Arial"/>
                <w:sz w:val="18"/>
                <w:szCs w:val="18"/>
              </w:rPr>
            </w:pPr>
            <w:r>
              <w:rPr>
                <w:rFonts w:ascii="Arial" w:hAnsi="Arial"/>
                <w:sz w:val="18"/>
                <w:szCs w:val="18"/>
              </w:rPr>
              <w:t>D</w:t>
            </w:r>
            <w:r w:rsidR="0071415F" w:rsidRPr="00797858">
              <w:rPr>
                <w:rFonts w:ascii="Arial" w:hAnsi="Arial"/>
                <w:sz w:val="18"/>
                <w:szCs w:val="18"/>
              </w:rPr>
              <w:t>ecrease</w:t>
            </w:r>
          </w:p>
        </w:tc>
      </w:tr>
      <w:tr w:rsidR="0071415F" w:rsidRPr="000D2E4D" w14:paraId="0AF2AF54" w14:textId="77777777" w:rsidTr="00402D8A">
        <w:trPr>
          <w:trHeight w:val="319"/>
          <w:jc w:val="center"/>
        </w:trPr>
        <w:tc>
          <w:tcPr>
            <w:tcW w:w="4880" w:type="dxa"/>
            <w:tcBorders>
              <w:top w:val="single" w:sz="4" w:space="0" w:color="auto"/>
              <w:left w:val="single" w:sz="4" w:space="0" w:color="auto"/>
              <w:right w:val="single" w:sz="4" w:space="0" w:color="auto"/>
            </w:tcBorders>
            <w:shd w:val="clear" w:color="auto" w:fill="auto"/>
            <w:noWrap/>
            <w:vAlign w:val="center"/>
            <w:hideMark/>
          </w:tcPr>
          <w:p w14:paraId="0AECF190" w14:textId="77777777" w:rsidR="0071415F" w:rsidRPr="00966878" w:rsidRDefault="0071415F" w:rsidP="0071415F">
            <w:pPr>
              <w:tabs>
                <w:tab w:val="left" w:pos="9072"/>
              </w:tabs>
              <w:bidi w:val="0"/>
              <w:spacing w:after="0" w:line="240" w:lineRule="auto"/>
              <w:rPr>
                <w:rFonts w:ascii="Arial" w:hAnsi="Arial"/>
                <w:color w:val="000000" w:themeColor="text1"/>
                <w:sz w:val="18"/>
                <w:szCs w:val="18"/>
              </w:rPr>
            </w:pPr>
            <w:r w:rsidRPr="00966878">
              <w:rPr>
                <w:rFonts w:ascii="Arial" w:hAnsi="Arial"/>
                <w:b/>
                <w:color w:val="000000" w:themeColor="text1"/>
                <w:sz w:val="18"/>
                <w:szCs w:val="18"/>
              </w:rPr>
              <w:t>Indicator</w:t>
            </w:r>
            <w:r w:rsidRPr="00966878">
              <w:rPr>
                <w:rFonts w:ascii="Arial" w:hAnsi="Arial"/>
                <w:b/>
                <w:bCs/>
                <w:color w:val="000000" w:themeColor="text1"/>
                <w:sz w:val="18"/>
                <w:szCs w:val="18"/>
              </w:rPr>
              <w:t xml:space="preserve"> 7.2.1</w:t>
            </w:r>
            <w:r w:rsidRPr="00966878">
              <w:rPr>
                <w:rFonts w:ascii="Arial" w:hAnsi="Arial"/>
                <w:color w:val="000000" w:themeColor="text1"/>
                <w:sz w:val="18"/>
                <w:szCs w:val="18"/>
              </w:rPr>
              <w:t xml:space="preserve"> Renewable energy share in the total final energy consumption</w:t>
            </w:r>
          </w:p>
        </w:tc>
        <w:tc>
          <w:tcPr>
            <w:tcW w:w="1200" w:type="dxa"/>
            <w:tcBorders>
              <w:top w:val="single" w:sz="4" w:space="0" w:color="auto"/>
              <w:left w:val="nil"/>
              <w:right w:val="single" w:sz="4" w:space="0" w:color="auto"/>
            </w:tcBorders>
            <w:shd w:val="clear" w:color="auto" w:fill="auto"/>
            <w:noWrap/>
            <w:vAlign w:val="center"/>
            <w:hideMark/>
          </w:tcPr>
          <w:p w14:paraId="3EFBD863"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977" w:type="dxa"/>
            <w:tcBorders>
              <w:top w:val="single" w:sz="4" w:space="0" w:color="auto"/>
              <w:left w:val="nil"/>
              <w:right w:val="single" w:sz="4" w:space="0" w:color="auto"/>
            </w:tcBorders>
            <w:vAlign w:val="center"/>
          </w:tcPr>
          <w:p w14:paraId="5EA914D8"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977" w:type="dxa"/>
            <w:tcBorders>
              <w:top w:val="single" w:sz="4" w:space="0" w:color="auto"/>
              <w:left w:val="single" w:sz="4" w:space="0" w:color="auto"/>
              <w:right w:val="single" w:sz="4" w:space="0" w:color="auto"/>
            </w:tcBorders>
            <w:shd w:val="clear" w:color="auto" w:fill="auto"/>
            <w:noWrap/>
            <w:vAlign w:val="center"/>
            <w:hideMark/>
          </w:tcPr>
          <w:p w14:paraId="17919C3B"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1459" w:type="dxa"/>
            <w:tcBorders>
              <w:top w:val="single" w:sz="4" w:space="0" w:color="auto"/>
              <w:left w:val="single" w:sz="4" w:space="0" w:color="auto"/>
              <w:right w:val="single" w:sz="4" w:space="0" w:color="auto"/>
            </w:tcBorders>
            <w:vAlign w:val="center"/>
          </w:tcPr>
          <w:p w14:paraId="48233D47" w14:textId="77777777" w:rsidR="0071415F" w:rsidRPr="00797858" w:rsidRDefault="0071415F" w:rsidP="0071415F">
            <w:pPr>
              <w:tabs>
                <w:tab w:val="left" w:pos="9072"/>
              </w:tabs>
              <w:bidi w:val="0"/>
              <w:spacing w:after="0" w:line="240" w:lineRule="auto"/>
              <w:jc w:val="center"/>
              <w:rPr>
                <w:rFonts w:ascii="Arial" w:hAnsi="Arial"/>
                <w:sz w:val="18"/>
                <w:szCs w:val="18"/>
              </w:rPr>
            </w:pPr>
          </w:p>
        </w:tc>
      </w:tr>
      <w:tr w:rsidR="0071415F" w:rsidRPr="000D2E4D" w14:paraId="5479FFFB" w14:textId="77777777" w:rsidTr="00402D8A">
        <w:trPr>
          <w:trHeight w:val="319"/>
          <w:jc w:val="center"/>
        </w:trPr>
        <w:tc>
          <w:tcPr>
            <w:tcW w:w="4880" w:type="dxa"/>
            <w:tcBorders>
              <w:top w:val="nil"/>
              <w:left w:val="single" w:sz="4" w:space="0" w:color="auto"/>
              <w:bottom w:val="nil"/>
              <w:right w:val="single" w:sz="4" w:space="0" w:color="auto"/>
            </w:tcBorders>
            <w:shd w:val="clear" w:color="auto" w:fill="auto"/>
            <w:noWrap/>
            <w:vAlign w:val="center"/>
            <w:hideMark/>
          </w:tcPr>
          <w:p w14:paraId="1B3CD786" w14:textId="37757AB0" w:rsidR="0071415F" w:rsidRPr="00966878" w:rsidRDefault="0071415F" w:rsidP="0071415F">
            <w:pPr>
              <w:tabs>
                <w:tab w:val="left" w:pos="9072"/>
              </w:tabs>
              <w:bidi w:val="0"/>
              <w:spacing w:after="0" w:line="240" w:lineRule="auto"/>
              <w:ind w:left="336"/>
              <w:jc w:val="both"/>
              <w:rPr>
                <w:rFonts w:ascii="Arial" w:hAnsi="Arial"/>
                <w:color w:val="000000" w:themeColor="text1"/>
                <w:sz w:val="18"/>
                <w:szCs w:val="18"/>
              </w:rPr>
            </w:pPr>
            <w:r w:rsidRPr="00966878">
              <w:rPr>
                <w:rFonts w:ascii="Arial" w:hAnsi="Arial"/>
                <w:color w:val="000000" w:themeColor="text1"/>
                <w:sz w:val="18"/>
                <w:szCs w:val="18"/>
              </w:rPr>
              <w:t xml:space="preserve">Renewable energy share in the total final energy consumption (PCBS, </w:t>
            </w:r>
            <w:r w:rsidR="00402D8A">
              <w:rPr>
                <w:rFonts w:ascii="Arial" w:hAnsi="Arial"/>
                <w:color w:val="000000" w:themeColor="text1"/>
                <w:sz w:val="18"/>
                <w:szCs w:val="18"/>
              </w:rPr>
              <w:t>2021</w:t>
            </w:r>
            <w:r w:rsidRPr="00966878">
              <w:rPr>
                <w:rFonts w:ascii="Arial" w:hAnsi="Arial"/>
                <w:color w:val="000000" w:themeColor="text1"/>
                <w:sz w:val="18"/>
                <w:szCs w:val="18"/>
              </w:rPr>
              <w:t xml:space="preserve">, </w:t>
            </w:r>
            <w:r w:rsidR="00D46D9A">
              <w:rPr>
                <w:rFonts w:ascii="Arial" w:hAnsi="Arial"/>
                <w:color w:val="000000" w:themeColor="text1"/>
                <w:sz w:val="18"/>
                <w:szCs w:val="18"/>
              </w:rPr>
              <w:t>p</w:t>
            </w:r>
            <w:r w:rsidRPr="00966878">
              <w:rPr>
                <w:rFonts w:ascii="Arial" w:hAnsi="Arial"/>
                <w:color w:val="000000" w:themeColor="text1"/>
                <w:sz w:val="18"/>
                <w:szCs w:val="18"/>
              </w:rPr>
              <w:t>ercentage)</w:t>
            </w:r>
          </w:p>
        </w:tc>
        <w:tc>
          <w:tcPr>
            <w:tcW w:w="1200" w:type="dxa"/>
            <w:tcBorders>
              <w:top w:val="nil"/>
              <w:left w:val="nil"/>
              <w:bottom w:val="nil"/>
              <w:right w:val="single" w:sz="4" w:space="0" w:color="auto"/>
            </w:tcBorders>
            <w:shd w:val="clear" w:color="auto" w:fill="auto"/>
            <w:noWrap/>
            <w:vAlign w:val="center"/>
            <w:hideMark/>
          </w:tcPr>
          <w:p w14:paraId="0824F764"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77" w:type="dxa"/>
            <w:tcBorders>
              <w:top w:val="nil"/>
              <w:left w:val="nil"/>
              <w:bottom w:val="nil"/>
              <w:right w:val="single" w:sz="4" w:space="0" w:color="auto"/>
            </w:tcBorders>
            <w:vAlign w:val="center"/>
          </w:tcPr>
          <w:p w14:paraId="0D33644A" w14:textId="4866E1B7" w:rsidR="0071415F" w:rsidRPr="00966878" w:rsidRDefault="00402D8A"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10.9</w:t>
            </w:r>
            <w:r w:rsidR="0071415F" w:rsidRPr="00966878">
              <w:rPr>
                <w:rFonts w:ascii="Arial" w:hAnsi="Arial"/>
                <w:color w:val="000000" w:themeColor="text1"/>
                <w:sz w:val="18"/>
                <w:szCs w:val="18"/>
              </w:rPr>
              <w:t xml:space="preserve"> (</w:t>
            </w:r>
            <w:r>
              <w:rPr>
                <w:rFonts w:ascii="Arial" w:hAnsi="Arial"/>
                <w:color w:val="000000" w:themeColor="text1"/>
                <w:sz w:val="18"/>
                <w:szCs w:val="18"/>
              </w:rPr>
              <w:t>2020</w:t>
            </w:r>
            <w:r w:rsidR="0071415F" w:rsidRPr="00966878">
              <w:rPr>
                <w:rFonts w:ascii="Arial" w:hAnsi="Arial"/>
                <w:color w:val="000000" w:themeColor="text1"/>
                <w:sz w:val="18"/>
                <w:szCs w:val="18"/>
              </w:rPr>
              <w:t>)</w:t>
            </w:r>
          </w:p>
        </w:tc>
        <w:tc>
          <w:tcPr>
            <w:tcW w:w="977" w:type="dxa"/>
            <w:tcBorders>
              <w:top w:val="nil"/>
              <w:left w:val="single" w:sz="4" w:space="0" w:color="auto"/>
              <w:bottom w:val="nil"/>
              <w:right w:val="single" w:sz="4" w:space="0" w:color="auto"/>
            </w:tcBorders>
            <w:shd w:val="clear" w:color="auto" w:fill="auto"/>
            <w:noWrap/>
            <w:vAlign w:val="center"/>
            <w:hideMark/>
          </w:tcPr>
          <w:p w14:paraId="079B1DC3" w14:textId="70E7714E" w:rsidR="0071415F" w:rsidRPr="00966878" w:rsidRDefault="00402D8A"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10.6</w:t>
            </w:r>
          </w:p>
        </w:tc>
        <w:tc>
          <w:tcPr>
            <w:tcW w:w="1459" w:type="dxa"/>
            <w:tcBorders>
              <w:top w:val="nil"/>
              <w:left w:val="single" w:sz="4" w:space="0" w:color="auto"/>
              <w:bottom w:val="nil"/>
              <w:right w:val="single" w:sz="4" w:space="0" w:color="auto"/>
            </w:tcBorders>
            <w:vAlign w:val="center"/>
          </w:tcPr>
          <w:p w14:paraId="64D18220" w14:textId="77777777" w:rsidR="0071415F" w:rsidRPr="00797858" w:rsidRDefault="00D46D9A" w:rsidP="0071415F">
            <w:pPr>
              <w:tabs>
                <w:tab w:val="left" w:pos="9072"/>
              </w:tabs>
              <w:bidi w:val="0"/>
              <w:spacing w:after="0" w:line="240" w:lineRule="auto"/>
              <w:jc w:val="center"/>
              <w:rPr>
                <w:rFonts w:ascii="Arial" w:hAnsi="Arial"/>
                <w:sz w:val="18"/>
                <w:szCs w:val="18"/>
              </w:rPr>
            </w:pPr>
            <w:r>
              <w:rPr>
                <w:rFonts w:ascii="Arial" w:hAnsi="Arial"/>
                <w:sz w:val="18"/>
                <w:szCs w:val="18"/>
              </w:rPr>
              <w:t>D</w:t>
            </w:r>
            <w:r w:rsidR="0071415F" w:rsidRPr="00797858">
              <w:rPr>
                <w:rFonts w:ascii="Arial" w:hAnsi="Arial"/>
                <w:sz w:val="18"/>
                <w:szCs w:val="18"/>
              </w:rPr>
              <w:t>ecrease</w:t>
            </w:r>
          </w:p>
        </w:tc>
      </w:tr>
      <w:tr w:rsidR="00BF33DF" w:rsidRPr="000D2E4D" w14:paraId="074B4DE8" w14:textId="77777777" w:rsidTr="00402D8A">
        <w:trPr>
          <w:trHeight w:val="319"/>
          <w:jc w:val="center"/>
        </w:trPr>
        <w:tc>
          <w:tcPr>
            <w:tcW w:w="4880" w:type="dxa"/>
            <w:tcBorders>
              <w:top w:val="single" w:sz="4" w:space="0" w:color="auto"/>
              <w:left w:val="single" w:sz="4" w:space="0" w:color="auto"/>
              <w:right w:val="single" w:sz="4" w:space="0" w:color="auto"/>
            </w:tcBorders>
            <w:shd w:val="clear" w:color="auto" w:fill="auto"/>
            <w:noWrap/>
            <w:vAlign w:val="center"/>
            <w:hideMark/>
          </w:tcPr>
          <w:p w14:paraId="675E31C6" w14:textId="0F956BE1" w:rsidR="00BF33DF" w:rsidRPr="00966878" w:rsidRDefault="00BF33DF" w:rsidP="00BF33DF">
            <w:pPr>
              <w:tabs>
                <w:tab w:val="left" w:pos="9072"/>
              </w:tabs>
              <w:bidi w:val="0"/>
              <w:spacing w:after="0" w:line="240" w:lineRule="auto"/>
              <w:rPr>
                <w:rFonts w:ascii="Arial" w:hAnsi="Arial"/>
                <w:color w:val="000000" w:themeColor="text1"/>
                <w:sz w:val="18"/>
                <w:szCs w:val="18"/>
              </w:rPr>
            </w:pPr>
            <w:r w:rsidRPr="00966878">
              <w:rPr>
                <w:rFonts w:ascii="Arial" w:hAnsi="Arial"/>
                <w:b/>
                <w:color w:val="000000" w:themeColor="text1"/>
                <w:sz w:val="18"/>
                <w:szCs w:val="18"/>
              </w:rPr>
              <w:t>Indicator</w:t>
            </w:r>
            <w:r w:rsidRPr="00966878">
              <w:rPr>
                <w:rFonts w:ascii="Arial" w:hAnsi="Arial"/>
                <w:b/>
                <w:bCs/>
                <w:color w:val="000000" w:themeColor="text1"/>
                <w:sz w:val="18"/>
                <w:szCs w:val="18"/>
              </w:rPr>
              <w:t xml:space="preserve"> 7.3.1</w:t>
            </w:r>
            <w:r w:rsidRPr="00966878">
              <w:rPr>
                <w:rFonts w:ascii="Arial" w:hAnsi="Arial"/>
                <w:color w:val="000000" w:themeColor="text1"/>
                <w:sz w:val="18"/>
                <w:szCs w:val="18"/>
              </w:rPr>
              <w:t xml:space="preserve">  Energy intensity measured in terms of primary energy and gross domestic</w:t>
            </w:r>
            <w:r>
              <w:rPr>
                <w:rFonts w:ascii="Arial" w:hAnsi="Arial"/>
                <w:color w:val="000000" w:themeColor="text1"/>
                <w:sz w:val="18"/>
                <w:szCs w:val="18"/>
              </w:rPr>
              <w:t xml:space="preserve"> product </w:t>
            </w:r>
            <w:r w:rsidRPr="00966878">
              <w:rPr>
                <w:rFonts w:ascii="Arial" w:hAnsi="Arial"/>
                <w:color w:val="000000" w:themeColor="text1"/>
                <w:sz w:val="18"/>
                <w:szCs w:val="18"/>
              </w:rPr>
              <w:t xml:space="preserve">(GDP) (PCBS, </w:t>
            </w:r>
            <w:r>
              <w:rPr>
                <w:rFonts w:ascii="Arial" w:hAnsi="Arial"/>
                <w:color w:val="000000" w:themeColor="text1"/>
                <w:sz w:val="18"/>
                <w:szCs w:val="18"/>
              </w:rPr>
              <w:t>2021</w:t>
            </w:r>
            <w:r w:rsidRPr="00966878">
              <w:rPr>
                <w:rFonts w:ascii="Arial" w:hAnsi="Arial"/>
                <w:color w:val="000000" w:themeColor="text1"/>
                <w:sz w:val="18"/>
                <w:szCs w:val="18"/>
              </w:rPr>
              <w:t xml:space="preserve">, </w:t>
            </w:r>
            <w:r>
              <w:rPr>
                <w:rFonts w:ascii="Arial" w:hAnsi="Arial"/>
                <w:color w:val="000000" w:themeColor="text1"/>
                <w:sz w:val="18"/>
                <w:szCs w:val="18"/>
              </w:rPr>
              <w:t>p</w:t>
            </w:r>
            <w:r w:rsidRPr="00966878">
              <w:rPr>
                <w:rFonts w:ascii="Arial" w:hAnsi="Arial"/>
                <w:color w:val="000000" w:themeColor="text1"/>
                <w:sz w:val="18"/>
                <w:szCs w:val="18"/>
              </w:rPr>
              <w:t>ercentage)</w:t>
            </w:r>
          </w:p>
        </w:tc>
        <w:tc>
          <w:tcPr>
            <w:tcW w:w="1200" w:type="dxa"/>
            <w:tcBorders>
              <w:top w:val="single" w:sz="4" w:space="0" w:color="auto"/>
              <w:left w:val="nil"/>
              <w:right w:val="single" w:sz="4" w:space="0" w:color="auto"/>
            </w:tcBorders>
            <w:shd w:val="clear" w:color="auto" w:fill="auto"/>
            <w:noWrap/>
            <w:vAlign w:val="center"/>
            <w:hideMark/>
          </w:tcPr>
          <w:p w14:paraId="23A860DB" w14:textId="77777777" w:rsidR="00BF33DF" w:rsidRPr="00966878" w:rsidRDefault="00BF33DF" w:rsidP="00BF33D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77" w:type="dxa"/>
            <w:tcBorders>
              <w:top w:val="single" w:sz="4" w:space="0" w:color="auto"/>
              <w:left w:val="nil"/>
              <w:right w:val="single" w:sz="4" w:space="0" w:color="auto"/>
            </w:tcBorders>
            <w:vAlign w:val="center"/>
          </w:tcPr>
          <w:p w14:paraId="0D9888EE" w14:textId="4C8D5534" w:rsidR="00BF33DF" w:rsidRPr="00966878" w:rsidRDefault="00BF33DF" w:rsidP="00BF33D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2.8</w:t>
            </w:r>
            <w:r w:rsidRPr="00966878">
              <w:rPr>
                <w:rFonts w:ascii="Arial" w:hAnsi="Arial"/>
                <w:color w:val="000000" w:themeColor="text1"/>
                <w:sz w:val="18"/>
                <w:szCs w:val="18"/>
              </w:rPr>
              <w:t xml:space="preserve"> (</w:t>
            </w:r>
            <w:r>
              <w:rPr>
                <w:rFonts w:ascii="Arial" w:hAnsi="Arial"/>
                <w:color w:val="000000" w:themeColor="text1"/>
                <w:sz w:val="18"/>
                <w:szCs w:val="18"/>
              </w:rPr>
              <w:t>2020</w:t>
            </w:r>
            <w:r w:rsidRPr="00966878">
              <w:rPr>
                <w:rFonts w:ascii="Arial" w:hAnsi="Arial"/>
                <w:color w:val="000000" w:themeColor="text1"/>
                <w:sz w:val="18"/>
                <w:szCs w:val="18"/>
              </w:rPr>
              <w:t>)</w:t>
            </w:r>
          </w:p>
        </w:tc>
        <w:tc>
          <w:tcPr>
            <w:tcW w:w="977" w:type="dxa"/>
            <w:tcBorders>
              <w:top w:val="single" w:sz="4" w:space="0" w:color="auto"/>
              <w:left w:val="single" w:sz="4" w:space="0" w:color="auto"/>
              <w:right w:val="single" w:sz="4" w:space="0" w:color="auto"/>
            </w:tcBorders>
            <w:shd w:val="clear" w:color="auto" w:fill="auto"/>
            <w:noWrap/>
            <w:vAlign w:val="center"/>
            <w:hideMark/>
          </w:tcPr>
          <w:p w14:paraId="2FC9BDFF" w14:textId="7FA4BFA9" w:rsidR="00BF33DF" w:rsidRPr="00966878" w:rsidRDefault="00BF33DF" w:rsidP="00BF33D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3.3</w:t>
            </w:r>
          </w:p>
        </w:tc>
        <w:tc>
          <w:tcPr>
            <w:tcW w:w="1459" w:type="dxa"/>
            <w:tcBorders>
              <w:top w:val="single" w:sz="4" w:space="0" w:color="auto"/>
              <w:left w:val="single" w:sz="4" w:space="0" w:color="auto"/>
              <w:right w:val="single" w:sz="4" w:space="0" w:color="auto"/>
            </w:tcBorders>
            <w:vAlign w:val="center"/>
          </w:tcPr>
          <w:p w14:paraId="698AA791" w14:textId="5A928D8B" w:rsidR="00BF33DF" w:rsidRPr="00797858" w:rsidRDefault="00BF33DF" w:rsidP="00BF33DF">
            <w:pPr>
              <w:tabs>
                <w:tab w:val="left" w:pos="9072"/>
              </w:tabs>
              <w:bidi w:val="0"/>
              <w:spacing w:after="0" w:line="240" w:lineRule="auto"/>
              <w:jc w:val="center"/>
              <w:rPr>
                <w:rFonts w:ascii="Arial" w:hAnsi="Arial"/>
                <w:sz w:val="18"/>
                <w:szCs w:val="18"/>
              </w:rPr>
            </w:pPr>
            <w:r>
              <w:rPr>
                <w:rFonts w:ascii="Arial" w:hAnsi="Arial"/>
                <w:sz w:val="18"/>
                <w:szCs w:val="18"/>
              </w:rPr>
              <w:t>D</w:t>
            </w:r>
            <w:r w:rsidRPr="00797858">
              <w:rPr>
                <w:rFonts w:ascii="Arial" w:hAnsi="Arial"/>
                <w:sz w:val="18"/>
                <w:szCs w:val="18"/>
              </w:rPr>
              <w:t>ecrease</w:t>
            </w:r>
          </w:p>
        </w:tc>
      </w:tr>
      <w:tr w:rsidR="0071415F" w:rsidRPr="000D2E4D" w14:paraId="0837EA00" w14:textId="77777777" w:rsidTr="00402D8A">
        <w:trPr>
          <w:trHeight w:val="319"/>
          <w:jc w:val="center"/>
        </w:trPr>
        <w:tc>
          <w:tcPr>
            <w:tcW w:w="4880" w:type="dxa"/>
            <w:tcBorders>
              <w:top w:val="single" w:sz="4" w:space="0" w:color="auto"/>
              <w:left w:val="single" w:sz="4" w:space="0" w:color="auto"/>
              <w:right w:val="single" w:sz="4" w:space="0" w:color="auto"/>
            </w:tcBorders>
            <w:shd w:val="clear" w:color="auto" w:fill="auto"/>
            <w:noWrap/>
            <w:vAlign w:val="center"/>
          </w:tcPr>
          <w:p w14:paraId="6EF863CB" w14:textId="77777777" w:rsidR="0071415F" w:rsidRPr="00966878" w:rsidRDefault="0071415F" w:rsidP="00B866DB">
            <w:pPr>
              <w:tabs>
                <w:tab w:val="left" w:pos="9072"/>
              </w:tabs>
              <w:bidi w:val="0"/>
              <w:spacing w:after="0" w:line="240" w:lineRule="auto"/>
              <w:jc w:val="both"/>
              <w:rPr>
                <w:rFonts w:ascii="Arial" w:hAnsi="Arial"/>
                <w:bCs/>
                <w:color w:val="000000" w:themeColor="text1"/>
                <w:sz w:val="18"/>
                <w:szCs w:val="18"/>
              </w:rPr>
            </w:pPr>
            <w:r w:rsidRPr="00892F4C">
              <w:rPr>
                <w:rFonts w:ascii="Arial" w:hAnsi="Arial"/>
                <w:b/>
                <w:color w:val="000000" w:themeColor="text1"/>
                <w:sz w:val="18"/>
                <w:szCs w:val="18"/>
              </w:rPr>
              <w:t>Indicator7.b.1</w:t>
            </w:r>
            <w:r w:rsidRPr="00966878">
              <w:rPr>
                <w:rFonts w:ascii="Arial" w:hAnsi="Arial"/>
                <w:bCs/>
                <w:color w:val="000000" w:themeColor="text1"/>
                <w:sz w:val="18"/>
                <w:szCs w:val="18"/>
              </w:rPr>
              <w:t>Installed renewable energy-generating capacity in developing countries (in watts per capita)</w:t>
            </w:r>
          </w:p>
        </w:tc>
        <w:tc>
          <w:tcPr>
            <w:tcW w:w="1200" w:type="dxa"/>
            <w:tcBorders>
              <w:top w:val="single" w:sz="4" w:space="0" w:color="auto"/>
              <w:left w:val="nil"/>
              <w:right w:val="single" w:sz="4" w:space="0" w:color="auto"/>
            </w:tcBorders>
            <w:shd w:val="clear" w:color="auto" w:fill="auto"/>
            <w:noWrap/>
            <w:vAlign w:val="center"/>
          </w:tcPr>
          <w:p w14:paraId="4A194A86"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77" w:type="dxa"/>
            <w:tcBorders>
              <w:top w:val="single" w:sz="4" w:space="0" w:color="auto"/>
              <w:left w:val="nil"/>
              <w:right w:val="single" w:sz="4" w:space="0" w:color="auto"/>
            </w:tcBorders>
            <w:vAlign w:val="center"/>
          </w:tcPr>
          <w:p w14:paraId="474CC02F" w14:textId="0B47CB7A" w:rsidR="0071415F" w:rsidRPr="00966878" w:rsidRDefault="00402D8A"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23.1</w:t>
            </w:r>
            <w:r w:rsidR="0071415F" w:rsidRPr="00966878">
              <w:rPr>
                <w:rFonts w:ascii="Arial" w:hAnsi="Arial"/>
                <w:color w:val="000000" w:themeColor="text1"/>
                <w:sz w:val="18"/>
                <w:szCs w:val="18"/>
              </w:rPr>
              <w:t xml:space="preserve"> (</w:t>
            </w:r>
            <w:r>
              <w:rPr>
                <w:rFonts w:ascii="Arial" w:hAnsi="Arial"/>
                <w:color w:val="000000" w:themeColor="text1"/>
                <w:sz w:val="18"/>
                <w:szCs w:val="18"/>
              </w:rPr>
              <w:t>2020</w:t>
            </w:r>
            <w:r w:rsidR="0071415F" w:rsidRPr="00966878">
              <w:rPr>
                <w:rFonts w:ascii="Arial" w:hAnsi="Arial"/>
                <w:color w:val="000000" w:themeColor="text1"/>
                <w:sz w:val="18"/>
                <w:szCs w:val="18"/>
              </w:rPr>
              <w:t>)</w:t>
            </w:r>
          </w:p>
        </w:tc>
        <w:tc>
          <w:tcPr>
            <w:tcW w:w="977" w:type="dxa"/>
            <w:tcBorders>
              <w:top w:val="single" w:sz="4" w:space="0" w:color="auto"/>
              <w:left w:val="single" w:sz="4" w:space="0" w:color="auto"/>
              <w:right w:val="single" w:sz="4" w:space="0" w:color="auto"/>
            </w:tcBorders>
            <w:shd w:val="clear" w:color="auto" w:fill="auto"/>
            <w:noWrap/>
            <w:vAlign w:val="center"/>
          </w:tcPr>
          <w:p w14:paraId="6675AC2E" w14:textId="17349735" w:rsidR="0071415F" w:rsidRPr="00966878" w:rsidRDefault="00402D8A"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34.1</w:t>
            </w:r>
          </w:p>
        </w:tc>
        <w:tc>
          <w:tcPr>
            <w:tcW w:w="1459" w:type="dxa"/>
            <w:tcBorders>
              <w:top w:val="single" w:sz="4" w:space="0" w:color="auto"/>
              <w:left w:val="single" w:sz="4" w:space="0" w:color="auto"/>
              <w:right w:val="single" w:sz="4" w:space="0" w:color="auto"/>
            </w:tcBorders>
            <w:vAlign w:val="center"/>
          </w:tcPr>
          <w:p w14:paraId="4B5B4A22" w14:textId="77777777" w:rsidR="0071415F" w:rsidRPr="00797858" w:rsidRDefault="0071415F" w:rsidP="0071415F">
            <w:pPr>
              <w:tabs>
                <w:tab w:val="left" w:pos="9072"/>
              </w:tabs>
              <w:bidi w:val="0"/>
              <w:spacing w:after="0" w:line="240" w:lineRule="auto"/>
              <w:jc w:val="center"/>
              <w:rPr>
                <w:rFonts w:ascii="Arial" w:hAnsi="Arial"/>
                <w:sz w:val="18"/>
                <w:szCs w:val="18"/>
              </w:rPr>
            </w:pPr>
            <w:r w:rsidRPr="00797858">
              <w:rPr>
                <w:rFonts w:ascii="Arial" w:hAnsi="Arial"/>
                <w:sz w:val="18"/>
                <w:szCs w:val="18"/>
              </w:rPr>
              <w:t>Increase</w:t>
            </w:r>
          </w:p>
        </w:tc>
      </w:tr>
      <w:tr w:rsidR="0071415F" w:rsidRPr="000D2E4D" w14:paraId="07B9FDFB" w14:textId="77777777" w:rsidTr="00402D8A">
        <w:trPr>
          <w:trHeight w:val="319"/>
          <w:jc w:val="center"/>
        </w:trPr>
        <w:tc>
          <w:tcPr>
            <w:tcW w:w="4880" w:type="dxa"/>
            <w:tcBorders>
              <w:left w:val="single" w:sz="4" w:space="0" w:color="auto"/>
              <w:bottom w:val="single" w:sz="4" w:space="0" w:color="auto"/>
              <w:right w:val="single" w:sz="4" w:space="0" w:color="auto"/>
            </w:tcBorders>
            <w:shd w:val="clear" w:color="auto" w:fill="auto"/>
            <w:noWrap/>
            <w:vAlign w:val="center"/>
          </w:tcPr>
          <w:p w14:paraId="6418A7D6" w14:textId="3E2574F9" w:rsidR="0071415F" w:rsidRPr="00966878" w:rsidRDefault="0071415F" w:rsidP="0071415F">
            <w:pPr>
              <w:tabs>
                <w:tab w:val="left" w:pos="9072"/>
              </w:tabs>
              <w:bidi w:val="0"/>
              <w:spacing w:after="0" w:line="240" w:lineRule="auto"/>
              <w:ind w:left="336"/>
              <w:jc w:val="both"/>
              <w:rPr>
                <w:rFonts w:ascii="Arial" w:hAnsi="Arial"/>
                <w:b/>
                <w:color w:val="000000" w:themeColor="text1"/>
                <w:sz w:val="18"/>
                <w:szCs w:val="18"/>
              </w:rPr>
            </w:pPr>
            <w:r w:rsidRPr="00966878">
              <w:rPr>
                <w:rFonts w:ascii="Arial" w:hAnsi="Arial"/>
                <w:color w:val="000000" w:themeColor="text1"/>
                <w:sz w:val="18"/>
                <w:szCs w:val="18"/>
              </w:rPr>
              <w:t xml:space="preserve">Installed renewable energy-generating capacity in developing countries  (PCBS, </w:t>
            </w:r>
            <w:r w:rsidR="00402D8A">
              <w:rPr>
                <w:rFonts w:ascii="Arial" w:hAnsi="Arial"/>
                <w:color w:val="000000" w:themeColor="text1"/>
                <w:sz w:val="18"/>
                <w:szCs w:val="18"/>
              </w:rPr>
              <w:t>2021</w:t>
            </w:r>
            <w:r w:rsidRPr="00966878">
              <w:rPr>
                <w:rFonts w:ascii="Arial" w:hAnsi="Arial"/>
                <w:color w:val="000000" w:themeColor="text1"/>
                <w:sz w:val="18"/>
                <w:szCs w:val="18"/>
              </w:rPr>
              <w:t>, watts per capita)</w:t>
            </w:r>
          </w:p>
        </w:tc>
        <w:tc>
          <w:tcPr>
            <w:tcW w:w="1200" w:type="dxa"/>
            <w:tcBorders>
              <w:left w:val="nil"/>
              <w:bottom w:val="single" w:sz="4" w:space="0" w:color="auto"/>
              <w:right w:val="single" w:sz="4" w:space="0" w:color="auto"/>
            </w:tcBorders>
            <w:shd w:val="clear" w:color="auto" w:fill="auto"/>
            <w:noWrap/>
          </w:tcPr>
          <w:p w14:paraId="20EBB288"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977" w:type="dxa"/>
            <w:tcBorders>
              <w:left w:val="nil"/>
              <w:bottom w:val="single" w:sz="4" w:space="0" w:color="auto"/>
              <w:right w:val="single" w:sz="4" w:space="0" w:color="auto"/>
            </w:tcBorders>
          </w:tcPr>
          <w:p w14:paraId="0D2CD391"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977" w:type="dxa"/>
            <w:tcBorders>
              <w:left w:val="single" w:sz="4" w:space="0" w:color="auto"/>
              <w:bottom w:val="single" w:sz="4" w:space="0" w:color="auto"/>
              <w:right w:val="single" w:sz="4" w:space="0" w:color="auto"/>
            </w:tcBorders>
            <w:shd w:val="clear" w:color="auto" w:fill="auto"/>
            <w:noWrap/>
          </w:tcPr>
          <w:p w14:paraId="0BBD1215"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1459" w:type="dxa"/>
            <w:tcBorders>
              <w:left w:val="single" w:sz="4" w:space="0" w:color="auto"/>
              <w:bottom w:val="single" w:sz="4" w:space="0" w:color="auto"/>
              <w:right w:val="single" w:sz="4" w:space="0" w:color="auto"/>
            </w:tcBorders>
          </w:tcPr>
          <w:p w14:paraId="6F6B7024" w14:textId="77777777" w:rsidR="0071415F" w:rsidRDefault="0071415F" w:rsidP="0071415F">
            <w:pPr>
              <w:tabs>
                <w:tab w:val="left" w:pos="9072"/>
              </w:tabs>
              <w:bidi w:val="0"/>
              <w:spacing w:after="0" w:line="240" w:lineRule="auto"/>
              <w:jc w:val="center"/>
              <w:rPr>
                <w:rFonts w:ascii="Arial" w:hAnsi="Arial"/>
                <w:color w:val="000000"/>
                <w:sz w:val="18"/>
                <w:szCs w:val="18"/>
              </w:rPr>
            </w:pPr>
          </w:p>
        </w:tc>
      </w:tr>
    </w:tbl>
    <w:p w14:paraId="0551450D" w14:textId="77777777" w:rsidR="0071415F" w:rsidRPr="00BD3E97" w:rsidRDefault="00D76375" w:rsidP="009E3ECD">
      <w:pPr>
        <w:bidi w:val="0"/>
        <w:spacing w:after="0" w:line="240" w:lineRule="auto"/>
        <w:jc w:val="both"/>
        <w:rPr>
          <w:rFonts w:asciiTheme="minorBidi" w:hAnsiTheme="minorBidi" w:cstheme="minorBidi"/>
          <w:bCs/>
          <w:color w:val="000000" w:themeColor="text1"/>
          <w:sz w:val="18"/>
          <w:szCs w:val="18"/>
          <w:lang w:eastAsia="it-IT"/>
        </w:rPr>
      </w:pPr>
      <w:r w:rsidRPr="00BD3E97">
        <w:rPr>
          <w:rFonts w:asciiTheme="minorBidi" w:hAnsiTheme="minorBidi" w:cstheme="minorBidi"/>
          <w:b/>
          <w:bCs/>
          <w:sz w:val="18"/>
          <w:szCs w:val="18"/>
        </w:rPr>
        <w:t>*</w:t>
      </w:r>
      <w:r w:rsidRPr="00BD3E97">
        <w:rPr>
          <w:rFonts w:asciiTheme="minorBidi" w:hAnsiTheme="minorBidi" w:cstheme="minorBidi"/>
          <w:bCs/>
          <w:color w:val="000000" w:themeColor="text1"/>
          <w:sz w:val="18"/>
          <w:szCs w:val="18"/>
          <w:lang w:eastAsia="it-IT"/>
        </w:rPr>
        <w:t xml:space="preserve">Methodology adopted in </w:t>
      </w:r>
      <w:r w:rsidR="009E3ECD" w:rsidRPr="00BD3E97">
        <w:rPr>
          <w:rFonts w:asciiTheme="minorBidi" w:hAnsiTheme="minorBidi" w:cstheme="minorBidi"/>
          <w:bCs/>
          <w:color w:val="000000" w:themeColor="text1"/>
          <w:sz w:val="18"/>
          <w:szCs w:val="18"/>
          <w:lang w:eastAsia="it-IT"/>
        </w:rPr>
        <w:t xml:space="preserve">the </w:t>
      </w:r>
      <w:r w:rsidRPr="00BD3E97">
        <w:rPr>
          <w:rFonts w:asciiTheme="minorBidi" w:hAnsiTheme="minorBidi" w:cstheme="minorBidi"/>
          <w:bCs/>
          <w:color w:val="000000" w:themeColor="text1"/>
          <w:sz w:val="18"/>
          <w:szCs w:val="18"/>
          <w:lang w:eastAsia="it-IT"/>
        </w:rPr>
        <w:t xml:space="preserve">year 2020 is </w:t>
      </w:r>
      <w:r w:rsidR="00C66B88" w:rsidRPr="00BD3E97">
        <w:rPr>
          <w:rFonts w:asciiTheme="minorBidi" w:hAnsiTheme="minorBidi" w:cstheme="minorBidi"/>
          <w:bCs/>
          <w:color w:val="000000" w:themeColor="text1"/>
          <w:sz w:val="18"/>
          <w:szCs w:val="18"/>
          <w:lang w:eastAsia="it-IT"/>
        </w:rPr>
        <w:t>different</w:t>
      </w:r>
      <w:r w:rsidR="009E3ECD" w:rsidRPr="00BD3E97">
        <w:rPr>
          <w:rFonts w:asciiTheme="minorBidi" w:hAnsiTheme="minorBidi" w:cstheme="minorBidi"/>
          <w:bCs/>
          <w:color w:val="000000" w:themeColor="text1"/>
          <w:sz w:val="18"/>
          <w:szCs w:val="18"/>
          <w:lang w:eastAsia="it-IT"/>
        </w:rPr>
        <w:t>from the</w:t>
      </w:r>
      <w:r w:rsidRPr="00BD3E97">
        <w:rPr>
          <w:rFonts w:asciiTheme="minorBidi" w:hAnsiTheme="minorBidi" w:cstheme="minorBidi"/>
          <w:bCs/>
          <w:color w:val="000000" w:themeColor="text1"/>
          <w:sz w:val="18"/>
          <w:szCs w:val="18"/>
          <w:lang w:eastAsia="it-IT"/>
        </w:rPr>
        <w:t xml:space="preserve"> methodology adopted in 2017 for estimati</w:t>
      </w:r>
      <w:r w:rsidR="009E3ECD" w:rsidRPr="00BD3E97">
        <w:rPr>
          <w:rFonts w:asciiTheme="minorBidi" w:hAnsiTheme="minorBidi" w:cstheme="minorBidi"/>
          <w:bCs/>
          <w:color w:val="000000" w:themeColor="text1"/>
          <w:sz w:val="18"/>
          <w:szCs w:val="18"/>
          <w:lang w:eastAsia="it-IT"/>
        </w:rPr>
        <w:t>ng</w:t>
      </w:r>
      <w:r w:rsidRPr="00BD3E97">
        <w:rPr>
          <w:rFonts w:asciiTheme="minorBidi" w:hAnsiTheme="minorBidi" w:cstheme="minorBidi"/>
          <w:bCs/>
          <w:color w:val="000000" w:themeColor="text1"/>
          <w:sz w:val="18"/>
          <w:szCs w:val="18"/>
          <w:lang w:eastAsia="it-IT"/>
        </w:rPr>
        <w:t xml:space="preserve"> the indicator.</w:t>
      </w:r>
    </w:p>
    <w:p w14:paraId="19D2C669" w14:textId="77777777" w:rsidR="00E95A9F" w:rsidRPr="00FE68DF" w:rsidRDefault="00E95A9F" w:rsidP="00E95A9F">
      <w:pPr>
        <w:bidi w:val="0"/>
        <w:spacing w:after="0" w:line="240" w:lineRule="auto"/>
        <w:jc w:val="both"/>
        <w:rPr>
          <w:rFonts w:ascii="Times New Roman" w:hAnsi="Times New Roman" w:cs="Times New Roman"/>
          <w:b/>
          <w:bCs/>
          <w:sz w:val="24"/>
          <w:szCs w:val="24"/>
        </w:rPr>
      </w:pPr>
    </w:p>
    <w:p w14:paraId="461276F2" w14:textId="77777777" w:rsidR="0071415F" w:rsidRPr="00271A9A"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271A9A">
        <w:rPr>
          <w:rFonts w:ascii="Times New Roman" w:hAnsi="Times New Roman" w:cs="Times New Roman"/>
          <w:b/>
          <w:bCs/>
          <w:sz w:val="24"/>
          <w:szCs w:val="24"/>
        </w:rPr>
        <w:t xml:space="preserve">b. Reported </w:t>
      </w:r>
      <w:r w:rsidR="00D46D9A">
        <w:rPr>
          <w:rFonts w:ascii="Times New Roman" w:hAnsi="Times New Roman" w:cs="Times New Roman"/>
          <w:b/>
          <w:bCs/>
          <w:sz w:val="24"/>
          <w:szCs w:val="24"/>
        </w:rPr>
        <w:t>i</w:t>
      </w:r>
      <w:r w:rsidRPr="00271A9A">
        <w:rPr>
          <w:rFonts w:ascii="Times New Roman" w:hAnsi="Times New Roman" w:cs="Times New Roman"/>
          <w:b/>
          <w:bCs/>
          <w:sz w:val="24"/>
          <w:szCs w:val="24"/>
        </w:rPr>
        <w:t xml:space="preserve">ndicators by </w:t>
      </w:r>
      <w:r w:rsidR="00D46D9A">
        <w:rPr>
          <w:rFonts w:ascii="Times New Roman" w:hAnsi="Times New Roman" w:cs="Times New Roman"/>
          <w:b/>
          <w:bCs/>
          <w:sz w:val="24"/>
          <w:szCs w:val="24"/>
        </w:rPr>
        <w:t>o</w:t>
      </w:r>
      <w:r w:rsidRPr="00271A9A">
        <w:rPr>
          <w:rFonts w:ascii="Times New Roman" w:hAnsi="Times New Roman" w:cs="Times New Roman"/>
          <w:b/>
          <w:bCs/>
          <w:sz w:val="24"/>
          <w:szCs w:val="24"/>
        </w:rPr>
        <w:t xml:space="preserve">ther </w:t>
      </w:r>
      <w:r w:rsidR="00D46D9A">
        <w:rPr>
          <w:rFonts w:ascii="Times New Roman" w:hAnsi="Times New Roman" w:cs="Times New Roman"/>
          <w:b/>
          <w:bCs/>
          <w:sz w:val="24"/>
          <w:szCs w:val="24"/>
        </w:rPr>
        <w:t>s</w:t>
      </w:r>
      <w:r w:rsidRPr="00271A9A">
        <w:rPr>
          <w:rFonts w:ascii="Times New Roman" w:hAnsi="Times New Roman" w:cs="Times New Roman"/>
          <w:b/>
          <w:bCs/>
          <w:sz w:val="24"/>
          <w:szCs w:val="24"/>
        </w:rPr>
        <w:t>ources</w:t>
      </w:r>
    </w:p>
    <w:p w14:paraId="4D6A02B9" w14:textId="77777777" w:rsidR="0071415F" w:rsidRPr="001D5BA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271A9A">
        <w:rPr>
          <w:rFonts w:ascii="Times New Roman" w:hAnsi="Times New Roman" w:cs="Times New Roman"/>
          <w:sz w:val="24"/>
          <w:szCs w:val="24"/>
        </w:rPr>
        <w:t xml:space="preserve">There </w:t>
      </w:r>
      <w:r w:rsidR="00D46D9A">
        <w:rPr>
          <w:rFonts w:ascii="Times New Roman" w:hAnsi="Times New Roman" w:cs="Times New Roman"/>
          <w:sz w:val="24"/>
          <w:szCs w:val="24"/>
        </w:rPr>
        <w:t>is one</w:t>
      </w:r>
      <w:r w:rsidRPr="00271A9A">
        <w:rPr>
          <w:rFonts w:ascii="Times New Roman" w:hAnsi="Times New Roman" w:cs="Times New Roman"/>
          <w:sz w:val="24"/>
          <w:szCs w:val="24"/>
        </w:rPr>
        <w:t xml:space="preserve"> additional reported indicator by other sources that </w:t>
      </w:r>
      <w:r w:rsidR="00D46D9A">
        <w:rPr>
          <w:rFonts w:ascii="Times New Roman" w:hAnsi="Times New Roman" w:cs="Times New Roman"/>
          <w:sz w:val="24"/>
          <w:szCs w:val="24"/>
        </w:rPr>
        <w:t xml:space="preserve">is </w:t>
      </w:r>
      <w:r w:rsidRPr="00271A9A">
        <w:rPr>
          <w:rFonts w:ascii="Times New Roman" w:hAnsi="Times New Roman" w:cs="Times New Roman"/>
          <w:sz w:val="24"/>
          <w:szCs w:val="24"/>
        </w:rPr>
        <w:t xml:space="preserve">available on UNSD-Database for Goal </w:t>
      </w:r>
      <w:r w:rsidRPr="00271A9A">
        <w:rPr>
          <w:rFonts w:ascii="Times New Roman" w:hAnsi="Times New Roman" w:cs="Times New Roman" w:hint="cs"/>
          <w:sz w:val="24"/>
          <w:szCs w:val="24"/>
          <w:rtl/>
        </w:rPr>
        <w:t>7</w:t>
      </w:r>
      <w:r w:rsidRPr="00271A9A">
        <w:rPr>
          <w:rFonts w:ascii="Times New Roman" w:hAnsi="Times New Roman" w:cs="Times New Roman"/>
          <w:sz w:val="24"/>
          <w:szCs w:val="24"/>
        </w:rPr>
        <w:t xml:space="preserve"> referring to </w:t>
      </w:r>
      <w:r w:rsidR="00D46D9A">
        <w:rPr>
          <w:rFonts w:ascii="Times New Roman" w:hAnsi="Times New Roman" w:cs="Times New Roman"/>
          <w:sz w:val="24"/>
          <w:szCs w:val="24"/>
        </w:rPr>
        <w:t xml:space="preserve">one </w:t>
      </w:r>
      <w:r w:rsidRPr="00271A9A">
        <w:rPr>
          <w:rFonts w:ascii="Times New Roman" w:hAnsi="Times New Roman" w:cs="Times New Roman"/>
          <w:sz w:val="24"/>
          <w:szCs w:val="24"/>
        </w:rPr>
        <w:t xml:space="preserve">of the </w:t>
      </w:r>
      <w:r w:rsidR="00D46D9A">
        <w:rPr>
          <w:rFonts w:ascii="Times New Roman" w:hAnsi="Times New Roman" w:cs="Times New Roman"/>
          <w:sz w:val="24"/>
          <w:szCs w:val="24"/>
        </w:rPr>
        <w:t>five</w:t>
      </w:r>
      <w:r w:rsidRPr="00271A9A">
        <w:rPr>
          <w:rFonts w:ascii="Times New Roman" w:hAnsi="Times New Roman" w:cs="Times New Roman"/>
          <w:sz w:val="24"/>
          <w:szCs w:val="24"/>
        </w:rPr>
        <w:t>targets</w:t>
      </w:r>
      <w:r w:rsidR="00784F6B">
        <w:rPr>
          <w:rFonts w:ascii="Times New Roman" w:hAnsi="Times New Roman" w:cs="Times New Roman"/>
          <w:sz w:val="24"/>
          <w:szCs w:val="24"/>
        </w:rPr>
        <w:t>;t</w:t>
      </w:r>
      <w:r w:rsidRPr="001D5BA6">
        <w:rPr>
          <w:rFonts w:ascii="Times New Roman" w:hAnsi="Times New Roman" w:cs="Times New Roman"/>
          <w:sz w:val="24"/>
          <w:szCs w:val="24"/>
        </w:rPr>
        <w:t xml:space="preserve">herefore, all of the goal targets </w:t>
      </w:r>
      <w:r w:rsidR="00D46D9A">
        <w:rPr>
          <w:rFonts w:ascii="Times New Roman" w:hAnsi="Times New Roman" w:cs="Times New Roman"/>
          <w:sz w:val="24"/>
          <w:szCs w:val="24"/>
        </w:rPr>
        <w:t xml:space="preserve">have </w:t>
      </w:r>
      <w:r w:rsidRPr="001D5BA6">
        <w:rPr>
          <w:rFonts w:ascii="Times New Roman" w:hAnsi="Times New Roman" w:cs="Times New Roman"/>
          <w:sz w:val="24"/>
          <w:szCs w:val="24"/>
        </w:rPr>
        <w:t xml:space="preserve">either </w:t>
      </w:r>
      <w:r w:rsidR="00D46D9A">
        <w:rPr>
          <w:rFonts w:ascii="Times New Roman" w:hAnsi="Times New Roman" w:cs="Times New Roman"/>
          <w:sz w:val="24"/>
          <w:szCs w:val="24"/>
        </w:rPr>
        <w:t xml:space="preserve">been </w:t>
      </w:r>
      <w:r w:rsidRPr="001D5BA6">
        <w:rPr>
          <w:rFonts w:ascii="Times New Roman" w:hAnsi="Times New Roman" w:cs="Times New Roman"/>
          <w:sz w:val="24"/>
          <w:szCs w:val="24"/>
        </w:rPr>
        <w:t>fully or partially</w:t>
      </w:r>
      <w:r w:rsidR="00D46D9A">
        <w:rPr>
          <w:rFonts w:ascii="Times New Roman" w:hAnsi="Times New Roman" w:cs="Times New Roman"/>
          <w:sz w:val="24"/>
          <w:szCs w:val="24"/>
        </w:rPr>
        <w:t xml:space="preserve"> covered</w:t>
      </w:r>
      <w:r w:rsidRPr="001D5BA6">
        <w:rPr>
          <w:rFonts w:ascii="Times New Roman" w:hAnsi="Times New Roman" w:cs="Times New Roman"/>
          <w:sz w:val="24"/>
          <w:szCs w:val="24"/>
        </w:rPr>
        <w:t>.</w:t>
      </w:r>
    </w:p>
    <w:p w14:paraId="76F740C1" w14:textId="77777777" w:rsidR="0071415F" w:rsidRDefault="0071415F" w:rsidP="0071415F">
      <w:pPr>
        <w:bidi w:val="0"/>
        <w:spacing w:after="0" w:line="240" w:lineRule="auto"/>
        <w:jc w:val="center"/>
        <w:rPr>
          <w:rFonts w:ascii="Arial" w:hAnsi="Arial"/>
          <w:b/>
          <w:bCs/>
          <w:lang w:eastAsia="ar-SA"/>
        </w:rPr>
      </w:pPr>
    </w:p>
    <w:p w14:paraId="067C2C3F" w14:textId="77777777" w:rsidR="0071415F" w:rsidRPr="00BD3E97" w:rsidRDefault="0071415F" w:rsidP="0071415F">
      <w:pPr>
        <w:bidi w:val="0"/>
        <w:spacing w:after="0" w:line="240" w:lineRule="auto"/>
        <w:jc w:val="center"/>
        <w:rPr>
          <w:rFonts w:asciiTheme="minorBidi" w:hAnsiTheme="minorBidi" w:cstheme="minorBidi"/>
          <w:b/>
          <w:bCs/>
          <w:lang w:eastAsia="ar-SA"/>
        </w:rPr>
      </w:pPr>
      <w:r w:rsidRPr="00BD3E97">
        <w:rPr>
          <w:rFonts w:asciiTheme="minorBidi" w:hAnsiTheme="minorBidi" w:cstheme="minorBidi"/>
          <w:b/>
          <w:bCs/>
          <w:lang w:eastAsia="ar-SA"/>
        </w:rPr>
        <w:t xml:space="preserve">Table </w:t>
      </w:r>
      <w:r w:rsidRPr="00BD3E97">
        <w:rPr>
          <w:rFonts w:asciiTheme="minorBidi" w:hAnsiTheme="minorBidi" w:cstheme="minorBidi"/>
          <w:b/>
          <w:bCs/>
          <w:rtl/>
          <w:lang w:eastAsia="ar-SA"/>
        </w:rPr>
        <w:t>7</w:t>
      </w:r>
      <w:r w:rsidRPr="00BD3E97">
        <w:rPr>
          <w:rFonts w:asciiTheme="minorBidi" w:hAnsiTheme="minorBidi" w:cstheme="minorBidi"/>
          <w:b/>
          <w:bCs/>
          <w:lang w:eastAsia="ar-SA"/>
        </w:rPr>
        <w:t xml:space="preserve">.2: List of SDGs indicators </w:t>
      </w:r>
      <w:r w:rsidR="00D46D9A">
        <w:rPr>
          <w:rFonts w:asciiTheme="minorBidi" w:hAnsiTheme="minorBidi" w:cstheme="minorBidi"/>
          <w:b/>
          <w:bCs/>
          <w:lang w:eastAsia="ar-SA"/>
        </w:rPr>
        <w:t>R</w:t>
      </w:r>
      <w:r w:rsidRPr="00BD3E97">
        <w:rPr>
          <w:rFonts w:asciiTheme="minorBidi" w:hAnsiTheme="minorBidi" w:cstheme="minorBidi"/>
          <w:b/>
          <w:bCs/>
          <w:lang w:eastAsia="ar-SA"/>
        </w:rPr>
        <w:t xml:space="preserve">eleased by </w:t>
      </w:r>
      <w:r w:rsidRPr="00BD3E97">
        <w:rPr>
          <w:rFonts w:asciiTheme="minorBidi" w:hAnsiTheme="minorBidi" w:cstheme="minorBidi"/>
          <w:b/>
          <w:bCs/>
        </w:rPr>
        <w:t>Other Sources</w:t>
      </w:r>
    </w:p>
    <w:p w14:paraId="64BA1160"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horzAnchor="margin" w:tblpY="33"/>
        <w:tblOverlap w:val="never"/>
        <w:tblW w:w="5461" w:type="pct"/>
        <w:tblLook w:val="04A0" w:firstRow="1" w:lastRow="0" w:firstColumn="1" w:lastColumn="0" w:noHBand="0" w:noVBand="1"/>
      </w:tblPr>
      <w:tblGrid>
        <w:gridCol w:w="6382"/>
        <w:gridCol w:w="3513"/>
      </w:tblGrid>
      <w:tr w:rsidR="0071415F" w:rsidRPr="000D2E4D" w14:paraId="2C20DCDD" w14:textId="77777777" w:rsidTr="009E4880">
        <w:trPr>
          <w:trHeight w:val="504"/>
        </w:trPr>
        <w:tc>
          <w:tcPr>
            <w:tcW w:w="63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97B52" w14:textId="77777777" w:rsidR="0071415F" w:rsidRPr="00A16230" w:rsidRDefault="0071415F" w:rsidP="009E4880">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3513" w:type="dxa"/>
            <w:tcBorders>
              <w:top w:val="single" w:sz="4" w:space="0" w:color="auto"/>
              <w:left w:val="nil"/>
              <w:bottom w:val="single" w:sz="4" w:space="0" w:color="auto"/>
              <w:right w:val="single" w:sz="4" w:space="0" w:color="auto"/>
            </w:tcBorders>
            <w:vAlign w:val="center"/>
          </w:tcPr>
          <w:p w14:paraId="253CE4C3" w14:textId="77777777" w:rsidR="0071415F" w:rsidRPr="001D5BA6" w:rsidRDefault="0071415F" w:rsidP="009E4880">
            <w:pPr>
              <w:bidi w:val="0"/>
              <w:spacing w:after="0" w:line="240" w:lineRule="auto"/>
              <w:jc w:val="center"/>
            </w:pPr>
            <w:r w:rsidRPr="001D5BA6">
              <w:rPr>
                <w:rFonts w:ascii="Arial" w:hAnsi="Arial"/>
                <w:b/>
                <w:bCs/>
                <w:sz w:val="18"/>
                <w:szCs w:val="18"/>
              </w:rPr>
              <w:t>Most Recent Year</w:t>
            </w:r>
          </w:p>
        </w:tc>
      </w:tr>
      <w:tr w:rsidR="0071415F" w:rsidRPr="000D2E4D" w14:paraId="7C726F69" w14:textId="77777777" w:rsidTr="009E4880">
        <w:trPr>
          <w:trHeight w:val="389"/>
        </w:trPr>
        <w:tc>
          <w:tcPr>
            <w:tcW w:w="638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C5E3D4" w14:textId="77777777" w:rsidR="0071415F" w:rsidRDefault="0071415F" w:rsidP="009E4880">
            <w:pPr>
              <w:tabs>
                <w:tab w:val="left" w:pos="9072"/>
              </w:tabs>
              <w:bidi w:val="0"/>
              <w:spacing w:after="0" w:line="240" w:lineRule="auto"/>
              <w:rPr>
                <w:rFonts w:ascii="Arial" w:hAnsi="Arial"/>
                <w:bCs/>
                <w:color w:val="000000" w:themeColor="text1"/>
                <w:sz w:val="18"/>
                <w:szCs w:val="18"/>
              </w:rPr>
            </w:pPr>
            <w:r w:rsidRPr="008E55B3">
              <w:rPr>
                <w:rFonts w:ascii="Arial" w:hAnsi="Arial"/>
                <w:b/>
                <w:color w:val="000000" w:themeColor="text1"/>
                <w:sz w:val="18"/>
                <w:szCs w:val="18"/>
              </w:rPr>
              <w:t>Indicator</w:t>
            </w:r>
            <w:r w:rsidRPr="00B866DB">
              <w:rPr>
                <w:rFonts w:ascii="Arial" w:hAnsi="Arial"/>
                <w:b/>
                <w:color w:val="000000" w:themeColor="text1"/>
                <w:sz w:val="18"/>
                <w:szCs w:val="18"/>
              </w:rPr>
              <w:t>7.a.1</w:t>
            </w:r>
            <w:r w:rsidRPr="008E55B3">
              <w:rPr>
                <w:rFonts w:ascii="Arial" w:hAnsi="Arial"/>
                <w:bCs/>
                <w:color w:val="000000" w:themeColor="text1"/>
                <w:sz w:val="18"/>
                <w:szCs w:val="18"/>
              </w:rPr>
              <w:t xml:space="preserve"> International financial flows to developing countries in support of clean energy research and development and renewable energy production including in hybrid systems </w:t>
            </w:r>
          </w:p>
          <w:p w14:paraId="59C1F1D0" w14:textId="77777777" w:rsidR="008766D9" w:rsidRPr="00080517" w:rsidRDefault="008766D9" w:rsidP="008766D9">
            <w:pPr>
              <w:tabs>
                <w:tab w:val="left" w:pos="9072"/>
              </w:tabs>
              <w:bidi w:val="0"/>
              <w:spacing w:after="0" w:line="240" w:lineRule="auto"/>
              <w:rPr>
                <w:rFonts w:ascii="Arial" w:hAnsi="Arial"/>
                <w:color w:val="000000"/>
                <w:sz w:val="18"/>
                <w:szCs w:val="18"/>
              </w:rPr>
            </w:pPr>
          </w:p>
        </w:tc>
        <w:tc>
          <w:tcPr>
            <w:tcW w:w="3513" w:type="dxa"/>
            <w:tcBorders>
              <w:top w:val="single" w:sz="4" w:space="0" w:color="auto"/>
              <w:left w:val="nil"/>
              <w:bottom w:val="single" w:sz="4" w:space="0" w:color="auto"/>
              <w:right w:val="single" w:sz="4" w:space="0" w:color="auto"/>
            </w:tcBorders>
            <w:vAlign w:val="center"/>
          </w:tcPr>
          <w:p w14:paraId="0066A271" w14:textId="77777777" w:rsidR="0071415F" w:rsidRPr="00080517" w:rsidRDefault="00956767" w:rsidP="009E4880">
            <w:pPr>
              <w:spacing w:after="0" w:line="240" w:lineRule="auto"/>
              <w:ind w:right="57"/>
              <w:jc w:val="center"/>
              <w:rPr>
                <w:rFonts w:ascii="Arial" w:hAnsi="Arial"/>
                <w:color w:val="000000"/>
                <w:sz w:val="18"/>
                <w:szCs w:val="18"/>
              </w:rPr>
            </w:pPr>
            <w:r>
              <w:rPr>
                <w:rFonts w:ascii="Arial" w:hAnsi="Arial"/>
                <w:color w:val="000000"/>
                <w:sz w:val="18"/>
                <w:szCs w:val="18"/>
              </w:rPr>
              <w:t>2019</w:t>
            </w:r>
          </w:p>
        </w:tc>
      </w:tr>
    </w:tbl>
    <w:p w14:paraId="4D290F59"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B3EA977"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7.1.1: Proportion of population with access to electricity</w:t>
      </w:r>
    </w:p>
    <w:p w14:paraId="6DF815CA" w14:textId="77777777" w:rsidR="00877949" w:rsidRPr="00966878"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6168E53C" w14:textId="77777777"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 xml:space="preserve">According to the 2020 social and economic household survey, </w:t>
      </w:r>
      <w:r>
        <w:rPr>
          <w:rFonts w:ascii="Times New Roman" w:hAnsi="Times New Roman" w:cs="Times New Roman"/>
          <w:color w:val="000000" w:themeColor="text1"/>
          <w:sz w:val="24"/>
          <w:szCs w:val="24"/>
          <w:lang w:eastAsia="ar-SA"/>
        </w:rPr>
        <w:t>100</w:t>
      </w:r>
      <w:r w:rsidRPr="00966878">
        <w:rPr>
          <w:rFonts w:ascii="Times New Roman" w:hAnsi="Times New Roman" w:cs="Times New Roman"/>
          <w:color w:val="000000" w:themeColor="text1"/>
          <w:sz w:val="24"/>
          <w:szCs w:val="24"/>
          <w:lang w:eastAsia="ar-SA"/>
        </w:rPr>
        <w:t>% of Palestinian population ha</w:t>
      </w:r>
      <w:r w:rsidR="00784F6B">
        <w:rPr>
          <w:rFonts w:ascii="Times New Roman" w:hAnsi="Times New Roman" w:cs="Times New Roman"/>
          <w:color w:val="000000" w:themeColor="text1"/>
          <w:sz w:val="24"/>
          <w:szCs w:val="24"/>
          <w:lang w:eastAsia="ar-SA"/>
        </w:rPr>
        <w:t>s</w:t>
      </w:r>
      <w:r w:rsidRPr="00966878">
        <w:rPr>
          <w:rFonts w:ascii="Times New Roman" w:hAnsi="Times New Roman" w:cs="Times New Roman"/>
          <w:color w:val="000000" w:themeColor="text1"/>
          <w:sz w:val="24"/>
          <w:szCs w:val="24"/>
          <w:lang w:eastAsia="ar-SA"/>
        </w:rPr>
        <w:t xml:space="preserve"> access to electricity. However, this figure doesn’t</w:t>
      </w:r>
      <w:r w:rsidR="00D46D9A">
        <w:rPr>
          <w:rFonts w:ascii="Times New Roman" w:hAnsi="Times New Roman" w:cs="Times New Roman"/>
          <w:color w:val="000000" w:themeColor="text1"/>
          <w:sz w:val="24"/>
          <w:szCs w:val="24"/>
          <w:lang w:eastAsia="ar-SA"/>
        </w:rPr>
        <w:t>provide</w:t>
      </w:r>
      <w:r w:rsidRPr="00966878">
        <w:rPr>
          <w:rFonts w:ascii="Times New Roman" w:hAnsi="Times New Roman" w:cs="Times New Roman"/>
          <w:color w:val="000000" w:themeColor="text1"/>
          <w:sz w:val="24"/>
          <w:szCs w:val="24"/>
          <w:lang w:eastAsia="ar-SA"/>
        </w:rPr>
        <w:t xml:space="preserve"> the full picture of the real situation especially in </w:t>
      </w:r>
      <w:r w:rsidR="00D46D9A">
        <w:rPr>
          <w:rFonts w:ascii="Times New Roman" w:hAnsi="Times New Roman" w:cs="Times New Roman"/>
          <w:color w:val="000000" w:themeColor="text1"/>
          <w:sz w:val="24"/>
          <w:szCs w:val="24"/>
          <w:lang w:eastAsia="ar-SA"/>
        </w:rPr>
        <w:t xml:space="preserve">the </w:t>
      </w:r>
      <w:r w:rsidRPr="00966878">
        <w:rPr>
          <w:rFonts w:ascii="Times New Roman" w:hAnsi="Times New Roman" w:cs="Times New Roman"/>
          <w:color w:val="000000" w:themeColor="text1"/>
          <w:sz w:val="24"/>
          <w:szCs w:val="24"/>
          <w:lang w:eastAsia="ar-SA"/>
        </w:rPr>
        <w:t xml:space="preserve">Gaza Strip which suffers from frequent disruption in the supply of electricity. </w:t>
      </w:r>
      <w:r w:rsidR="00D46D9A">
        <w:rPr>
          <w:rFonts w:ascii="Times New Roman" w:hAnsi="Times New Roman" w:cs="Times New Roman"/>
          <w:color w:val="000000" w:themeColor="text1"/>
          <w:sz w:val="24"/>
          <w:szCs w:val="24"/>
          <w:lang w:eastAsia="ar-SA"/>
        </w:rPr>
        <w:t xml:space="preserve">In the Gaza Strip, </w:t>
      </w:r>
      <w:r w:rsidRPr="00966878">
        <w:rPr>
          <w:rFonts w:ascii="Times New Roman" w:hAnsi="Times New Roman" w:cs="Times New Roman"/>
          <w:color w:val="000000" w:themeColor="text1"/>
          <w:sz w:val="24"/>
          <w:szCs w:val="24"/>
          <w:lang w:eastAsia="ar-SA"/>
        </w:rPr>
        <w:t xml:space="preserve">88% of </w:t>
      </w:r>
      <w:r w:rsidR="00D46D9A">
        <w:rPr>
          <w:rFonts w:ascii="Times New Roman" w:hAnsi="Times New Roman" w:cs="Times New Roman"/>
          <w:color w:val="000000" w:themeColor="text1"/>
          <w:sz w:val="24"/>
          <w:szCs w:val="24"/>
          <w:lang w:eastAsia="ar-SA"/>
        </w:rPr>
        <w:t xml:space="preserve">the </w:t>
      </w:r>
      <w:r w:rsidRPr="00966878">
        <w:rPr>
          <w:rFonts w:ascii="Times New Roman" w:hAnsi="Times New Roman" w:cs="Times New Roman"/>
          <w:color w:val="000000" w:themeColor="text1"/>
          <w:sz w:val="24"/>
          <w:szCs w:val="24"/>
          <w:lang w:eastAsia="ar-SA"/>
        </w:rPr>
        <w:t xml:space="preserve"> population experience</w:t>
      </w:r>
      <w:r w:rsidR="00D46D9A">
        <w:rPr>
          <w:rFonts w:ascii="Times New Roman" w:hAnsi="Times New Roman" w:cs="Times New Roman"/>
          <w:color w:val="000000" w:themeColor="text1"/>
          <w:sz w:val="24"/>
          <w:szCs w:val="24"/>
          <w:lang w:eastAsia="ar-SA"/>
        </w:rPr>
        <w:t>d</w:t>
      </w:r>
      <w:r w:rsidRPr="00966878">
        <w:rPr>
          <w:rFonts w:ascii="Times New Roman" w:hAnsi="Times New Roman" w:cs="Times New Roman"/>
          <w:color w:val="000000" w:themeColor="text1"/>
          <w:sz w:val="24"/>
          <w:szCs w:val="24"/>
          <w:lang w:eastAsia="ar-SA"/>
        </w:rPr>
        <w:t xml:space="preserve"> daily power cuts in year 2020, whereas the disruptions affect</w:t>
      </w:r>
      <w:r w:rsidR="00D46D9A">
        <w:rPr>
          <w:rFonts w:ascii="Times New Roman" w:hAnsi="Times New Roman" w:cs="Times New Roman"/>
          <w:color w:val="000000" w:themeColor="text1"/>
          <w:sz w:val="24"/>
          <w:szCs w:val="24"/>
          <w:lang w:eastAsia="ar-SA"/>
        </w:rPr>
        <w:t>ed</w:t>
      </w:r>
      <w:r w:rsidRPr="00966878">
        <w:rPr>
          <w:rFonts w:ascii="Times New Roman" w:hAnsi="Times New Roman" w:cs="Times New Roman"/>
          <w:color w:val="000000" w:themeColor="text1"/>
          <w:sz w:val="24"/>
          <w:szCs w:val="24"/>
          <w:lang w:eastAsia="ar-SA"/>
        </w:rPr>
        <w:t xml:space="preserve"> less than 0.5% of the West Bank population.</w:t>
      </w:r>
    </w:p>
    <w:p w14:paraId="102F1C92" w14:textId="77777777"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p>
    <w:p w14:paraId="7A67C47C" w14:textId="77777777" w:rsidR="0071415F" w:rsidRDefault="0071415F" w:rsidP="00F412BE">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 xml:space="preserve">The shortage of power supply in Gaza Strip reached 52% from its needs as of July 2021, this is due to the Israeli measures </w:t>
      </w:r>
      <w:r w:rsidR="00D46D9A">
        <w:rPr>
          <w:rFonts w:ascii="Times New Roman" w:hAnsi="Times New Roman" w:cs="Times New Roman"/>
          <w:color w:val="000000" w:themeColor="text1"/>
          <w:sz w:val="24"/>
          <w:szCs w:val="24"/>
          <w:lang w:eastAsia="ar-SA"/>
        </w:rPr>
        <w:t xml:space="preserve">denying the </w:t>
      </w:r>
      <w:r w:rsidRPr="00966878">
        <w:rPr>
          <w:rFonts w:ascii="Times New Roman" w:hAnsi="Times New Roman" w:cs="Times New Roman"/>
          <w:color w:val="000000" w:themeColor="text1"/>
          <w:sz w:val="24"/>
          <w:szCs w:val="24"/>
          <w:lang w:eastAsia="ar-SA"/>
        </w:rPr>
        <w:t>supply</w:t>
      </w:r>
      <w:r w:rsidR="00D46D9A">
        <w:rPr>
          <w:rFonts w:ascii="Times New Roman" w:hAnsi="Times New Roman" w:cs="Times New Roman"/>
          <w:color w:val="000000" w:themeColor="text1"/>
          <w:sz w:val="24"/>
          <w:szCs w:val="24"/>
          <w:lang w:eastAsia="ar-SA"/>
        </w:rPr>
        <w:t xml:space="preserve"> of</w:t>
      </w:r>
      <w:r w:rsidRPr="00966878">
        <w:rPr>
          <w:rFonts w:ascii="Times New Roman" w:hAnsi="Times New Roman" w:cs="Times New Roman"/>
          <w:color w:val="000000" w:themeColor="text1"/>
          <w:sz w:val="24"/>
          <w:szCs w:val="24"/>
          <w:lang w:eastAsia="ar-SA"/>
        </w:rPr>
        <w:t xml:space="preserve"> Gaza with the required fuel to run the power plant </w:t>
      </w:r>
      <w:r w:rsidR="00D46D9A">
        <w:rPr>
          <w:rFonts w:ascii="Times New Roman" w:hAnsi="Times New Roman" w:cs="Times New Roman"/>
          <w:color w:val="000000" w:themeColor="text1"/>
          <w:sz w:val="24"/>
          <w:szCs w:val="24"/>
          <w:lang w:eastAsia="ar-SA"/>
        </w:rPr>
        <w:t>at</w:t>
      </w:r>
      <w:r w:rsidRPr="00966878">
        <w:rPr>
          <w:rFonts w:ascii="Times New Roman" w:hAnsi="Times New Roman" w:cs="Times New Roman"/>
          <w:color w:val="000000" w:themeColor="text1"/>
          <w:sz w:val="24"/>
          <w:szCs w:val="24"/>
          <w:lang w:eastAsia="ar-SA"/>
        </w:rPr>
        <w:t xml:space="preserve"> full capacity, not providing Gaza with power demands through the grid</w:t>
      </w:r>
      <w:r w:rsidR="00D46D9A">
        <w:rPr>
          <w:rFonts w:ascii="Times New Roman" w:hAnsi="Times New Roman" w:cs="Times New Roman"/>
          <w:color w:val="000000" w:themeColor="text1"/>
          <w:sz w:val="24"/>
          <w:szCs w:val="24"/>
          <w:lang w:eastAsia="ar-SA"/>
        </w:rPr>
        <w:t>,</w:t>
      </w:r>
      <w:r w:rsidRPr="00966878">
        <w:rPr>
          <w:rFonts w:ascii="Times New Roman" w:hAnsi="Times New Roman" w:cs="Times New Roman"/>
          <w:color w:val="000000" w:themeColor="text1"/>
          <w:sz w:val="24"/>
          <w:szCs w:val="24"/>
          <w:lang w:eastAsia="ar-SA"/>
        </w:rPr>
        <w:t xml:space="preserve"> and due to the cut of the supply from Egypt since March, 2018</w:t>
      </w:r>
      <w:r w:rsidR="0071046E">
        <w:rPr>
          <w:rFonts w:ascii="Times New Roman" w:hAnsi="Times New Roman" w:cs="Times New Roman"/>
          <w:color w:val="000000" w:themeColor="text1"/>
          <w:sz w:val="24"/>
          <w:szCs w:val="24"/>
          <w:lang w:eastAsia="ar-SA"/>
        </w:rPr>
        <w:t>.</w:t>
      </w:r>
      <w:r w:rsidR="00EE6368">
        <w:rPr>
          <w:rStyle w:val="FootnoteReference"/>
          <w:rFonts w:ascii="Times New Roman" w:hAnsi="Times New Roman" w:cs="Times New Roman"/>
          <w:color w:val="000000" w:themeColor="text1"/>
          <w:sz w:val="24"/>
          <w:szCs w:val="24"/>
          <w:lang w:eastAsia="ar-SA"/>
        </w:rPr>
        <w:footnoteReference w:id="6"/>
      </w:r>
    </w:p>
    <w:p w14:paraId="79E9B2C4" w14:textId="77777777" w:rsidR="00F412BE" w:rsidRDefault="00F412BE" w:rsidP="00F412BE">
      <w:pPr>
        <w:bidi w:val="0"/>
        <w:spacing w:after="0" w:line="240" w:lineRule="auto"/>
        <w:ind w:right="-334"/>
        <w:jc w:val="both"/>
        <w:rPr>
          <w:rFonts w:ascii="Times New Roman" w:hAnsi="Times New Roman" w:cs="Times New Roman"/>
          <w:color w:val="000000" w:themeColor="text1"/>
          <w:sz w:val="24"/>
          <w:szCs w:val="24"/>
          <w:lang w:eastAsia="ar-SA"/>
        </w:rPr>
      </w:pPr>
    </w:p>
    <w:p w14:paraId="157C14CC" w14:textId="77777777" w:rsidR="00DD0DC4" w:rsidRDefault="00DD0DC4" w:rsidP="00DD0DC4">
      <w:pPr>
        <w:bidi w:val="0"/>
        <w:spacing w:after="0" w:line="240" w:lineRule="auto"/>
        <w:ind w:right="-334"/>
        <w:jc w:val="both"/>
        <w:rPr>
          <w:rFonts w:ascii="Times New Roman" w:hAnsi="Times New Roman" w:cs="Times New Roman"/>
          <w:color w:val="000000" w:themeColor="text1"/>
          <w:sz w:val="24"/>
          <w:szCs w:val="24"/>
          <w:lang w:eastAsia="ar-SA"/>
        </w:rPr>
      </w:pPr>
    </w:p>
    <w:p w14:paraId="543698DF" w14:textId="77777777" w:rsidR="00877949" w:rsidRDefault="00877949" w:rsidP="00877949">
      <w:pPr>
        <w:bidi w:val="0"/>
        <w:spacing w:after="0" w:line="240" w:lineRule="auto"/>
        <w:ind w:right="-334"/>
        <w:jc w:val="both"/>
        <w:rPr>
          <w:rFonts w:ascii="Times New Roman" w:hAnsi="Times New Roman" w:cs="Times New Roman"/>
          <w:color w:val="000000" w:themeColor="text1"/>
          <w:sz w:val="24"/>
          <w:szCs w:val="24"/>
          <w:lang w:eastAsia="ar-SA"/>
        </w:rPr>
      </w:pPr>
    </w:p>
    <w:p w14:paraId="4D9376C8" w14:textId="77777777" w:rsidR="00877949" w:rsidRPr="00966878" w:rsidRDefault="00877949" w:rsidP="00877949">
      <w:pPr>
        <w:bidi w:val="0"/>
        <w:spacing w:after="0" w:line="240" w:lineRule="auto"/>
        <w:ind w:right="-334"/>
        <w:jc w:val="both"/>
        <w:rPr>
          <w:rFonts w:ascii="Times New Roman" w:hAnsi="Times New Roman" w:cs="Times New Roman"/>
          <w:color w:val="000000" w:themeColor="text1"/>
          <w:sz w:val="24"/>
          <w:szCs w:val="24"/>
          <w:lang w:eastAsia="ar-SA"/>
        </w:rPr>
      </w:pPr>
    </w:p>
    <w:p w14:paraId="2D40B358" w14:textId="77777777" w:rsidR="0071415F" w:rsidRDefault="0071415F" w:rsidP="0071415F">
      <w:pPr>
        <w:bidi w:val="0"/>
        <w:spacing w:after="0" w:line="240" w:lineRule="auto"/>
        <w:ind w:right="-334"/>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lastRenderedPageBreak/>
        <w:t>Indicator 7.1.2 Proportion of population with primary reliance on clean fuels and technology</w:t>
      </w:r>
    </w:p>
    <w:p w14:paraId="262D04E5" w14:textId="77777777" w:rsidR="00877949" w:rsidRPr="00966878" w:rsidRDefault="00877949" w:rsidP="00877949">
      <w:pPr>
        <w:bidi w:val="0"/>
        <w:spacing w:after="0" w:line="240" w:lineRule="auto"/>
        <w:ind w:right="-334"/>
        <w:jc w:val="both"/>
        <w:rPr>
          <w:rFonts w:ascii="Times New Roman" w:hAnsi="Times New Roman" w:cs="Times New Roman"/>
          <w:b/>
          <w:bCs/>
          <w:i/>
          <w:iCs/>
          <w:color w:val="000000" w:themeColor="text1"/>
          <w:sz w:val="24"/>
          <w:szCs w:val="24"/>
        </w:rPr>
      </w:pPr>
    </w:p>
    <w:p w14:paraId="28219B70" w14:textId="77777777" w:rsidR="00E3299A" w:rsidRDefault="00A6125D" w:rsidP="00E3299A">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themeColor="text1"/>
          <w:sz w:val="24"/>
          <w:szCs w:val="24"/>
          <w:lang w:eastAsia="ar-SA"/>
        </w:rPr>
        <w:t>T</w:t>
      </w:r>
      <w:r w:rsidR="00E3299A">
        <w:rPr>
          <w:rFonts w:ascii="Times New Roman" w:hAnsi="Times New Roman" w:cs="Times New Roman"/>
          <w:color w:val="000000" w:themeColor="text1"/>
          <w:sz w:val="24"/>
          <w:szCs w:val="24"/>
          <w:lang w:eastAsia="ar-SA"/>
        </w:rPr>
        <w:t xml:space="preserve">he </w:t>
      </w:r>
      <w:r>
        <w:rPr>
          <w:rFonts w:ascii="Times New Roman" w:hAnsi="Times New Roman" w:cs="Times New Roman"/>
          <w:color w:val="000000" w:themeColor="text1"/>
          <w:sz w:val="24"/>
          <w:szCs w:val="24"/>
          <w:lang w:eastAsia="ar-SA"/>
        </w:rPr>
        <w:t>p</w:t>
      </w:r>
      <w:r w:rsidR="0071415F" w:rsidRPr="008734C2">
        <w:rPr>
          <w:rFonts w:ascii="Times New Roman" w:hAnsi="Times New Roman" w:cs="Times New Roman"/>
          <w:color w:val="000000" w:themeColor="text1"/>
          <w:sz w:val="24"/>
          <w:szCs w:val="24"/>
          <w:lang w:eastAsia="ar-SA"/>
        </w:rPr>
        <w:t>roportion of population with primary reliance on clean fuels and technology</w:t>
      </w:r>
      <w:r>
        <w:rPr>
          <w:rFonts w:ascii="Times New Roman" w:hAnsi="Times New Roman" w:cs="Times New Roman"/>
          <w:color w:val="000000" w:themeColor="text1"/>
          <w:sz w:val="24"/>
          <w:szCs w:val="24"/>
          <w:lang w:eastAsia="ar-SA"/>
        </w:rPr>
        <w:t xml:space="preserve">reached 81.5% </w:t>
      </w:r>
      <w:r w:rsidR="0071415F">
        <w:rPr>
          <w:rFonts w:ascii="Times New Roman" w:hAnsi="Times New Roman" w:cs="Times New Roman"/>
          <w:color w:val="000000" w:themeColor="text1"/>
          <w:sz w:val="24"/>
          <w:szCs w:val="24"/>
          <w:lang w:eastAsia="ar-SA"/>
        </w:rPr>
        <w:t>in 2020</w:t>
      </w:r>
      <w:r w:rsidR="00E3299A">
        <w:rPr>
          <w:rFonts w:ascii="Times New Roman" w:hAnsi="Times New Roman" w:cs="Times New Roman"/>
          <w:sz w:val="24"/>
          <w:szCs w:val="24"/>
        </w:rPr>
        <w:t>.</w:t>
      </w:r>
      <w:r>
        <w:rPr>
          <w:rFonts w:ascii="Times New Roman" w:hAnsi="Times New Roman" w:cs="Times New Roman"/>
          <w:sz w:val="24"/>
          <w:szCs w:val="24"/>
        </w:rPr>
        <w:t xml:space="preserve">The </w:t>
      </w:r>
      <w:r w:rsidR="00E3299A" w:rsidRPr="00B15ACB">
        <w:rPr>
          <w:rFonts w:ascii="Times New Roman" w:hAnsi="Times New Roman" w:cs="Times New Roman"/>
          <w:sz w:val="24"/>
          <w:szCs w:val="24"/>
        </w:rPr>
        <w:t xml:space="preserve">Gaza Strip has higher percentage at about </w:t>
      </w:r>
      <w:r w:rsidR="00E3299A">
        <w:rPr>
          <w:rFonts w:ascii="Times New Roman" w:hAnsi="Times New Roman" w:cs="Times New Roman"/>
          <w:sz w:val="24"/>
          <w:szCs w:val="24"/>
        </w:rPr>
        <w:t>84.2</w:t>
      </w:r>
      <w:r w:rsidR="00E3299A" w:rsidRPr="00B15ACB">
        <w:rPr>
          <w:rFonts w:ascii="Times New Roman" w:hAnsi="Times New Roman" w:cs="Times New Roman"/>
          <w:sz w:val="24"/>
          <w:szCs w:val="24"/>
        </w:rPr>
        <w:t xml:space="preserve">% compared with </w:t>
      </w:r>
      <w:r w:rsidR="00E3299A">
        <w:rPr>
          <w:rFonts w:ascii="Times New Roman" w:hAnsi="Times New Roman" w:cs="Times New Roman"/>
          <w:sz w:val="24"/>
          <w:szCs w:val="24"/>
        </w:rPr>
        <w:t>79.6</w:t>
      </w:r>
      <w:r w:rsidR="00E3299A" w:rsidRPr="00B15ACB">
        <w:rPr>
          <w:rFonts w:ascii="Times New Roman" w:hAnsi="Times New Roman" w:cs="Times New Roman"/>
          <w:sz w:val="24"/>
          <w:szCs w:val="24"/>
        </w:rPr>
        <w:t xml:space="preserve"> % in the West Bank.</w:t>
      </w:r>
    </w:p>
    <w:p w14:paraId="2C54CDCA" w14:textId="77777777" w:rsidR="0071415F" w:rsidRDefault="0071415F" w:rsidP="00E3299A">
      <w:pPr>
        <w:bidi w:val="0"/>
        <w:spacing w:after="0" w:line="240" w:lineRule="auto"/>
        <w:ind w:right="-334"/>
        <w:jc w:val="both"/>
        <w:rPr>
          <w:rFonts w:ascii="Times New Roman" w:hAnsi="Times New Roman" w:cs="Times New Roman"/>
          <w:color w:val="000000" w:themeColor="text1"/>
          <w:sz w:val="24"/>
          <w:szCs w:val="24"/>
          <w:lang w:eastAsia="ar-SA"/>
        </w:rPr>
      </w:pPr>
    </w:p>
    <w:p w14:paraId="4C677767" w14:textId="77777777" w:rsidR="0071415F"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p>
    <w:p w14:paraId="385C8D06" w14:textId="77777777" w:rsidR="0071415F" w:rsidRPr="00966878" w:rsidRDefault="0071415F" w:rsidP="00D37415">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Percentage Distribution of Population</w:t>
      </w:r>
      <w:r w:rsidR="00D37415" w:rsidRPr="00D37415">
        <w:rPr>
          <w:rFonts w:ascii="Arial" w:hAnsi="Arial"/>
          <w:b/>
          <w:bCs/>
          <w:color w:val="000000" w:themeColor="text1"/>
        </w:rPr>
        <w:t xml:space="preserve"> with </w:t>
      </w:r>
      <w:r w:rsidR="00A6125D">
        <w:rPr>
          <w:rFonts w:ascii="Arial" w:hAnsi="Arial"/>
          <w:b/>
          <w:bCs/>
          <w:color w:val="000000" w:themeColor="text1"/>
        </w:rPr>
        <w:t>P</w:t>
      </w:r>
      <w:r w:rsidR="00D37415" w:rsidRPr="00D37415">
        <w:rPr>
          <w:rFonts w:ascii="Arial" w:hAnsi="Arial"/>
          <w:b/>
          <w:bCs/>
          <w:color w:val="000000" w:themeColor="text1"/>
        </w:rPr>
        <w:t xml:space="preserve">rimary </w:t>
      </w:r>
      <w:r w:rsidR="00A6125D">
        <w:rPr>
          <w:rFonts w:ascii="Arial" w:hAnsi="Arial"/>
          <w:b/>
          <w:bCs/>
          <w:color w:val="000000" w:themeColor="text1"/>
        </w:rPr>
        <w:t>R</w:t>
      </w:r>
      <w:r w:rsidR="00D37415" w:rsidRPr="00D37415">
        <w:rPr>
          <w:rFonts w:ascii="Arial" w:hAnsi="Arial"/>
          <w:b/>
          <w:bCs/>
          <w:color w:val="000000" w:themeColor="text1"/>
        </w:rPr>
        <w:t xml:space="preserve">eliance on </w:t>
      </w:r>
      <w:r w:rsidR="00A6125D">
        <w:rPr>
          <w:rFonts w:ascii="Arial" w:hAnsi="Arial"/>
          <w:b/>
          <w:bCs/>
          <w:color w:val="000000" w:themeColor="text1"/>
        </w:rPr>
        <w:t>C</w:t>
      </w:r>
      <w:r w:rsidR="00D37415" w:rsidRPr="00D37415">
        <w:rPr>
          <w:rFonts w:ascii="Arial" w:hAnsi="Arial"/>
          <w:b/>
          <w:bCs/>
          <w:color w:val="000000" w:themeColor="text1"/>
        </w:rPr>
        <w:t xml:space="preserve">lean </w:t>
      </w:r>
      <w:r w:rsidR="00A6125D">
        <w:rPr>
          <w:rFonts w:ascii="Arial" w:hAnsi="Arial"/>
          <w:b/>
          <w:bCs/>
          <w:color w:val="000000" w:themeColor="text1"/>
        </w:rPr>
        <w:t>F</w:t>
      </w:r>
      <w:r w:rsidR="00D37415" w:rsidRPr="00D37415">
        <w:rPr>
          <w:rFonts w:ascii="Arial" w:hAnsi="Arial"/>
          <w:b/>
          <w:bCs/>
          <w:color w:val="000000" w:themeColor="text1"/>
        </w:rPr>
        <w:t xml:space="preserve">uels and </w:t>
      </w:r>
      <w:r w:rsidR="00A6125D">
        <w:rPr>
          <w:rFonts w:ascii="Arial" w:hAnsi="Arial"/>
          <w:b/>
          <w:bCs/>
          <w:color w:val="000000" w:themeColor="text1"/>
        </w:rPr>
        <w:t>T</w:t>
      </w:r>
      <w:r w:rsidR="00D37415" w:rsidRPr="00D37415">
        <w:rPr>
          <w:rFonts w:ascii="Arial" w:hAnsi="Arial"/>
          <w:b/>
          <w:bCs/>
          <w:color w:val="000000" w:themeColor="text1"/>
        </w:rPr>
        <w:t>echnology</w:t>
      </w:r>
      <w:r w:rsidR="00E3299A">
        <w:rPr>
          <w:rFonts w:ascii="Arial" w:hAnsi="Arial"/>
          <w:b/>
          <w:bCs/>
          <w:color w:val="000000" w:themeColor="text1"/>
        </w:rPr>
        <w:t xml:space="preserve"> by Region</w:t>
      </w:r>
      <w:r w:rsidRPr="00966878">
        <w:rPr>
          <w:rFonts w:ascii="Arial" w:hAnsi="Arial"/>
          <w:b/>
          <w:bCs/>
          <w:color w:val="000000" w:themeColor="text1"/>
        </w:rPr>
        <w:t>, 2020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18983E7" w14:textId="77777777" w:rsidTr="00536909">
        <w:trPr>
          <w:trHeight w:val="3599"/>
        </w:trPr>
        <w:tc>
          <w:tcPr>
            <w:tcW w:w="9030" w:type="dxa"/>
            <w:shd w:val="clear" w:color="auto" w:fill="auto"/>
          </w:tcPr>
          <w:p w14:paraId="519AFA84" w14:textId="77777777" w:rsidR="0071415F" w:rsidRPr="000D2E4D" w:rsidRDefault="00444566"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58F19B2E" wp14:editId="47DB120C">
                  <wp:extent cx="5637530" cy="2210435"/>
                  <wp:effectExtent l="0" t="0" r="1270" b="0"/>
                  <wp:docPr id="3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bl>
    <w:p w14:paraId="5396089D" w14:textId="77777777" w:rsidR="00996372" w:rsidRPr="006246D1" w:rsidRDefault="00B20ED8" w:rsidP="00E74AED">
      <w:pPr>
        <w:bidi w:val="0"/>
        <w:spacing w:after="0" w:line="240" w:lineRule="auto"/>
        <w:ind w:left="720" w:hanging="720"/>
        <w:jc w:val="both"/>
        <w:rPr>
          <w:rFonts w:ascii="Arial" w:hAnsi="Arial"/>
          <w:sz w:val="18"/>
        </w:rPr>
      </w:pPr>
      <w:r w:rsidRPr="00536909">
        <w:rPr>
          <w:rFonts w:ascii="Arial" w:hAnsi="Arial"/>
          <w:b/>
          <w:bCs/>
          <w:sz w:val="18"/>
          <w:szCs w:val="18"/>
        </w:rPr>
        <w:t xml:space="preserve">Source: </w:t>
      </w:r>
      <w:r w:rsidR="00996372" w:rsidRPr="00876568">
        <w:rPr>
          <w:rFonts w:ascii="Arial" w:hAnsi="Arial"/>
          <w:b/>
          <w:bCs/>
          <w:sz w:val="18"/>
          <w:szCs w:val="18"/>
        </w:rPr>
        <w:t xml:space="preserve">Palestinian Central Bureau of Statistics, </w:t>
      </w:r>
      <w:r w:rsidR="00996372" w:rsidRPr="006246D1">
        <w:rPr>
          <w:rFonts w:ascii="Arial" w:hAnsi="Arial"/>
          <w:sz w:val="18"/>
          <w:szCs w:val="18"/>
        </w:rPr>
        <w:t>Palestinian Multiple Indicator Cluster Survey Database, 2019</w:t>
      </w:r>
      <w:r w:rsidR="00996372">
        <w:rPr>
          <w:rFonts w:ascii="Arial" w:hAnsi="Arial"/>
          <w:sz w:val="18"/>
          <w:szCs w:val="18"/>
        </w:rPr>
        <w:t>-2020</w:t>
      </w:r>
      <w:r w:rsidR="00996372" w:rsidRPr="006246D1">
        <w:rPr>
          <w:rFonts w:ascii="Arial" w:hAnsi="Arial"/>
          <w:sz w:val="18"/>
          <w:szCs w:val="18"/>
        </w:rPr>
        <w:t xml:space="preserve">. </w:t>
      </w:r>
      <w:r w:rsidR="00996372" w:rsidRPr="006246D1">
        <w:rPr>
          <w:rFonts w:ascii="Arial" w:hAnsi="Arial"/>
          <w:sz w:val="18"/>
        </w:rPr>
        <w:t>Ramallah – Palestine</w:t>
      </w:r>
    </w:p>
    <w:p w14:paraId="3DD544C1" w14:textId="77777777" w:rsidR="0071415F" w:rsidRDefault="0071415F" w:rsidP="00E74AED">
      <w:pPr>
        <w:bidi w:val="0"/>
        <w:spacing w:after="0" w:line="240" w:lineRule="auto"/>
        <w:ind w:left="720" w:hanging="720"/>
        <w:jc w:val="both"/>
        <w:rPr>
          <w:i/>
          <w:iCs/>
          <w:color w:val="000000" w:themeColor="text1"/>
          <w:sz w:val="20"/>
          <w:szCs w:val="20"/>
        </w:rPr>
      </w:pPr>
    </w:p>
    <w:p w14:paraId="39BB7229" w14:textId="77777777" w:rsidR="00996372" w:rsidRPr="00966878" w:rsidRDefault="00996372" w:rsidP="00996372">
      <w:pPr>
        <w:bidi w:val="0"/>
        <w:spacing w:after="0" w:line="240" w:lineRule="auto"/>
        <w:jc w:val="both"/>
        <w:rPr>
          <w:i/>
          <w:iCs/>
          <w:color w:val="000000" w:themeColor="text1"/>
          <w:sz w:val="20"/>
          <w:szCs w:val="20"/>
        </w:rPr>
      </w:pPr>
    </w:p>
    <w:p w14:paraId="671764C3"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7.2.1: Renewable energy share in the total final energy consumption</w:t>
      </w:r>
    </w:p>
    <w:p w14:paraId="07816CD4" w14:textId="77777777" w:rsidR="00877949" w:rsidRPr="00966878"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79C8C87" w14:textId="61463FF9" w:rsidR="0071415F" w:rsidRDefault="00E618B1" w:rsidP="00E618B1">
      <w:pPr>
        <w:tabs>
          <w:tab w:val="left" w:pos="9072"/>
        </w:tabs>
        <w:bidi w:val="0"/>
        <w:spacing w:after="0" w:line="240" w:lineRule="auto"/>
        <w:jc w:val="both"/>
        <w:rPr>
          <w:rFonts w:ascii="Times New Roman" w:hAnsi="Times New Roman" w:cs="Times New Roman"/>
          <w:color w:val="000000" w:themeColor="text1"/>
          <w:sz w:val="24"/>
          <w:szCs w:val="24"/>
          <w:lang w:eastAsia="ar-SA"/>
        </w:rPr>
      </w:pPr>
      <w:r w:rsidRPr="00E618B1">
        <w:rPr>
          <w:rFonts w:ascii="Times New Roman" w:hAnsi="Times New Roman" w:cs="Times New Roman"/>
          <w:color w:val="000000" w:themeColor="text1"/>
          <w:sz w:val="24"/>
          <w:szCs w:val="24"/>
          <w:lang w:eastAsia="ar-SA"/>
        </w:rPr>
        <w:t>The renewable energy share to the total final energy consumption reached 10.6% in 2021, dropping from 10.9% in 2020. This percentage can be increased by utilizing the huge potential of the solar water heaters (SWH) and photovoltaic (PV) systems in Palestine.</w:t>
      </w:r>
    </w:p>
    <w:p w14:paraId="30A1A9D8" w14:textId="77777777" w:rsidR="00E618B1" w:rsidRPr="00966878" w:rsidRDefault="00E618B1" w:rsidP="00E618B1">
      <w:pPr>
        <w:tabs>
          <w:tab w:val="left" w:pos="9072"/>
        </w:tabs>
        <w:bidi w:val="0"/>
        <w:spacing w:after="0" w:line="240" w:lineRule="auto"/>
        <w:jc w:val="center"/>
        <w:rPr>
          <w:rFonts w:ascii="Arial" w:hAnsi="Arial"/>
          <w:b/>
          <w:bCs/>
          <w:color w:val="000000" w:themeColor="text1"/>
        </w:rPr>
      </w:pPr>
    </w:p>
    <w:p w14:paraId="6BC7DDA0" w14:textId="11442FC2" w:rsidR="0071415F" w:rsidRPr="00966878" w:rsidRDefault="0071415F" w:rsidP="0071415F">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 xml:space="preserve">Renewable </w:t>
      </w:r>
      <w:r w:rsidR="00A6125D">
        <w:rPr>
          <w:rFonts w:ascii="Arial" w:hAnsi="Arial"/>
          <w:b/>
          <w:bCs/>
          <w:color w:val="000000" w:themeColor="text1"/>
        </w:rPr>
        <w:t>E</w:t>
      </w:r>
      <w:r w:rsidRPr="00966878">
        <w:rPr>
          <w:rFonts w:ascii="Arial" w:hAnsi="Arial"/>
          <w:b/>
          <w:bCs/>
          <w:color w:val="000000" w:themeColor="text1"/>
        </w:rPr>
        <w:t xml:space="preserve">nergy </w:t>
      </w:r>
      <w:r w:rsidR="00A6125D">
        <w:rPr>
          <w:rFonts w:ascii="Arial" w:hAnsi="Arial"/>
          <w:b/>
          <w:bCs/>
          <w:color w:val="000000" w:themeColor="text1"/>
        </w:rPr>
        <w:t>S</w:t>
      </w:r>
      <w:r w:rsidR="00C66B88">
        <w:rPr>
          <w:rFonts w:ascii="Arial" w:hAnsi="Arial"/>
          <w:b/>
          <w:bCs/>
          <w:color w:val="000000" w:themeColor="text1"/>
        </w:rPr>
        <w:t>hare</w:t>
      </w:r>
      <w:r w:rsidR="00C66B88" w:rsidRPr="00966878">
        <w:rPr>
          <w:rFonts w:ascii="Arial" w:hAnsi="Arial"/>
          <w:b/>
          <w:bCs/>
          <w:color w:val="000000" w:themeColor="text1"/>
        </w:rPr>
        <w:t xml:space="preserve"> in</w:t>
      </w:r>
      <w:r w:rsidRPr="00966878">
        <w:rPr>
          <w:rFonts w:ascii="Arial" w:hAnsi="Arial"/>
          <w:b/>
          <w:bCs/>
          <w:color w:val="000000" w:themeColor="text1"/>
        </w:rPr>
        <w:t xml:space="preserve"> the </w:t>
      </w:r>
      <w:r w:rsidR="00A6125D">
        <w:rPr>
          <w:rFonts w:ascii="Arial" w:hAnsi="Arial"/>
          <w:b/>
          <w:bCs/>
          <w:color w:val="000000" w:themeColor="text1"/>
        </w:rPr>
        <w:t>T</w:t>
      </w:r>
      <w:r w:rsidRPr="00966878">
        <w:rPr>
          <w:rFonts w:ascii="Arial" w:hAnsi="Arial"/>
          <w:b/>
          <w:bCs/>
          <w:color w:val="000000" w:themeColor="text1"/>
        </w:rPr>
        <w:t xml:space="preserve">otal </w:t>
      </w:r>
      <w:r w:rsidR="00A6125D">
        <w:rPr>
          <w:rFonts w:ascii="Arial" w:hAnsi="Arial"/>
          <w:b/>
          <w:bCs/>
          <w:color w:val="000000" w:themeColor="text1"/>
        </w:rPr>
        <w:t>F</w:t>
      </w:r>
      <w:r w:rsidRPr="00966878">
        <w:rPr>
          <w:rFonts w:ascii="Arial" w:hAnsi="Arial"/>
          <w:b/>
          <w:bCs/>
          <w:color w:val="000000" w:themeColor="text1"/>
        </w:rPr>
        <w:t xml:space="preserve">inal </w:t>
      </w:r>
      <w:r w:rsidR="00A6125D">
        <w:rPr>
          <w:rFonts w:ascii="Arial" w:hAnsi="Arial"/>
          <w:b/>
          <w:bCs/>
          <w:color w:val="000000" w:themeColor="text1"/>
        </w:rPr>
        <w:t>E</w:t>
      </w:r>
      <w:r w:rsidRPr="00966878">
        <w:rPr>
          <w:rFonts w:ascii="Arial" w:hAnsi="Arial"/>
          <w:b/>
          <w:bCs/>
          <w:color w:val="000000" w:themeColor="text1"/>
        </w:rPr>
        <w:t xml:space="preserve">nergy </w:t>
      </w:r>
      <w:r w:rsidR="00A6125D">
        <w:rPr>
          <w:rFonts w:ascii="Arial" w:hAnsi="Arial"/>
          <w:b/>
          <w:bCs/>
          <w:color w:val="000000" w:themeColor="text1"/>
        </w:rPr>
        <w:t>C</w:t>
      </w:r>
      <w:r w:rsidRPr="00966878">
        <w:rPr>
          <w:rFonts w:ascii="Arial" w:hAnsi="Arial"/>
          <w:b/>
          <w:bCs/>
          <w:color w:val="000000" w:themeColor="text1"/>
        </w:rPr>
        <w:t xml:space="preserve">onsumption </w:t>
      </w:r>
      <w:r w:rsidR="00B20ED8">
        <w:rPr>
          <w:rFonts w:ascii="Arial" w:hAnsi="Arial"/>
          <w:b/>
          <w:bCs/>
          <w:color w:val="000000" w:themeColor="text1"/>
        </w:rPr>
        <w:t>2015</w:t>
      </w:r>
      <w:r w:rsidRPr="00966878">
        <w:rPr>
          <w:rFonts w:ascii="Arial" w:hAnsi="Arial"/>
          <w:b/>
          <w:bCs/>
          <w:color w:val="000000" w:themeColor="text1"/>
        </w:rPr>
        <w:t>-20</w:t>
      </w:r>
      <w:r>
        <w:rPr>
          <w:rFonts w:ascii="Arial" w:hAnsi="Arial"/>
          <w:b/>
          <w:bCs/>
          <w:color w:val="000000" w:themeColor="text1"/>
        </w:rPr>
        <w:t>2</w:t>
      </w:r>
      <w:r w:rsidR="00E618B1">
        <w:rPr>
          <w:rFonts w:ascii="Arial" w:hAnsi="Arial"/>
          <w:b/>
          <w:bCs/>
          <w:color w:val="000000" w:themeColor="text1"/>
        </w:rPr>
        <w:t>1</w:t>
      </w:r>
      <w:r w:rsidRPr="00966878">
        <w:rPr>
          <w:rFonts w:ascii="Arial" w:hAnsi="Arial"/>
          <w:b/>
          <w:bCs/>
          <w:color w:val="000000" w:themeColor="text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00953A7F" w14:textId="77777777" w:rsidTr="0071415F">
        <w:trPr>
          <w:trHeight w:val="3607"/>
        </w:trPr>
        <w:tc>
          <w:tcPr>
            <w:tcW w:w="9286" w:type="dxa"/>
            <w:shd w:val="clear" w:color="auto" w:fill="auto"/>
          </w:tcPr>
          <w:p w14:paraId="6D8E2102"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3A502423" wp14:editId="1A9BF10E">
                  <wp:extent cx="5637530" cy="2210435"/>
                  <wp:effectExtent l="0" t="0" r="1270" b="0"/>
                  <wp:docPr id="19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bl>
    <w:p w14:paraId="77F1DBD9" w14:textId="2544BE61" w:rsidR="0071415F" w:rsidRPr="00966878" w:rsidRDefault="0071415F" w:rsidP="00A25FCF">
      <w:pPr>
        <w:autoSpaceDE w:val="0"/>
        <w:autoSpaceDN w:val="0"/>
        <w:bidi w:val="0"/>
        <w:adjustRightInd w:val="0"/>
        <w:spacing w:after="0" w:line="240" w:lineRule="auto"/>
        <w:jc w:val="both"/>
        <w:rPr>
          <w:rFonts w:ascii="Arial" w:hAnsi="Arial"/>
          <w:bCs/>
          <w:color w:val="000000" w:themeColor="text1"/>
          <w:sz w:val="18"/>
          <w:szCs w:val="18"/>
        </w:rPr>
      </w:pPr>
      <w:r w:rsidRPr="00966878">
        <w:rPr>
          <w:rFonts w:ascii="Arial" w:hAnsi="Arial"/>
          <w:b/>
          <w:color w:val="000000" w:themeColor="text1"/>
          <w:sz w:val="18"/>
          <w:szCs w:val="18"/>
        </w:rPr>
        <w:t>Source: Palestinian Central Bureau of Statistics,</w:t>
      </w:r>
      <w:r w:rsidRPr="00966878">
        <w:rPr>
          <w:rFonts w:ascii="Arial" w:hAnsi="Arial"/>
          <w:bCs/>
          <w:color w:val="000000" w:themeColor="text1"/>
          <w:sz w:val="18"/>
          <w:szCs w:val="18"/>
        </w:rPr>
        <w:t xml:space="preserve">Energy Balances </w:t>
      </w:r>
      <w:r w:rsidR="00A25FCF">
        <w:rPr>
          <w:rFonts w:ascii="Arial" w:hAnsi="Arial"/>
          <w:bCs/>
          <w:color w:val="000000" w:themeColor="text1"/>
          <w:sz w:val="18"/>
          <w:szCs w:val="18"/>
        </w:rPr>
        <w:t>2015</w:t>
      </w:r>
      <w:r w:rsidRPr="00966878">
        <w:rPr>
          <w:rFonts w:ascii="Arial" w:hAnsi="Arial"/>
          <w:bCs/>
          <w:color w:val="000000" w:themeColor="text1"/>
          <w:sz w:val="18"/>
          <w:szCs w:val="18"/>
        </w:rPr>
        <w:t>-</w:t>
      </w:r>
      <w:r w:rsidRPr="00E6392C">
        <w:rPr>
          <w:rFonts w:ascii="Arial" w:hAnsi="Arial"/>
          <w:color w:val="000000" w:themeColor="text1"/>
          <w:sz w:val="18"/>
        </w:rPr>
        <w:t>2</w:t>
      </w:r>
      <w:r w:rsidRPr="00966878">
        <w:rPr>
          <w:rFonts w:ascii="Arial" w:hAnsi="Arial"/>
          <w:bCs/>
          <w:color w:val="000000" w:themeColor="text1"/>
          <w:sz w:val="18"/>
          <w:szCs w:val="18"/>
        </w:rPr>
        <w:t>0</w:t>
      </w:r>
      <w:r>
        <w:rPr>
          <w:rFonts w:ascii="Arial" w:hAnsi="Arial"/>
          <w:bCs/>
          <w:color w:val="000000" w:themeColor="text1"/>
          <w:sz w:val="18"/>
          <w:szCs w:val="18"/>
        </w:rPr>
        <w:t>2</w:t>
      </w:r>
      <w:r w:rsidR="00E618B1">
        <w:rPr>
          <w:rFonts w:ascii="Arial" w:hAnsi="Arial"/>
          <w:bCs/>
          <w:color w:val="000000" w:themeColor="text1"/>
          <w:sz w:val="18"/>
          <w:szCs w:val="18"/>
        </w:rPr>
        <w:t>1</w:t>
      </w:r>
      <w:r w:rsidRPr="00966878">
        <w:rPr>
          <w:rFonts w:ascii="Arial" w:hAnsi="Arial"/>
          <w:bCs/>
          <w:color w:val="000000" w:themeColor="text1"/>
          <w:sz w:val="18"/>
          <w:szCs w:val="18"/>
        </w:rPr>
        <w:t>. Ramallah - Palestine.</w:t>
      </w:r>
    </w:p>
    <w:p w14:paraId="148BF924" w14:textId="77777777" w:rsidR="00877949"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8E188E8" w14:textId="0E0FB9BF" w:rsidR="006E49BE" w:rsidRDefault="006E49BE"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C5598E0" w14:textId="77777777" w:rsidR="00857E1E" w:rsidRDefault="00857E1E" w:rsidP="00857E1E">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F4E1A46" w14:textId="77777777" w:rsidR="006E49BE" w:rsidRDefault="006E49BE" w:rsidP="006E49BE">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252E225" w14:textId="77777777" w:rsidR="0071415F" w:rsidRDefault="0071415F" w:rsidP="006E49BE">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lastRenderedPageBreak/>
        <w:t>Indicator 7.3.1: Energy intensity measured in terms of primary energy and GDP</w:t>
      </w:r>
    </w:p>
    <w:p w14:paraId="50BA82CD" w14:textId="77777777" w:rsidR="00877949" w:rsidRPr="00966878" w:rsidRDefault="00877949" w:rsidP="00877949">
      <w:pPr>
        <w:autoSpaceDE w:val="0"/>
        <w:autoSpaceDN w:val="0"/>
        <w:bidi w:val="0"/>
        <w:adjustRightInd w:val="0"/>
        <w:spacing w:after="0" w:line="240" w:lineRule="auto"/>
        <w:jc w:val="both"/>
        <w:rPr>
          <w:rFonts w:ascii="Arial" w:hAnsi="Arial"/>
          <w:bCs/>
          <w:color w:val="000000" w:themeColor="text1"/>
          <w:sz w:val="18"/>
          <w:szCs w:val="18"/>
        </w:rPr>
      </w:pPr>
    </w:p>
    <w:p w14:paraId="16244AB5" w14:textId="77777777" w:rsidR="007A76D6" w:rsidRPr="008E55B3" w:rsidRDefault="007A76D6" w:rsidP="007A76D6">
      <w:pPr>
        <w:bidi w:val="0"/>
        <w:spacing w:after="0" w:line="240" w:lineRule="auto"/>
        <w:ind w:right="-334"/>
        <w:jc w:val="both"/>
        <w:rPr>
          <w:rFonts w:ascii="Times New Roman" w:hAnsi="Times New Roman" w:cs="Times New Roman"/>
          <w:color w:val="000000" w:themeColor="text1"/>
          <w:sz w:val="24"/>
          <w:szCs w:val="24"/>
          <w:lang w:eastAsia="ar-SA"/>
        </w:rPr>
      </w:pPr>
      <w:r>
        <w:rPr>
          <w:rFonts w:ascii="Times New Roman" w:hAnsi="Times New Roman" w:cs="Times New Roman"/>
          <w:color w:val="000000" w:themeColor="text1"/>
          <w:sz w:val="24"/>
          <w:szCs w:val="24"/>
          <w:lang w:eastAsia="ar-SA"/>
        </w:rPr>
        <w:t>E</w:t>
      </w:r>
      <w:r w:rsidRPr="00966878">
        <w:rPr>
          <w:rFonts w:ascii="Times New Roman" w:hAnsi="Times New Roman" w:cs="Times New Roman"/>
          <w:color w:val="000000" w:themeColor="text1"/>
          <w:sz w:val="24"/>
          <w:szCs w:val="24"/>
          <w:lang w:eastAsia="ar-SA"/>
        </w:rPr>
        <w:t xml:space="preserve">nergy intensity reached around </w:t>
      </w:r>
      <w:r>
        <w:rPr>
          <w:rFonts w:ascii="Times New Roman" w:hAnsi="Times New Roman" w:cs="Times New Roman"/>
          <w:color w:val="000000" w:themeColor="text1"/>
          <w:sz w:val="24"/>
          <w:szCs w:val="24"/>
          <w:lang w:eastAsia="ar-SA"/>
        </w:rPr>
        <w:t>3.3</w:t>
      </w:r>
      <w:r w:rsidRPr="00966878">
        <w:rPr>
          <w:rFonts w:ascii="Times New Roman" w:hAnsi="Times New Roman" w:cs="Times New Roman"/>
          <w:color w:val="000000" w:themeColor="text1"/>
          <w:sz w:val="24"/>
          <w:szCs w:val="24"/>
          <w:lang w:eastAsia="ar-SA"/>
        </w:rPr>
        <w:t xml:space="preserve"> Mega joule/USD </w:t>
      </w:r>
      <w:r>
        <w:rPr>
          <w:rFonts w:ascii="Times New Roman" w:hAnsi="Times New Roman" w:cs="Times New Roman" w:hint="cs"/>
          <w:color w:val="000000" w:themeColor="text1"/>
          <w:sz w:val="24"/>
          <w:szCs w:val="24"/>
          <w:rtl/>
          <w:lang w:eastAsia="ar-SA"/>
        </w:rPr>
        <w:t>2017</w:t>
      </w:r>
      <w:r>
        <w:rPr>
          <w:rFonts w:ascii="Times New Roman" w:hAnsi="Times New Roman" w:cs="Times New Roman"/>
          <w:color w:val="000000" w:themeColor="text1"/>
          <w:sz w:val="24"/>
          <w:szCs w:val="24"/>
          <w:lang w:eastAsia="ar-SA"/>
        </w:rPr>
        <w:t>PPP</w:t>
      </w:r>
      <w:r w:rsidRPr="00966878">
        <w:rPr>
          <w:rFonts w:ascii="Times New Roman" w:hAnsi="Times New Roman" w:cs="Times New Roman"/>
          <w:color w:val="000000" w:themeColor="text1"/>
          <w:sz w:val="24"/>
          <w:szCs w:val="24"/>
          <w:lang w:eastAsia="ar-SA"/>
        </w:rPr>
        <w:t>in 20</w:t>
      </w:r>
      <w:r>
        <w:rPr>
          <w:rFonts w:ascii="Times New Roman" w:hAnsi="Times New Roman" w:cs="Times New Roman"/>
          <w:color w:val="000000" w:themeColor="text1"/>
          <w:sz w:val="24"/>
          <w:szCs w:val="24"/>
          <w:lang w:eastAsia="ar-SA"/>
        </w:rPr>
        <w:t>21</w:t>
      </w:r>
      <w:r w:rsidRPr="00966878">
        <w:rPr>
          <w:rFonts w:ascii="Times New Roman" w:hAnsi="Times New Roman" w:cs="Times New Roman"/>
          <w:color w:val="000000" w:themeColor="text1"/>
          <w:sz w:val="24"/>
          <w:szCs w:val="24"/>
          <w:lang w:eastAsia="ar-SA"/>
        </w:rPr>
        <w:t xml:space="preserve">, which </w:t>
      </w:r>
      <w:r>
        <w:rPr>
          <w:rFonts w:ascii="Times New Roman" w:hAnsi="Times New Roman" w:cs="Times New Roman"/>
          <w:color w:val="000000" w:themeColor="text1"/>
          <w:sz w:val="24"/>
          <w:szCs w:val="24"/>
          <w:lang w:eastAsia="ar-SA"/>
        </w:rPr>
        <w:t>increased</w:t>
      </w:r>
      <w:r w:rsidRPr="00966878">
        <w:rPr>
          <w:rFonts w:ascii="Times New Roman" w:hAnsi="Times New Roman" w:cs="Times New Roman"/>
          <w:color w:val="000000" w:themeColor="text1"/>
          <w:sz w:val="24"/>
          <w:szCs w:val="24"/>
          <w:lang w:eastAsia="ar-SA"/>
        </w:rPr>
        <w:t xml:space="preserve"> from </w:t>
      </w:r>
      <w:r>
        <w:rPr>
          <w:rFonts w:ascii="Times New Roman" w:hAnsi="Times New Roman" w:cs="Times New Roman"/>
          <w:color w:val="000000" w:themeColor="text1"/>
          <w:sz w:val="24"/>
          <w:szCs w:val="24"/>
          <w:lang w:eastAsia="ar-SA"/>
        </w:rPr>
        <w:t>2.6</w:t>
      </w:r>
      <w:r w:rsidRPr="00966878">
        <w:rPr>
          <w:rFonts w:ascii="Times New Roman" w:hAnsi="Times New Roman" w:cs="Times New Roman"/>
          <w:color w:val="000000" w:themeColor="text1"/>
          <w:sz w:val="24"/>
          <w:szCs w:val="24"/>
          <w:lang w:eastAsia="ar-SA"/>
        </w:rPr>
        <w:t xml:space="preserve"> Mega joule/USD 2017 PPP in year 2018.</w:t>
      </w:r>
    </w:p>
    <w:p w14:paraId="0952B861" w14:textId="77777777" w:rsidR="007A76D6" w:rsidRDefault="007A76D6" w:rsidP="007A76D6">
      <w:pPr>
        <w:tabs>
          <w:tab w:val="left" w:pos="9072"/>
        </w:tabs>
        <w:bidi w:val="0"/>
        <w:spacing w:after="0" w:line="240" w:lineRule="auto"/>
        <w:rPr>
          <w:rFonts w:ascii="Arial" w:hAnsi="Arial"/>
          <w:b/>
          <w:bCs/>
          <w:color w:val="000000" w:themeColor="text1"/>
        </w:rPr>
      </w:pPr>
    </w:p>
    <w:p w14:paraId="457824AC" w14:textId="77777777" w:rsidR="007A76D6" w:rsidRPr="00FE68DF" w:rsidRDefault="007A76D6" w:rsidP="007A76D6">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Low energy intensities in the State of Palestine are driven by high gasoline and electricity prices in the region, as well as constraints in energy supply. Furthermore, this situation induced a certain decoupling between GDP growth and energy consumption</w:t>
      </w:r>
      <w:r>
        <w:rPr>
          <w:rFonts w:ascii="Times New Roman" w:hAnsi="Times New Roman" w:cs="Times New Roman"/>
          <w:sz w:val="24"/>
          <w:szCs w:val="24"/>
          <w:lang w:eastAsia="ar-SA"/>
        </w:rPr>
        <w:t>.</w:t>
      </w:r>
    </w:p>
    <w:p w14:paraId="59EC943E" w14:textId="77777777" w:rsidR="0071415F" w:rsidRDefault="0071415F" w:rsidP="0071415F">
      <w:pPr>
        <w:autoSpaceDE w:val="0"/>
        <w:autoSpaceDN w:val="0"/>
        <w:bidi w:val="0"/>
        <w:adjustRightInd w:val="0"/>
        <w:spacing w:after="0" w:line="240" w:lineRule="auto"/>
        <w:jc w:val="both"/>
        <w:rPr>
          <w:rFonts w:ascii="Arial" w:hAnsi="Arial"/>
          <w:b/>
          <w:bCs/>
          <w:color w:val="000000" w:themeColor="text1"/>
        </w:rPr>
      </w:pPr>
    </w:p>
    <w:p w14:paraId="06F5D65C" w14:textId="77777777" w:rsidR="007A76D6" w:rsidRDefault="007A76D6" w:rsidP="007A76D6">
      <w:pPr>
        <w:autoSpaceDE w:val="0"/>
        <w:autoSpaceDN w:val="0"/>
        <w:bidi w:val="0"/>
        <w:adjustRightInd w:val="0"/>
        <w:spacing w:after="0" w:line="240" w:lineRule="auto"/>
        <w:jc w:val="both"/>
        <w:rPr>
          <w:rFonts w:ascii="Arial" w:hAnsi="Arial"/>
          <w:b/>
          <w:bCs/>
          <w:color w:val="000000" w:themeColor="text1"/>
        </w:rPr>
      </w:pPr>
    </w:p>
    <w:p w14:paraId="0486A0B8" w14:textId="77777777" w:rsidR="007A76D6" w:rsidRPr="00966878" w:rsidRDefault="007A76D6" w:rsidP="007A76D6">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63FFE5AA"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7.b.1 Installed renewable energy-generating capacity in developing countries (in watts per capita)</w:t>
      </w:r>
    </w:p>
    <w:p w14:paraId="6B1A8E1C" w14:textId="77777777" w:rsidR="00BF4F06" w:rsidRPr="00966878" w:rsidRDefault="00BF4F06" w:rsidP="00BF4F06">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4C14BA9" w14:textId="77777777" w:rsidR="007A76D6" w:rsidRDefault="007A76D6" w:rsidP="007A76D6">
      <w:pPr>
        <w:bidi w:val="0"/>
        <w:spacing w:after="0" w:line="240" w:lineRule="auto"/>
        <w:ind w:right="-334"/>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Installed renewable energy-generating capacity in Palestine is </w:t>
      </w:r>
      <w:r>
        <w:rPr>
          <w:rFonts w:ascii="Times New Roman" w:hAnsi="Times New Roman" w:cs="Times New Roman"/>
          <w:color w:val="000000" w:themeColor="text1"/>
          <w:sz w:val="24"/>
          <w:szCs w:val="24"/>
        </w:rPr>
        <w:t>34.1</w:t>
      </w:r>
      <w:r w:rsidRPr="00966878">
        <w:rPr>
          <w:rFonts w:ascii="Times New Roman" w:hAnsi="Times New Roman" w:cs="Times New Roman"/>
          <w:color w:val="000000" w:themeColor="text1"/>
          <w:sz w:val="24"/>
          <w:szCs w:val="24"/>
        </w:rPr>
        <w:t xml:space="preserve"> watts per capita for 202</w:t>
      </w:r>
      <w:r>
        <w:rPr>
          <w:rFonts w:ascii="Times New Roman" w:hAnsi="Times New Roman" w:cs="Times New Roman"/>
          <w:color w:val="000000" w:themeColor="text1"/>
          <w:sz w:val="24"/>
          <w:szCs w:val="24"/>
        </w:rPr>
        <w:t>1</w:t>
      </w:r>
      <w:r w:rsidRPr="00966878">
        <w:rPr>
          <w:rFonts w:ascii="Times New Roman" w:hAnsi="Times New Roman" w:cs="Times New Roman"/>
          <w:color w:val="000000" w:themeColor="text1"/>
          <w:sz w:val="24"/>
          <w:szCs w:val="24"/>
        </w:rPr>
        <w:t xml:space="preserve">, compared with </w:t>
      </w:r>
      <w:r>
        <w:rPr>
          <w:rFonts w:ascii="Times New Roman" w:hAnsi="Times New Roman" w:cs="Times New Roman"/>
          <w:color w:val="000000" w:themeColor="text1"/>
          <w:sz w:val="24"/>
          <w:szCs w:val="24"/>
        </w:rPr>
        <w:t>23.1</w:t>
      </w:r>
      <w:r w:rsidRPr="00966878">
        <w:rPr>
          <w:rFonts w:ascii="Times New Roman" w:hAnsi="Times New Roman" w:cs="Times New Roman"/>
          <w:color w:val="000000" w:themeColor="text1"/>
          <w:sz w:val="24"/>
          <w:szCs w:val="24"/>
        </w:rPr>
        <w:t xml:space="preserve"> watts per capita for </w:t>
      </w:r>
      <w:r>
        <w:rPr>
          <w:rFonts w:ascii="Times New Roman" w:hAnsi="Times New Roman" w:cs="Times New Roman"/>
          <w:color w:val="000000" w:themeColor="text1"/>
          <w:sz w:val="24"/>
          <w:szCs w:val="24"/>
        </w:rPr>
        <w:t>2020</w:t>
      </w:r>
      <w:r w:rsidRPr="00966878">
        <w:rPr>
          <w:rFonts w:ascii="Times New Roman" w:hAnsi="Times New Roman" w:cs="Times New Roman"/>
          <w:color w:val="000000" w:themeColor="text1"/>
          <w:sz w:val="24"/>
          <w:szCs w:val="24"/>
        </w:rPr>
        <w:t>.</w:t>
      </w:r>
    </w:p>
    <w:p w14:paraId="6D2B5C6D" w14:textId="77777777" w:rsidR="007A76D6" w:rsidRDefault="007A76D6" w:rsidP="00F3507C">
      <w:pPr>
        <w:pStyle w:val="ListParagraph"/>
        <w:autoSpaceDE w:val="0"/>
        <w:autoSpaceDN w:val="0"/>
        <w:adjustRightInd w:val="0"/>
        <w:spacing w:after="0" w:line="240" w:lineRule="auto"/>
        <w:ind w:left="0"/>
        <w:jc w:val="both"/>
        <w:rPr>
          <w:rFonts w:asciiTheme="minorBidi" w:hAnsiTheme="minorBidi" w:cstheme="minorBidi"/>
          <w:b/>
          <w:bCs/>
          <w:color w:val="000000" w:themeColor="text1"/>
        </w:rPr>
      </w:pPr>
    </w:p>
    <w:p w14:paraId="21A12632" w14:textId="4D32DA7A" w:rsidR="0071415F" w:rsidRPr="00F3507C" w:rsidRDefault="0071415F" w:rsidP="00F3507C">
      <w:pPr>
        <w:pStyle w:val="ListParagraph"/>
        <w:autoSpaceDE w:val="0"/>
        <w:autoSpaceDN w:val="0"/>
        <w:adjustRightInd w:val="0"/>
        <w:spacing w:after="0" w:line="240" w:lineRule="auto"/>
        <w:ind w:left="0"/>
        <w:jc w:val="both"/>
        <w:rPr>
          <w:rFonts w:ascii="Arial" w:hAnsi="Arial"/>
          <w:b/>
          <w:color w:val="000000" w:themeColor="text1"/>
          <w:sz w:val="18"/>
        </w:rPr>
      </w:pPr>
      <w:r w:rsidRPr="00BD3E97">
        <w:rPr>
          <w:rFonts w:asciiTheme="minorBidi" w:hAnsiTheme="minorBidi" w:cstheme="minorBidi"/>
          <w:b/>
          <w:bCs/>
          <w:color w:val="000000" w:themeColor="text1"/>
        </w:rPr>
        <w:t xml:space="preserve">Installed </w:t>
      </w:r>
      <w:r w:rsidR="00A6125D">
        <w:rPr>
          <w:rFonts w:asciiTheme="minorBidi" w:hAnsiTheme="minorBidi" w:cstheme="minorBidi"/>
          <w:b/>
          <w:bCs/>
          <w:color w:val="000000" w:themeColor="text1"/>
        </w:rPr>
        <w:t>R</w:t>
      </w:r>
      <w:r w:rsidRPr="00BD3E97">
        <w:rPr>
          <w:rFonts w:asciiTheme="minorBidi" w:hAnsiTheme="minorBidi" w:cstheme="minorBidi"/>
          <w:b/>
          <w:bCs/>
          <w:color w:val="000000" w:themeColor="text1"/>
        </w:rPr>
        <w:t xml:space="preserve">enewable </w:t>
      </w:r>
      <w:r w:rsidR="00A6125D">
        <w:rPr>
          <w:rFonts w:asciiTheme="minorBidi" w:hAnsiTheme="minorBidi" w:cstheme="minorBidi"/>
          <w:b/>
          <w:bCs/>
          <w:color w:val="000000" w:themeColor="text1"/>
        </w:rPr>
        <w:t>E</w:t>
      </w:r>
      <w:r w:rsidRPr="00BD3E97">
        <w:rPr>
          <w:rFonts w:asciiTheme="minorBidi" w:hAnsiTheme="minorBidi" w:cstheme="minorBidi"/>
          <w:b/>
          <w:bCs/>
          <w:color w:val="000000" w:themeColor="text1"/>
        </w:rPr>
        <w:t xml:space="preserve">nergy-generating </w:t>
      </w:r>
      <w:r w:rsidR="00A6125D">
        <w:rPr>
          <w:rFonts w:asciiTheme="minorBidi" w:hAnsiTheme="minorBidi" w:cstheme="minorBidi"/>
          <w:b/>
          <w:bCs/>
          <w:color w:val="000000" w:themeColor="text1"/>
        </w:rPr>
        <w:t>C</w:t>
      </w:r>
      <w:r w:rsidRPr="00BD3E97">
        <w:rPr>
          <w:rFonts w:asciiTheme="minorBidi" w:hAnsiTheme="minorBidi" w:cstheme="minorBidi"/>
          <w:b/>
          <w:bCs/>
          <w:color w:val="000000" w:themeColor="text1"/>
        </w:rPr>
        <w:t xml:space="preserve">apacity in Palestine </w:t>
      </w:r>
      <w:r w:rsidR="00726C53" w:rsidRPr="00BD3E97">
        <w:rPr>
          <w:rFonts w:asciiTheme="minorBidi" w:hAnsiTheme="minorBidi" w:cstheme="minorBidi"/>
          <w:b/>
          <w:bCs/>
          <w:color w:val="000000" w:themeColor="text1"/>
        </w:rPr>
        <w:t>2015</w:t>
      </w:r>
      <w:r w:rsidRPr="00BD3E97">
        <w:rPr>
          <w:rFonts w:asciiTheme="minorBidi" w:hAnsiTheme="minorBidi" w:cstheme="minorBidi"/>
          <w:b/>
          <w:bCs/>
          <w:color w:val="000000" w:themeColor="text1"/>
        </w:rPr>
        <w:t>-202</w:t>
      </w:r>
      <w:r w:rsidR="007A76D6">
        <w:rPr>
          <w:rFonts w:asciiTheme="minorBidi" w:hAnsiTheme="minorBidi" w:cstheme="minorBidi"/>
          <w:b/>
          <w:bCs/>
          <w:color w:val="000000" w:themeColor="text1"/>
        </w:rPr>
        <w:t>1</w:t>
      </w:r>
      <w:r w:rsidRPr="00BD3E97">
        <w:rPr>
          <w:rFonts w:asciiTheme="minorBidi" w:hAnsiTheme="minorBidi" w:cstheme="minorBidi"/>
          <w:b/>
          <w:bCs/>
          <w:color w:val="000000" w:themeColor="text1"/>
        </w:rPr>
        <w:t xml:space="preserve"> (Watt</w:t>
      </w:r>
      <w:r w:rsidR="00726C53" w:rsidRPr="00BD3E97">
        <w:rPr>
          <w:rFonts w:asciiTheme="minorBidi" w:hAnsiTheme="minorBidi" w:cstheme="minorBidi"/>
          <w:b/>
          <w:bCs/>
          <w:color w:val="000000" w:themeColor="text1"/>
        </w:rPr>
        <w:t>s</w:t>
      </w:r>
      <w:r w:rsidRPr="00BD3E97">
        <w:rPr>
          <w:rFonts w:asciiTheme="minorBidi" w:hAnsiTheme="minorBidi" w:cstheme="minorBidi"/>
          <w:b/>
          <w:bCs/>
          <w:color w:val="000000" w:themeColor="text1"/>
        </w:rPr>
        <w:t>/Capita)</w:t>
      </w:r>
      <w:r w:rsidRPr="00966878">
        <w:rPr>
          <w:rFonts w:ascii="Simplified Arabic" w:hAnsi="Simplified Arabic" w:cs="Simplified Arabic"/>
          <w:noProof/>
          <w:color w:val="000000" w:themeColor="text1"/>
          <w:sz w:val="24"/>
          <w:szCs w:val="24"/>
          <w:lang w:eastAsia="en-US"/>
        </w:rPr>
        <w:drawing>
          <wp:inline distT="0" distB="0" distL="0" distR="0" wp14:anchorId="3BE8BB00" wp14:editId="472C2523">
            <wp:extent cx="5953125" cy="1762125"/>
            <wp:effectExtent l="0" t="0" r="9525" b="9525"/>
            <wp:docPr id="200"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r w:rsidR="00BF4F06" w:rsidRPr="00966878">
        <w:rPr>
          <w:rFonts w:ascii="Arial" w:hAnsi="Arial"/>
          <w:b/>
          <w:color w:val="000000" w:themeColor="text1"/>
          <w:sz w:val="18"/>
          <w:szCs w:val="18"/>
        </w:rPr>
        <w:t>Sources: Palestinian Central Bureau of Statistics</w:t>
      </w:r>
      <w:r>
        <w:rPr>
          <w:rFonts w:ascii="Arial" w:hAnsi="Arial"/>
          <w:b/>
          <w:color w:val="000000" w:themeColor="text1"/>
          <w:sz w:val="18"/>
          <w:szCs w:val="18"/>
        </w:rPr>
        <w:t>,</w:t>
      </w:r>
      <w:r w:rsidRPr="00E6392C">
        <w:rPr>
          <w:rFonts w:ascii="Arial" w:hAnsi="Arial"/>
          <w:color w:val="000000" w:themeColor="text1"/>
          <w:sz w:val="18"/>
        </w:rPr>
        <w:t xml:space="preserve"> Energy </w:t>
      </w:r>
      <w:r w:rsidR="00BF4F06" w:rsidRPr="00966878">
        <w:rPr>
          <w:rFonts w:ascii="Arial" w:hAnsi="Arial"/>
          <w:bCs/>
          <w:color w:val="000000" w:themeColor="text1"/>
          <w:sz w:val="18"/>
          <w:szCs w:val="18"/>
        </w:rPr>
        <w:t xml:space="preserve">Balances </w:t>
      </w:r>
      <w:r w:rsidR="00A25FCF" w:rsidRPr="00E6392C">
        <w:rPr>
          <w:rFonts w:ascii="Arial" w:hAnsi="Arial"/>
          <w:color w:val="000000" w:themeColor="text1"/>
          <w:sz w:val="18"/>
        </w:rPr>
        <w:t>2015</w:t>
      </w:r>
      <w:r w:rsidRPr="00E6392C">
        <w:rPr>
          <w:rFonts w:ascii="Arial" w:hAnsi="Arial"/>
          <w:color w:val="000000" w:themeColor="text1"/>
          <w:sz w:val="18"/>
        </w:rPr>
        <w:t>-202</w:t>
      </w:r>
      <w:r w:rsidR="007A76D6">
        <w:rPr>
          <w:rFonts w:ascii="Arial" w:hAnsi="Arial"/>
          <w:color w:val="000000" w:themeColor="text1"/>
          <w:sz w:val="18"/>
        </w:rPr>
        <w:t>1</w:t>
      </w:r>
      <w:r w:rsidR="00BF4F06" w:rsidRPr="00966878">
        <w:rPr>
          <w:rFonts w:ascii="Arial" w:hAnsi="Arial"/>
          <w:bCs/>
          <w:color w:val="000000" w:themeColor="text1"/>
          <w:sz w:val="18"/>
          <w:szCs w:val="18"/>
        </w:rPr>
        <w:t>. Ramallah - Palestine.</w:t>
      </w:r>
    </w:p>
    <w:p w14:paraId="3E430449" w14:textId="77777777" w:rsidR="00536909" w:rsidRDefault="00536909" w:rsidP="00536909">
      <w:pPr>
        <w:bidi w:val="0"/>
        <w:spacing w:after="0" w:line="240" w:lineRule="auto"/>
        <w:ind w:right="-334"/>
        <w:jc w:val="both"/>
        <w:rPr>
          <w:rFonts w:ascii="Times New Roman" w:hAnsi="Times New Roman" w:cs="Times New Roman"/>
          <w:b/>
          <w:bCs/>
          <w:color w:val="000000" w:themeColor="text1"/>
          <w:sz w:val="24"/>
          <w:szCs w:val="24"/>
          <w:lang w:eastAsia="ar-SA"/>
        </w:rPr>
      </w:pPr>
    </w:p>
    <w:p w14:paraId="2C08403C" w14:textId="77777777" w:rsidR="00536909" w:rsidRPr="00E6392C" w:rsidRDefault="00536909" w:rsidP="00536909">
      <w:pPr>
        <w:bidi w:val="0"/>
        <w:spacing w:after="0" w:line="240" w:lineRule="auto"/>
        <w:ind w:right="-334"/>
        <w:jc w:val="both"/>
        <w:rPr>
          <w:rFonts w:ascii="Times New Roman" w:hAnsi="Times New Roman"/>
          <w:b/>
          <w:color w:val="000000" w:themeColor="text1"/>
          <w:sz w:val="24"/>
        </w:rPr>
      </w:pPr>
    </w:p>
    <w:p w14:paraId="5394FDDC" w14:textId="77777777" w:rsidR="00446CF3" w:rsidRDefault="00446CF3" w:rsidP="0071415F">
      <w:pPr>
        <w:bidi w:val="0"/>
        <w:spacing w:after="0" w:line="240" w:lineRule="auto"/>
        <w:ind w:right="-334"/>
        <w:jc w:val="both"/>
        <w:rPr>
          <w:rFonts w:ascii="Times New Roman" w:hAnsi="Times New Roman" w:cs="Times New Roman"/>
          <w:b/>
          <w:bCs/>
          <w:color w:val="000000" w:themeColor="text1"/>
          <w:sz w:val="24"/>
          <w:szCs w:val="24"/>
          <w:lang w:eastAsia="ar-SA"/>
        </w:rPr>
      </w:pPr>
    </w:p>
    <w:p w14:paraId="15DBC661" w14:textId="77777777" w:rsidR="00446CF3" w:rsidRDefault="00446CF3" w:rsidP="00446CF3">
      <w:pPr>
        <w:bidi w:val="0"/>
        <w:spacing w:after="0" w:line="240" w:lineRule="auto"/>
        <w:ind w:right="-334"/>
        <w:jc w:val="both"/>
        <w:rPr>
          <w:rFonts w:ascii="Times New Roman" w:hAnsi="Times New Roman" w:cs="Times New Roman"/>
          <w:b/>
          <w:bCs/>
          <w:color w:val="000000" w:themeColor="text1"/>
          <w:sz w:val="24"/>
          <w:szCs w:val="24"/>
          <w:lang w:eastAsia="ar-SA"/>
        </w:rPr>
      </w:pPr>
    </w:p>
    <w:p w14:paraId="2B562878" w14:textId="77777777" w:rsidR="0071415F" w:rsidRPr="00FE4A7B" w:rsidRDefault="0071415F" w:rsidP="00446CF3">
      <w:pPr>
        <w:bidi w:val="0"/>
        <w:spacing w:after="0" w:line="240" w:lineRule="auto"/>
        <w:ind w:right="-334"/>
        <w:jc w:val="both"/>
        <w:rPr>
          <w:rFonts w:ascii="Times New Roman" w:hAnsi="Times New Roman" w:cs="Times New Roman"/>
          <w:b/>
          <w:bCs/>
          <w:color w:val="000000" w:themeColor="text1"/>
          <w:sz w:val="24"/>
          <w:szCs w:val="24"/>
          <w:lang w:eastAsia="ar-SA"/>
        </w:rPr>
      </w:pPr>
      <w:r w:rsidRPr="00FE4A7B">
        <w:rPr>
          <w:rFonts w:ascii="Times New Roman" w:hAnsi="Times New Roman" w:cs="Times New Roman"/>
          <w:b/>
          <w:bCs/>
          <w:color w:val="000000" w:themeColor="text1"/>
          <w:sz w:val="24"/>
          <w:szCs w:val="24"/>
          <w:lang w:eastAsia="ar-SA"/>
        </w:rPr>
        <w:t>Summary</w:t>
      </w:r>
    </w:p>
    <w:p w14:paraId="1E108B23" w14:textId="77777777" w:rsidR="007A76D6" w:rsidRPr="00966878" w:rsidRDefault="007A76D6" w:rsidP="007A76D6">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In 202</w:t>
      </w:r>
      <w:r>
        <w:rPr>
          <w:rFonts w:ascii="Times New Roman" w:hAnsi="Times New Roman" w:cs="Times New Roman"/>
          <w:color w:val="000000" w:themeColor="text1"/>
          <w:sz w:val="24"/>
          <w:szCs w:val="24"/>
          <w:lang w:eastAsia="ar-SA"/>
        </w:rPr>
        <w:t>1</w:t>
      </w:r>
      <w:r w:rsidRPr="00966878">
        <w:rPr>
          <w:rFonts w:ascii="Times New Roman" w:hAnsi="Times New Roman" w:cs="Times New Roman"/>
          <w:color w:val="000000" w:themeColor="text1"/>
          <w:sz w:val="24"/>
          <w:szCs w:val="24"/>
          <w:lang w:eastAsia="ar-SA"/>
        </w:rPr>
        <w:t xml:space="preserve">, around </w:t>
      </w:r>
      <w:r>
        <w:rPr>
          <w:rFonts w:ascii="Times New Roman" w:hAnsi="Times New Roman" w:cs="Times New Roman"/>
          <w:color w:val="000000" w:themeColor="text1"/>
          <w:sz w:val="24"/>
          <w:szCs w:val="24"/>
          <w:lang w:eastAsia="ar-SA"/>
        </w:rPr>
        <w:t>100.0</w:t>
      </w:r>
      <w:r w:rsidRPr="00966878">
        <w:rPr>
          <w:rFonts w:ascii="Times New Roman" w:hAnsi="Times New Roman" w:cs="Times New Roman"/>
          <w:color w:val="000000" w:themeColor="text1"/>
          <w:sz w:val="24"/>
          <w:szCs w:val="24"/>
          <w:lang w:eastAsia="ar-SA"/>
        </w:rPr>
        <w:t xml:space="preserve">% of the Palestinian population have access to electricity, but in </w:t>
      </w:r>
      <w:r>
        <w:rPr>
          <w:rFonts w:ascii="Times New Roman" w:hAnsi="Times New Roman" w:cs="Times New Roman"/>
          <w:color w:val="000000" w:themeColor="text1"/>
          <w:sz w:val="24"/>
          <w:szCs w:val="24"/>
          <w:lang w:eastAsia="ar-SA"/>
        </w:rPr>
        <w:t xml:space="preserve">the </w:t>
      </w:r>
      <w:r w:rsidRPr="00966878">
        <w:rPr>
          <w:rFonts w:ascii="Times New Roman" w:hAnsi="Times New Roman" w:cs="Times New Roman"/>
          <w:color w:val="000000" w:themeColor="text1"/>
          <w:sz w:val="24"/>
          <w:szCs w:val="24"/>
          <w:lang w:eastAsia="ar-SA"/>
        </w:rPr>
        <w:t xml:space="preserve">Gaza Strip </w:t>
      </w:r>
      <w:r>
        <w:rPr>
          <w:rFonts w:ascii="Times New Roman" w:hAnsi="Times New Roman" w:cs="Times New Roman"/>
          <w:color w:val="000000" w:themeColor="text1"/>
          <w:sz w:val="24"/>
          <w:szCs w:val="24"/>
          <w:lang w:eastAsia="ar-SA"/>
        </w:rPr>
        <w:t>most</w:t>
      </w:r>
      <w:r w:rsidRPr="00966878">
        <w:rPr>
          <w:rFonts w:ascii="Times New Roman" w:hAnsi="Times New Roman" w:cs="Times New Roman"/>
          <w:color w:val="000000" w:themeColor="text1"/>
          <w:sz w:val="24"/>
          <w:szCs w:val="24"/>
          <w:lang w:eastAsia="ar-SA"/>
        </w:rPr>
        <w:t xml:space="preserve"> of households experience daily power cuts.  The power supply is not affordable in cost since the prices of electricity reaches 0.1</w:t>
      </w:r>
      <w:r>
        <w:rPr>
          <w:rFonts w:ascii="Times New Roman" w:hAnsi="Times New Roman" w:cs="Times New Roman"/>
          <w:color w:val="000000" w:themeColor="text1"/>
          <w:sz w:val="24"/>
          <w:szCs w:val="24"/>
          <w:lang w:eastAsia="ar-SA"/>
        </w:rPr>
        <w:t>8</w:t>
      </w:r>
      <w:r w:rsidRPr="00966878">
        <w:rPr>
          <w:rFonts w:ascii="Times New Roman" w:hAnsi="Times New Roman" w:cs="Times New Roman"/>
          <w:color w:val="000000" w:themeColor="text1"/>
          <w:sz w:val="24"/>
          <w:szCs w:val="24"/>
          <w:lang w:eastAsia="ar-SA"/>
        </w:rPr>
        <w:t xml:space="preserve"> US D/kWh in Palestine, which is very high compared to the neighboring countries.</w:t>
      </w:r>
    </w:p>
    <w:p w14:paraId="7BB69022" w14:textId="77777777" w:rsidR="007A76D6" w:rsidRPr="00966878" w:rsidRDefault="007A76D6" w:rsidP="007A76D6">
      <w:pPr>
        <w:bidi w:val="0"/>
        <w:spacing w:after="0" w:line="240" w:lineRule="auto"/>
        <w:ind w:right="-334"/>
        <w:jc w:val="both"/>
        <w:rPr>
          <w:rFonts w:ascii="Times New Roman" w:hAnsi="Times New Roman" w:cs="Times New Roman"/>
          <w:color w:val="000000" w:themeColor="text1"/>
          <w:sz w:val="24"/>
          <w:szCs w:val="24"/>
          <w:lang w:eastAsia="ar-SA"/>
        </w:rPr>
      </w:pPr>
    </w:p>
    <w:p w14:paraId="25C46110" w14:textId="77777777" w:rsidR="007A76D6" w:rsidRPr="00966878" w:rsidRDefault="007A76D6" w:rsidP="007A76D6">
      <w:pPr>
        <w:bidi w:val="0"/>
        <w:spacing w:after="0" w:line="240" w:lineRule="auto"/>
        <w:ind w:right="-334"/>
        <w:jc w:val="both"/>
        <w:rPr>
          <w:rFonts w:ascii="Times New Roman" w:hAnsi="Times New Roman" w:cs="Times New Roman"/>
          <w:color w:val="000000" w:themeColor="text1"/>
          <w:sz w:val="24"/>
          <w:szCs w:val="24"/>
          <w:lang w:eastAsia="ar-SA"/>
        </w:rPr>
      </w:pPr>
      <w:r>
        <w:rPr>
          <w:rFonts w:ascii="Times New Roman" w:hAnsi="Times New Roman" w:cs="Times New Roman"/>
          <w:color w:val="000000" w:themeColor="text1"/>
          <w:sz w:val="24"/>
          <w:szCs w:val="24"/>
          <w:lang w:eastAsia="ar-SA"/>
        </w:rPr>
        <w:t xml:space="preserve">Approximately </w:t>
      </w:r>
      <w:r w:rsidRPr="00966878">
        <w:rPr>
          <w:rFonts w:ascii="Times New Roman" w:hAnsi="Times New Roman" w:cs="Times New Roman"/>
          <w:color w:val="000000" w:themeColor="text1"/>
          <w:sz w:val="24"/>
          <w:szCs w:val="24"/>
          <w:lang w:eastAsia="ar-SA"/>
        </w:rPr>
        <w:t xml:space="preserve">97.9% of the Palestinian population used clean fuels for cooking in 2020, while 18.8% of population used wood as a main purpose for heating (25.9% in the West Bank and 8.2% in Gaza Strip). </w:t>
      </w:r>
    </w:p>
    <w:p w14:paraId="79CC6E43" w14:textId="77777777" w:rsidR="007A76D6" w:rsidRPr="00966878" w:rsidRDefault="007A76D6" w:rsidP="007A76D6">
      <w:pPr>
        <w:bidi w:val="0"/>
        <w:spacing w:after="0" w:line="240" w:lineRule="auto"/>
        <w:ind w:right="-334"/>
        <w:jc w:val="both"/>
        <w:rPr>
          <w:rFonts w:ascii="Times New Roman" w:hAnsi="Times New Roman" w:cs="Times New Roman"/>
          <w:color w:val="000000" w:themeColor="text1"/>
          <w:sz w:val="24"/>
          <w:szCs w:val="24"/>
          <w:lang w:eastAsia="ar-SA"/>
        </w:rPr>
      </w:pPr>
    </w:p>
    <w:p w14:paraId="32AEFD2C" w14:textId="77777777" w:rsidR="007A76D6" w:rsidRPr="00966878" w:rsidRDefault="007A76D6" w:rsidP="007A76D6">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 xml:space="preserve">The renewable energy share to the total final energy consumption reached about </w:t>
      </w:r>
      <w:r>
        <w:rPr>
          <w:rFonts w:ascii="Times New Roman" w:hAnsi="Times New Roman" w:cs="Times New Roman"/>
          <w:color w:val="000000" w:themeColor="text1"/>
          <w:sz w:val="24"/>
          <w:szCs w:val="24"/>
          <w:lang w:eastAsia="ar-SA"/>
        </w:rPr>
        <w:t>10.6</w:t>
      </w:r>
      <w:r w:rsidRPr="00966878">
        <w:rPr>
          <w:rFonts w:ascii="Times New Roman" w:hAnsi="Times New Roman" w:cs="Times New Roman"/>
          <w:color w:val="000000" w:themeColor="text1"/>
          <w:sz w:val="24"/>
          <w:szCs w:val="24"/>
          <w:lang w:eastAsia="ar-SA"/>
        </w:rPr>
        <w:t>% in 20</w:t>
      </w:r>
      <w:r>
        <w:rPr>
          <w:rFonts w:ascii="Times New Roman" w:hAnsi="Times New Roman" w:cs="Times New Roman"/>
          <w:color w:val="000000" w:themeColor="text1"/>
          <w:sz w:val="24"/>
          <w:szCs w:val="24"/>
          <w:lang w:eastAsia="ar-SA"/>
        </w:rPr>
        <w:t>21</w:t>
      </w:r>
      <w:r w:rsidRPr="00966878">
        <w:rPr>
          <w:rFonts w:ascii="Times New Roman" w:hAnsi="Times New Roman" w:cs="Times New Roman"/>
          <w:color w:val="000000" w:themeColor="text1"/>
          <w:sz w:val="24"/>
          <w:szCs w:val="24"/>
          <w:lang w:eastAsia="ar-SA"/>
        </w:rPr>
        <w:t xml:space="preserve">, </w:t>
      </w:r>
      <w:r>
        <w:rPr>
          <w:rFonts w:ascii="Times New Roman" w:hAnsi="Times New Roman" w:cs="Times New Roman"/>
          <w:color w:val="000000" w:themeColor="text1"/>
          <w:sz w:val="24"/>
          <w:szCs w:val="24"/>
          <w:lang w:eastAsia="ar-SA"/>
        </w:rPr>
        <w:t>decreased</w:t>
      </w:r>
      <w:r w:rsidRPr="00966878">
        <w:rPr>
          <w:rFonts w:ascii="Times New Roman" w:hAnsi="Times New Roman" w:cs="Times New Roman"/>
          <w:color w:val="000000" w:themeColor="text1"/>
          <w:sz w:val="24"/>
          <w:szCs w:val="24"/>
          <w:lang w:eastAsia="ar-SA"/>
        </w:rPr>
        <w:t xml:space="preserve"> from around </w:t>
      </w:r>
      <w:r>
        <w:rPr>
          <w:rFonts w:ascii="Times New Roman" w:hAnsi="Times New Roman" w:cs="Times New Roman"/>
          <w:color w:val="000000" w:themeColor="text1"/>
          <w:sz w:val="24"/>
          <w:szCs w:val="24"/>
          <w:lang w:eastAsia="ar-SA"/>
        </w:rPr>
        <w:t>11</w:t>
      </w:r>
      <w:r w:rsidRPr="00966878">
        <w:rPr>
          <w:rFonts w:ascii="Times New Roman" w:hAnsi="Times New Roman" w:cs="Times New Roman"/>
          <w:color w:val="000000" w:themeColor="text1"/>
          <w:sz w:val="24"/>
          <w:szCs w:val="24"/>
          <w:lang w:eastAsia="ar-SA"/>
        </w:rPr>
        <w:t>.7% in 201</w:t>
      </w:r>
      <w:r>
        <w:rPr>
          <w:rFonts w:ascii="Times New Roman" w:hAnsi="Times New Roman" w:cs="Times New Roman"/>
          <w:color w:val="000000" w:themeColor="text1"/>
          <w:sz w:val="24"/>
          <w:szCs w:val="24"/>
          <w:lang w:eastAsia="ar-SA"/>
        </w:rPr>
        <w:t>9</w:t>
      </w:r>
      <w:r w:rsidRPr="00966878">
        <w:rPr>
          <w:rFonts w:ascii="Times New Roman" w:hAnsi="Times New Roman" w:cs="Times New Roman"/>
          <w:color w:val="000000" w:themeColor="text1"/>
          <w:sz w:val="24"/>
          <w:szCs w:val="24"/>
          <w:lang w:eastAsia="ar-SA"/>
        </w:rPr>
        <w:t>. This percentage c</w:t>
      </w:r>
      <w:r>
        <w:rPr>
          <w:rFonts w:ascii="Times New Roman" w:hAnsi="Times New Roman" w:cs="Times New Roman"/>
          <w:color w:val="000000" w:themeColor="text1"/>
          <w:sz w:val="24"/>
          <w:szCs w:val="24"/>
          <w:lang w:eastAsia="ar-SA"/>
        </w:rPr>
        <w:t>an</w:t>
      </w:r>
      <w:r w:rsidRPr="00966878">
        <w:rPr>
          <w:rFonts w:ascii="Times New Roman" w:hAnsi="Times New Roman" w:cs="Times New Roman"/>
          <w:color w:val="000000" w:themeColor="text1"/>
          <w:sz w:val="24"/>
          <w:szCs w:val="24"/>
          <w:lang w:eastAsia="ar-SA"/>
        </w:rPr>
        <w:t xml:space="preserve"> be increased by utilizing the huge potential of the SWH and PV systems in Palestine.</w:t>
      </w:r>
    </w:p>
    <w:p w14:paraId="7E334C22" w14:textId="77777777" w:rsidR="007A76D6" w:rsidRPr="00966878" w:rsidRDefault="007A76D6" w:rsidP="007A76D6">
      <w:pPr>
        <w:bidi w:val="0"/>
        <w:spacing w:after="0" w:line="240" w:lineRule="auto"/>
        <w:ind w:right="-334"/>
        <w:jc w:val="both"/>
        <w:rPr>
          <w:rFonts w:ascii="Times New Roman" w:hAnsi="Times New Roman" w:cs="Times New Roman"/>
          <w:color w:val="000000" w:themeColor="text1"/>
          <w:sz w:val="24"/>
          <w:szCs w:val="24"/>
          <w:lang w:eastAsia="ar-SA"/>
        </w:rPr>
      </w:pPr>
    </w:p>
    <w:p w14:paraId="5F233343" w14:textId="10FCBBAD" w:rsidR="0071415F" w:rsidRDefault="007A76D6" w:rsidP="007A76D6">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 xml:space="preserve">The energy intensity reached around </w:t>
      </w:r>
      <w:r>
        <w:rPr>
          <w:rFonts w:ascii="Times New Roman" w:hAnsi="Times New Roman" w:cs="Times New Roman"/>
          <w:color w:val="000000" w:themeColor="text1"/>
          <w:sz w:val="24"/>
          <w:szCs w:val="24"/>
          <w:lang w:eastAsia="ar-SA"/>
        </w:rPr>
        <w:t>3.3</w:t>
      </w:r>
      <w:r w:rsidRPr="00966878">
        <w:rPr>
          <w:rFonts w:ascii="Times New Roman" w:hAnsi="Times New Roman" w:cs="Times New Roman"/>
          <w:color w:val="000000" w:themeColor="text1"/>
          <w:sz w:val="24"/>
          <w:szCs w:val="24"/>
          <w:lang w:eastAsia="ar-SA"/>
        </w:rPr>
        <w:t xml:space="preserve"> Mega joule/USD 2017 PPP in 20</w:t>
      </w:r>
      <w:r>
        <w:rPr>
          <w:rFonts w:ascii="Times New Roman" w:hAnsi="Times New Roman" w:cs="Times New Roman"/>
          <w:color w:val="000000" w:themeColor="text1"/>
          <w:sz w:val="24"/>
          <w:szCs w:val="24"/>
          <w:lang w:eastAsia="ar-SA"/>
        </w:rPr>
        <w:t>21</w:t>
      </w:r>
      <w:r w:rsidRPr="00966878">
        <w:rPr>
          <w:rFonts w:ascii="Times New Roman" w:hAnsi="Times New Roman" w:cs="Times New Roman"/>
          <w:color w:val="000000" w:themeColor="text1"/>
          <w:sz w:val="24"/>
          <w:szCs w:val="24"/>
          <w:lang w:eastAsia="ar-SA"/>
        </w:rPr>
        <w:t xml:space="preserve">, which </w:t>
      </w:r>
      <w:r>
        <w:rPr>
          <w:rFonts w:ascii="Times New Roman" w:hAnsi="Times New Roman" w:cs="Times New Roman"/>
          <w:color w:val="000000" w:themeColor="text1"/>
          <w:sz w:val="24"/>
          <w:szCs w:val="24"/>
          <w:lang w:eastAsia="ar-SA"/>
        </w:rPr>
        <w:t>increased</w:t>
      </w:r>
      <w:r w:rsidRPr="00966878">
        <w:rPr>
          <w:rFonts w:ascii="Times New Roman" w:hAnsi="Times New Roman" w:cs="Times New Roman"/>
          <w:color w:val="000000" w:themeColor="text1"/>
          <w:sz w:val="24"/>
          <w:szCs w:val="24"/>
          <w:lang w:eastAsia="ar-SA"/>
        </w:rPr>
        <w:t xml:space="preserve"> from </w:t>
      </w:r>
      <w:r>
        <w:rPr>
          <w:rFonts w:ascii="Times New Roman" w:hAnsi="Times New Roman" w:cs="Times New Roman"/>
          <w:color w:val="000000" w:themeColor="text1"/>
          <w:sz w:val="24"/>
          <w:szCs w:val="24"/>
          <w:lang w:eastAsia="ar-SA"/>
        </w:rPr>
        <w:t>2.6</w:t>
      </w:r>
      <w:r w:rsidRPr="00966878">
        <w:rPr>
          <w:rFonts w:ascii="Times New Roman" w:hAnsi="Times New Roman" w:cs="Times New Roman"/>
          <w:color w:val="000000" w:themeColor="text1"/>
          <w:sz w:val="24"/>
          <w:szCs w:val="24"/>
          <w:lang w:eastAsia="ar-SA"/>
        </w:rPr>
        <w:t xml:space="preserve"> Mega joule/USD 2017 PPP in 2018.</w:t>
      </w:r>
    </w:p>
    <w:p w14:paraId="64728421" w14:textId="5099172E" w:rsidR="0071415F" w:rsidRPr="002A1D30" w:rsidRDefault="0071415F" w:rsidP="002A1D30">
      <w:pPr>
        <w:bidi w:val="0"/>
        <w:spacing w:after="0" w:line="240" w:lineRule="auto"/>
        <w:ind w:right="-334"/>
        <w:jc w:val="both"/>
        <w:rPr>
          <w:rFonts w:ascii="Times New Roman" w:hAnsi="Times New Roman" w:cs="Times New Roman"/>
          <w:color w:val="000000" w:themeColor="text1"/>
          <w:sz w:val="24"/>
          <w:szCs w:val="24"/>
          <w:lang w:eastAsia="ar-SA"/>
        </w:rPr>
      </w:pPr>
      <w:r>
        <w:rPr>
          <w:rFonts w:ascii="Times New Roman" w:hAnsi="Times New Roman" w:cs="Times New Roman"/>
          <w:sz w:val="24"/>
          <w:szCs w:val="24"/>
        </w:rPr>
        <w:br w:type="page"/>
      </w:r>
    </w:p>
    <w:tbl>
      <w:tblPr>
        <w:tblW w:w="0" w:type="auto"/>
        <w:tblBorders>
          <w:top w:val="thinThickSmallGap" w:sz="24" w:space="0" w:color="852C38"/>
          <w:left w:val="thinThickSmallGap" w:sz="24" w:space="0" w:color="852C38"/>
          <w:bottom w:val="thinThickSmallGap" w:sz="24" w:space="0" w:color="852C38"/>
          <w:right w:val="thinThickSmallGap" w:sz="24" w:space="0" w:color="852C38"/>
        </w:tblBorders>
        <w:tblLook w:val="04A0" w:firstRow="1" w:lastRow="0" w:firstColumn="1" w:lastColumn="0" w:noHBand="0" w:noVBand="1"/>
      </w:tblPr>
      <w:tblGrid>
        <w:gridCol w:w="2081"/>
        <w:gridCol w:w="6899"/>
      </w:tblGrid>
      <w:tr w:rsidR="0071415F" w:rsidRPr="00DA2024" w14:paraId="79539704" w14:textId="77777777" w:rsidTr="0071415F">
        <w:tc>
          <w:tcPr>
            <w:tcW w:w="2088" w:type="dxa"/>
            <w:shd w:val="clear" w:color="auto" w:fill="auto"/>
            <w:vAlign w:val="center"/>
          </w:tcPr>
          <w:p w14:paraId="1843CA52" w14:textId="77777777" w:rsidR="0071415F" w:rsidRPr="00DA2024" w:rsidRDefault="0071415F" w:rsidP="0071415F">
            <w:pPr>
              <w:pStyle w:val="Header"/>
              <w:tabs>
                <w:tab w:val="left" w:pos="720"/>
              </w:tabs>
              <w:bidi w:val="0"/>
              <w:jc w:val="center"/>
              <w:rPr>
                <w:rFonts w:ascii="Times New Roman" w:hAnsi="Times New Roman" w:cs="Times New Roman"/>
                <w:b/>
                <w:bCs/>
                <w:sz w:val="24"/>
                <w:szCs w:val="24"/>
                <w:lang w:val="it-IT"/>
              </w:rPr>
            </w:pPr>
            <w:r w:rsidRPr="00DA2024">
              <w:rPr>
                <w:rFonts w:ascii="Times New Roman" w:hAnsi="Times New Roman" w:cs="Times New Roman"/>
                <w:sz w:val="24"/>
                <w:szCs w:val="24"/>
                <w:lang w:eastAsia="ar-SA"/>
              </w:rPr>
              <w:lastRenderedPageBreak/>
              <w:br w:type="page"/>
            </w:r>
            <w:r w:rsidRPr="00DA2024">
              <w:rPr>
                <w:noProof/>
              </w:rPr>
              <w:drawing>
                <wp:inline distT="0" distB="0" distL="0" distR="0" wp14:anchorId="3989BE40" wp14:editId="74546E2B">
                  <wp:extent cx="1081405" cy="1081405"/>
                  <wp:effectExtent l="19050" t="0" r="4445" b="0"/>
                  <wp:docPr id="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1"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14:paraId="7BB56794" w14:textId="77777777" w:rsidR="0071415F" w:rsidRPr="00DA2024" w:rsidRDefault="0071415F" w:rsidP="0071415F">
            <w:pPr>
              <w:pStyle w:val="Header"/>
              <w:tabs>
                <w:tab w:val="left" w:pos="720"/>
              </w:tabs>
              <w:bidi w:val="0"/>
              <w:rPr>
                <w:rFonts w:ascii="Times New Roman" w:hAnsi="Times New Roman" w:cs="Times New Roman"/>
                <w:b/>
                <w:bCs/>
                <w:sz w:val="24"/>
                <w:szCs w:val="24"/>
              </w:rPr>
            </w:pPr>
            <w:r w:rsidRPr="00DA2024">
              <w:rPr>
                <w:rFonts w:ascii="Times New Roman" w:hAnsi="Times New Roman" w:cs="Times New Roman"/>
                <w:b/>
                <w:sz w:val="28"/>
                <w:szCs w:val="28"/>
              </w:rPr>
              <w:t xml:space="preserve">GOAL 8 – Promote Sustained, Inclusive </w:t>
            </w:r>
            <w:r w:rsidR="00A6125D">
              <w:rPr>
                <w:rFonts w:ascii="Times New Roman" w:hAnsi="Times New Roman" w:cs="Times New Roman"/>
                <w:b/>
                <w:sz w:val="28"/>
                <w:szCs w:val="28"/>
              </w:rPr>
              <w:t>a</w:t>
            </w:r>
            <w:r w:rsidRPr="00DA2024">
              <w:rPr>
                <w:rFonts w:ascii="Times New Roman" w:hAnsi="Times New Roman" w:cs="Times New Roman"/>
                <w:b/>
                <w:sz w:val="28"/>
                <w:szCs w:val="28"/>
              </w:rPr>
              <w:t xml:space="preserve">nd Sustainable Economic Growth, Full </w:t>
            </w:r>
            <w:r w:rsidR="00A6125D">
              <w:rPr>
                <w:rFonts w:ascii="Times New Roman" w:hAnsi="Times New Roman" w:cs="Times New Roman"/>
                <w:b/>
                <w:sz w:val="28"/>
                <w:szCs w:val="28"/>
              </w:rPr>
              <w:t>a</w:t>
            </w:r>
            <w:r w:rsidRPr="00DA2024">
              <w:rPr>
                <w:rFonts w:ascii="Times New Roman" w:hAnsi="Times New Roman" w:cs="Times New Roman"/>
                <w:b/>
                <w:sz w:val="28"/>
                <w:szCs w:val="28"/>
              </w:rPr>
              <w:t xml:space="preserve">nd Productive Employment </w:t>
            </w:r>
            <w:r w:rsidR="00A6125D">
              <w:rPr>
                <w:rFonts w:ascii="Times New Roman" w:hAnsi="Times New Roman" w:cs="Times New Roman"/>
                <w:b/>
                <w:sz w:val="28"/>
                <w:szCs w:val="28"/>
              </w:rPr>
              <w:t>a</w:t>
            </w:r>
            <w:r w:rsidRPr="00DA2024">
              <w:rPr>
                <w:rFonts w:ascii="Times New Roman" w:hAnsi="Times New Roman" w:cs="Times New Roman"/>
                <w:b/>
                <w:sz w:val="28"/>
                <w:szCs w:val="28"/>
              </w:rPr>
              <w:t>nd Decent Work For All</w:t>
            </w:r>
          </w:p>
        </w:tc>
      </w:tr>
    </w:tbl>
    <w:p w14:paraId="16D57735"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164ADE62"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Introduction to the Goal</w:t>
      </w:r>
    </w:p>
    <w:p w14:paraId="51421CEF"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Goal 8 centers on the promotion of a new model of economic development that combines economic growth with environmental protection, ensuring inclusion and fairness in the distribution of economic resources and working conditions. Monitoring economic growth refers to the performance of economies and their production capacity to be supported and strengthened by stimulating diversification, technological progress</w:t>
      </w:r>
      <w:r w:rsidR="00150714">
        <w:rPr>
          <w:rFonts w:ascii="Times New Roman" w:hAnsi="Times New Roman" w:cs="Times New Roman"/>
          <w:sz w:val="24"/>
          <w:szCs w:val="24"/>
        </w:rPr>
        <w:t>,</w:t>
      </w:r>
      <w:r w:rsidRPr="00DA2024">
        <w:rPr>
          <w:rFonts w:ascii="Times New Roman" w:hAnsi="Times New Roman" w:cs="Times New Roman"/>
          <w:sz w:val="24"/>
          <w:szCs w:val="24"/>
        </w:rPr>
        <w:t xml:space="preserve"> and innovation. This means promoting a development model based on drivers that can increase the potential for growth, with a balanced leveraging ofqualitative factors, not just quantitative factors in order to have inclusive and sustainable effects. Specific targets are directed at promoting efficiency in using natural resources, with a view to decoupling economic development from environmental degradation and include sustainable tourism as a channel for creating employment, environmental protection</w:t>
      </w:r>
      <w:r w:rsidR="00150714">
        <w:rPr>
          <w:rFonts w:ascii="Times New Roman" w:hAnsi="Times New Roman" w:cs="Times New Roman"/>
          <w:sz w:val="24"/>
          <w:szCs w:val="24"/>
        </w:rPr>
        <w:t>,</w:t>
      </w:r>
      <w:r w:rsidRPr="00DA2024">
        <w:rPr>
          <w:rFonts w:ascii="Times New Roman" w:hAnsi="Times New Roman" w:cs="Times New Roman"/>
          <w:sz w:val="24"/>
          <w:szCs w:val="24"/>
        </w:rPr>
        <w:t xml:space="preserve"> and appreciation for local culture. The aspect of labouris addressed with reference to the goal of ensuring full employment and decent jobs for all, including the labour categories most at risk of exclusion (youth, women, people with disabilities, migrants), ensuring fairness in compensation, improving safety conditions in the workplace and eliminating all forms of labour exploitation. Strengthening of financial institutions should also be done with an eye to inclusion, aiming to broaden access to financial, banking and insurance services.</w:t>
      </w:r>
    </w:p>
    <w:p w14:paraId="705CD3AA" w14:textId="77777777" w:rsidR="0071415F" w:rsidRPr="00DA2024" w:rsidRDefault="0071415F" w:rsidP="0071415F">
      <w:pPr>
        <w:pStyle w:val="Bodytext1"/>
        <w:shd w:val="clear" w:color="auto" w:fill="auto"/>
        <w:tabs>
          <w:tab w:val="left" w:pos="649"/>
        </w:tabs>
        <w:spacing w:before="0" w:after="0" w:line="240" w:lineRule="auto"/>
        <w:ind w:right="40" w:firstLine="0"/>
        <w:jc w:val="both"/>
        <w:rPr>
          <w:rFonts w:ascii="Times New Roman" w:hAnsi="Times New Roman"/>
          <w:sz w:val="24"/>
          <w:szCs w:val="24"/>
        </w:rPr>
      </w:pPr>
    </w:p>
    <w:p w14:paraId="34310E9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Targets</w:t>
      </w:r>
    </w:p>
    <w:p w14:paraId="590A0EDF"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 xml:space="preserve">Goal 8 is broken down into 12 </w:t>
      </w:r>
      <w:r w:rsidR="00150714">
        <w:rPr>
          <w:rFonts w:ascii="Times New Roman" w:hAnsi="Times New Roman" w:cs="Times New Roman"/>
          <w:sz w:val="24"/>
          <w:szCs w:val="24"/>
        </w:rPr>
        <w:t>t</w:t>
      </w:r>
      <w:r w:rsidRPr="00DA2024">
        <w:rPr>
          <w:rFonts w:ascii="Times New Roman" w:hAnsi="Times New Roman" w:cs="Times New Roman"/>
          <w:sz w:val="24"/>
          <w:szCs w:val="24"/>
        </w:rPr>
        <w:t xml:space="preserve">argets of which the last </w:t>
      </w:r>
      <w:r w:rsidR="00150714">
        <w:rPr>
          <w:rFonts w:ascii="Times New Roman" w:hAnsi="Times New Roman" w:cs="Times New Roman"/>
          <w:sz w:val="24"/>
          <w:szCs w:val="24"/>
        </w:rPr>
        <w:t>two</w:t>
      </w:r>
      <w:r w:rsidRPr="00DA2024">
        <w:rPr>
          <w:rFonts w:ascii="Times New Roman" w:hAnsi="Times New Roman" w:cs="Times New Roman"/>
          <w:sz w:val="24"/>
          <w:szCs w:val="24"/>
        </w:rPr>
        <w:t xml:space="preserve"> refer to means of implementation:</w:t>
      </w:r>
    </w:p>
    <w:p w14:paraId="71E9748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 xml:space="preserve">8.1 </w:t>
      </w:r>
    </w:p>
    <w:p w14:paraId="24292283"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Sustain per capita economic growth in accordance with national circumstances and, in particular, at least 7</w:t>
      </w:r>
      <w:r w:rsidR="00150714">
        <w:rPr>
          <w:rFonts w:ascii="Times New Roman" w:hAnsi="Times New Roman" w:cs="Times New Roman"/>
          <w:sz w:val="24"/>
          <w:szCs w:val="24"/>
        </w:rPr>
        <w:t>%</w:t>
      </w:r>
      <w:r w:rsidRPr="00DA2024">
        <w:rPr>
          <w:rFonts w:ascii="Times New Roman" w:hAnsi="Times New Roman" w:cs="Times New Roman"/>
          <w:sz w:val="24"/>
          <w:szCs w:val="24"/>
        </w:rPr>
        <w:t xml:space="preserve"> gross domestic product growth per annum in the least developed countries</w:t>
      </w:r>
      <w:r w:rsidR="00150714">
        <w:rPr>
          <w:rFonts w:ascii="Times New Roman" w:hAnsi="Times New Roman" w:cs="Times New Roman"/>
          <w:sz w:val="24"/>
          <w:szCs w:val="24"/>
        </w:rPr>
        <w:t>.</w:t>
      </w:r>
    </w:p>
    <w:p w14:paraId="591DB49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3A6A747"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8.2</w:t>
      </w:r>
    </w:p>
    <w:p w14:paraId="0B6C2A22"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Achieve higher levels of economic productivity through diversification, technological upgrading</w:t>
      </w:r>
      <w:r w:rsidR="00150714">
        <w:rPr>
          <w:rFonts w:ascii="Times New Roman" w:hAnsi="Times New Roman" w:cs="Times New Roman"/>
          <w:sz w:val="24"/>
          <w:szCs w:val="24"/>
        </w:rPr>
        <w:t>,</w:t>
      </w:r>
      <w:r w:rsidRPr="00DA2024">
        <w:rPr>
          <w:rFonts w:ascii="Times New Roman" w:hAnsi="Times New Roman" w:cs="Times New Roman"/>
          <w:sz w:val="24"/>
          <w:szCs w:val="24"/>
        </w:rPr>
        <w:t xml:space="preserve"> and innovation including through a focus on high-value added and labour-intensive sectors</w:t>
      </w:r>
      <w:r w:rsidR="00150714">
        <w:rPr>
          <w:rFonts w:ascii="Times New Roman" w:hAnsi="Times New Roman" w:cs="Times New Roman"/>
          <w:sz w:val="24"/>
          <w:szCs w:val="24"/>
        </w:rPr>
        <w:t>.</w:t>
      </w:r>
    </w:p>
    <w:p w14:paraId="4F991DF0"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01E53E2"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8.3</w:t>
      </w:r>
    </w:p>
    <w:p w14:paraId="6684DAD1"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Promote development-oriented policies that support productive activities, decent job creation, entrepreneurship, creativity and innovation, and encourage the formalization and growth of micro, small</w:t>
      </w:r>
      <w:r w:rsidR="00235105">
        <w:rPr>
          <w:rFonts w:ascii="Times New Roman" w:hAnsi="Times New Roman" w:cs="Times New Roman"/>
          <w:sz w:val="24"/>
          <w:szCs w:val="24"/>
        </w:rPr>
        <w:t>,</w:t>
      </w:r>
      <w:r w:rsidRPr="00DA2024">
        <w:rPr>
          <w:rFonts w:ascii="Times New Roman" w:hAnsi="Times New Roman" w:cs="Times New Roman"/>
          <w:sz w:val="24"/>
          <w:szCs w:val="24"/>
        </w:rPr>
        <w:t xml:space="preserve"> and medium-sized enterprises including access to financial services</w:t>
      </w:r>
      <w:r w:rsidR="00235105">
        <w:rPr>
          <w:rFonts w:ascii="Times New Roman" w:hAnsi="Times New Roman" w:cs="Times New Roman"/>
          <w:sz w:val="24"/>
          <w:szCs w:val="24"/>
        </w:rPr>
        <w:t>.</w:t>
      </w:r>
    </w:p>
    <w:p w14:paraId="11CB7C57"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466DC51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8.4</w:t>
      </w:r>
    </w:p>
    <w:p w14:paraId="7C2FA327"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Improve progressively, through 2030, global resource efficiency in consumption and production and endeavor to decouple economic growth from environmental degradation in accordance with the 10‑Year Framework of Programmes on Sustainable Consumption and Production, with deve</w:t>
      </w:r>
      <w:r>
        <w:rPr>
          <w:rFonts w:ascii="Times New Roman" w:hAnsi="Times New Roman" w:cs="Times New Roman"/>
          <w:sz w:val="24"/>
          <w:szCs w:val="24"/>
        </w:rPr>
        <w:t>loped countries taking the lead</w:t>
      </w:r>
      <w:r w:rsidR="00235105">
        <w:rPr>
          <w:rFonts w:ascii="Times New Roman" w:hAnsi="Times New Roman" w:cs="Times New Roman"/>
          <w:sz w:val="24"/>
          <w:szCs w:val="24"/>
        </w:rPr>
        <w:t>.</w:t>
      </w:r>
    </w:p>
    <w:p w14:paraId="4A930328" w14:textId="77777777" w:rsidR="0071415F" w:rsidRPr="00597B51"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04ECF645"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8.5</w:t>
      </w:r>
    </w:p>
    <w:p w14:paraId="11B0554A"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By 2030, achieve full and productive employment and decent work for all women and men including for young people and persons with disabilities and equal pay for work of equal value</w:t>
      </w:r>
      <w:r w:rsidR="00235105">
        <w:rPr>
          <w:rFonts w:ascii="Times New Roman" w:hAnsi="Times New Roman" w:cs="Times New Roman"/>
          <w:sz w:val="24"/>
          <w:szCs w:val="24"/>
        </w:rPr>
        <w:t>.</w:t>
      </w:r>
    </w:p>
    <w:p w14:paraId="34C4AF68" w14:textId="77777777" w:rsidR="002A1D30" w:rsidRPr="0029489D" w:rsidRDefault="002A1D30" w:rsidP="002A1D30">
      <w:pPr>
        <w:autoSpaceDE w:val="0"/>
        <w:autoSpaceDN w:val="0"/>
        <w:bidi w:val="0"/>
        <w:adjustRightInd w:val="0"/>
        <w:spacing w:after="0" w:line="240" w:lineRule="auto"/>
        <w:jc w:val="both"/>
        <w:rPr>
          <w:rFonts w:ascii="Times New Roman" w:hAnsi="Times New Roman" w:cs="Times New Roman"/>
          <w:sz w:val="24"/>
          <w:szCs w:val="24"/>
        </w:rPr>
      </w:pPr>
    </w:p>
    <w:p w14:paraId="7889F31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lastRenderedPageBreak/>
        <w:t>8.6</w:t>
      </w:r>
    </w:p>
    <w:p w14:paraId="5F405A34" w14:textId="77777777" w:rsidR="0071415F" w:rsidRPr="00DA2024" w:rsidRDefault="0071415F" w:rsidP="008A321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 xml:space="preserve">By 2020, substantially reduce the proportion of youth </w:t>
      </w:r>
      <w:r w:rsidRPr="008A321F">
        <w:rPr>
          <w:rFonts w:ascii="Times New Roman" w:hAnsi="Times New Roman" w:cs="Times New Roman"/>
          <w:sz w:val="24"/>
          <w:szCs w:val="24"/>
        </w:rPr>
        <w:t>not in employment, education or training</w:t>
      </w:r>
    </w:p>
    <w:p w14:paraId="42D15F6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546869A"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8.7</w:t>
      </w:r>
    </w:p>
    <w:p w14:paraId="2DA6B004"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Take immediate and effective measures to eradicate forced labour, end modern slavery and human trafficking</w:t>
      </w:r>
      <w:r w:rsidR="00235105">
        <w:rPr>
          <w:rFonts w:ascii="Times New Roman" w:hAnsi="Times New Roman" w:cs="Times New Roman"/>
          <w:sz w:val="24"/>
          <w:szCs w:val="24"/>
        </w:rPr>
        <w:t>,</w:t>
      </w:r>
      <w:r w:rsidRPr="00DA2024">
        <w:rPr>
          <w:rFonts w:ascii="Times New Roman" w:hAnsi="Times New Roman" w:cs="Times New Roman"/>
          <w:sz w:val="24"/>
          <w:szCs w:val="24"/>
        </w:rPr>
        <w:t xml:space="preserve"> and secure the prohibition and elimination of the worst forms of child labour including recruitment and use of child soldiers and by 2025 end child labour in all its forms</w:t>
      </w:r>
      <w:r w:rsidR="00235105">
        <w:rPr>
          <w:rFonts w:ascii="Times New Roman" w:hAnsi="Times New Roman" w:cs="Times New Roman"/>
          <w:sz w:val="24"/>
          <w:szCs w:val="24"/>
        </w:rPr>
        <w:t>.</w:t>
      </w:r>
    </w:p>
    <w:p w14:paraId="6EBB5CD9"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4E5D10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 xml:space="preserve">8.8 </w:t>
      </w:r>
    </w:p>
    <w:p w14:paraId="1F914F2A"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Protect labour rights and promote safe and secure working environments for all workers including migrant workers, in particular women migrants, and those in precarious employment</w:t>
      </w:r>
      <w:r w:rsidR="00235105">
        <w:rPr>
          <w:rFonts w:ascii="Times New Roman" w:hAnsi="Times New Roman" w:cs="Times New Roman"/>
          <w:sz w:val="24"/>
          <w:szCs w:val="24"/>
        </w:rPr>
        <w:t>.</w:t>
      </w:r>
    </w:p>
    <w:p w14:paraId="2496D2A1"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91B3232"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8.9</w:t>
      </w:r>
    </w:p>
    <w:p w14:paraId="33617B7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By 2030, devise and implement policies to promote sustainable tourism that creates jobs and promotes local culture and products</w:t>
      </w:r>
      <w:r w:rsidR="00235105">
        <w:rPr>
          <w:rFonts w:ascii="Times New Roman" w:hAnsi="Times New Roman" w:cs="Times New Roman"/>
          <w:sz w:val="24"/>
          <w:szCs w:val="24"/>
        </w:rPr>
        <w:t>.</w:t>
      </w:r>
    </w:p>
    <w:p w14:paraId="3DCB1D49"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42F602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8.10</w:t>
      </w:r>
    </w:p>
    <w:p w14:paraId="18894BF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Strengthen the capacity of domestic financial institutions to encourage and expand access to banking, insurance</w:t>
      </w:r>
      <w:r w:rsidR="00235105">
        <w:rPr>
          <w:rFonts w:ascii="Times New Roman" w:hAnsi="Times New Roman" w:cs="Times New Roman"/>
          <w:sz w:val="24"/>
          <w:szCs w:val="24"/>
        </w:rPr>
        <w:t>,</w:t>
      </w:r>
      <w:r w:rsidRPr="00DA2024">
        <w:rPr>
          <w:rFonts w:ascii="Times New Roman" w:hAnsi="Times New Roman" w:cs="Times New Roman"/>
          <w:sz w:val="24"/>
          <w:szCs w:val="24"/>
        </w:rPr>
        <w:t xml:space="preserve"> and financial services for all</w:t>
      </w:r>
      <w:r w:rsidR="00235105">
        <w:rPr>
          <w:rFonts w:ascii="Times New Roman" w:hAnsi="Times New Roman" w:cs="Times New Roman"/>
          <w:sz w:val="24"/>
          <w:szCs w:val="24"/>
        </w:rPr>
        <w:t>.</w:t>
      </w:r>
    </w:p>
    <w:p w14:paraId="6634A769"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D074F13"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8.a</w:t>
      </w:r>
    </w:p>
    <w:p w14:paraId="6C713CE7"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 xml:space="preserve">Increase </w:t>
      </w:r>
      <w:r w:rsidR="00235105">
        <w:rPr>
          <w:rFonts w:ascii="Times New Roman" w:hAnsi="Times New Roman" w:cs="Times New Roman"/>
          <w:sz w:val="24"/>
          <w:szCs w:val="24"/>
        </w:rPr>
        <w:t>a</w:t>
      </w:r>
      <w:r w:rsidRPr="00DA2024">
        <w:rPr>
          <w:rFonts w:ascii="Times New Roman" w:hAnsi="Times New Roman" w:cs="Times New Roman"/>
          <w:sz w:val="24"/>
          <w:szCs w:val="24"/>
        </w:rPr>
        <w:t xml:space="preserve">id for </w:t>
      </w:r>
      <w:r w:rsidR="00235105">
        <w:rPr>
          <w:rFonts w:ascii="Times New Roman" w:hAnsi="Times New Roman" w:cs="Times New Roman"/>
          <w:sz w:val="24"/>
          <w:szCs w:val="24"/>
        </w:rPr>
        <w:t>t</w:t>
      </w:r>
      <w:r w:rsidRPr="00DA2024">
        <w:rPr>
          <w:rFonts w:ascii="Times New Roman" w:hAnsi="Times New Roman" w:cs="Times New Roman"/>
          <w:sz w:val="24"/>
          <w:szCs w:val="24"/>
        </w:rPr>
        <w:t>rade support for developing countries, in particular least developed countries including through the Enhanced Integrated Framework for Trade-related Technical Assistance to Least Developed Countries</w:t>
      </w:r>
      <w:r w:rsidR="00235105">
        <w:rPr>
          <w:rFonts w:ascii="Times New Roman" w:hAnsi="Times New Roman" w:cs="Times New Roman"/>
          <w:sz w:val="24"/>
          <w:szCs w:val="24"/>
        </w:rPr>
        <w:t>.</w:t>
      </w:r>
    </w:p>
    <w:p w14:paraId="4F3A622D"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DD546B8"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8.b</w:t>
      </w:r>
    </w:p>
    <w:p w14:paraId="4A06C9A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 xml:space="preserve">By </w:t>
      </w:r>
      <w:r w:rsidRPr="008A321F">
        <w:rPr>
          <w:rFonts w:ascii="Times New Roman" w:hAnsi="Times New Roman" w:cs="Times New Roman"/>
          <w:sz w:val="24"/>
          <w:szCs w:val="24"/>
        </w:rPr>
        <w:t>2020</w:t>
      </w:r>
      <w:r w:rsidRPr="00DA2024">
        <w:rPr>
          <w:rFonts w:ascii="Times New Roman" w:hAnsi="Times New Roman" w:cs="Times New Roman"/>
          <w:sz w:val="24"/>
          <w:szCs w:val="24"/>
        </w:rPr>
        <w:t>, develop and operationalize a global strategy for youth employment and implement the Global Jobs Pact of the International Labour Organization</w:t>
      </w:r>
      <w:r w:rsidR="00235105">
        <w:rPr>
          <w:rFonts w:ascii="Times New Roman" w:hAnsi="Times New Roman" w:cs="Times New Roman"/>
          <w:sz w:val="24"/>
          <w:szCs w:val="24"/>
        </w:rPr>
        <w:t>.</w:t>
      </w:r>
    </w:p>
    <w:p w14:paraId="0173BA9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FCA8E18" w14:textId="77777777" w:rsidR="0071415F" w:rsidRPr="00772E8A" w:rsidRDefault="0071415F" w:rsidP="00FB1314">
      <w:pPr>
        <w:pStyle w:val="ListParagraph"/>
        <w:numPr>
          <w:ilvl w:val="0"/>
          <w:numId w:val="22"/>
        </w:numPr>
        <w:autoSpaceDE w:val="0"/>
        <w:autoSpaceDN w:val="0"/>
        <w:adjustRightInd w:val="0"/>
        <w:spacing w:after="0" w:line="240" w:lineRule="auto"/>
        <w:jc w:val="both"/>
        <w:rPr>
          <w:rFonts w:ascii="Times New Roman" w:hAnsi="Times New Roman" w:cs="Times New Roman"/>
          <w:b/>
          <w:bCs/>
          <w:sz w:val="24"/>
          <w:szCs w:val="24"/>
        </w:rPr>
      </w:pPr>
      <w:r w:rsidRPr="00772E8A">
        <w:rPr>
          <w:rFonts w:ascii="Times New Roman" w:hAnsi="Times New Roman" w:cs="Times New Roman"/>
          <w:b/>
          <w:bCs/>
          <w:sz w:val="24"/>
          <w:szCs w:val="24"/>
        </w:rPr>
        <w:t>Reported Indicators by PCBS</w:t>
      </w:r>
    </w:p>
    <w:p w14:paraId="28BA1AFE"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There are 11 indicators released by PCBS for Goal 8, represent</w:t>
      </w:r>
      <w:r w:rsidR="00235105">
        <w:rPr>
          <w:rFonts w:ascii="Times New Roman" w:hAnsi="Times New Roman" w:cs="Times New Roman"/>
          <w:sz w:val="24"/>
          <w:szCs w:val="24"/>
        </w:rPr>
        <w:t>ing</w:t>
      </w:r>
      <w:r w:rsidRPr="00DA2024">
        <w:rPr>
          <w:rFonts w:ascii="Times New Roman" w:hAnsi="Times New Roman" w:cs="Times New Roman"/>
          <w:sz w:val="24"/>
          <w:szCs w:val="24"/>
        </w:rPr>
        <w:t xml:space="preserve"> 16 data point</w:t>
      </w:r>
      <w:r w:rsidR="00235105">
        <w:rPr>
          <w:rFonts w:ascii="Times New Roman" w:hAnsi="Times New Roman" w:cs="Times New Roman"/>
          <w:sz w:val="24"/>
          <w:szCs w:val="24"/>
        </w:rPr>
        <w:t>s</w:t>
      </w:r>
      <w:r w:rsidRPr="00DA2024">
        <w:rPr>
          <w:rFonts w:ascii="Times New Roman" w:hAnsi="Times New Roman" w:cs="Times New Roman"/>
          <w:sz w:val="24"/>
          <w:szCs w:val="24"/>
        </w:rPr>
        <w:t xml:space="preserve">, referring to </w:t>
      </w:r>
      <w:r w:rsidR="00235105">
        <w:rPr>
          <w:rFonts w:ascii="Times New Roman" w:hAnsi="Times New Roman" w:cs="Times New Roman"/>
          <w:sz w:val="24"/>
          <w:szCs w:val="24"/>
        </w:rPr>
        <w:t>nine</w:t>
      </w:r>
      <w:r w:rsidRPr="00DA2024">
        <w:rPr>
          <w:rFonts w:ascii="Times New Roman" w:hAnsi="Times New Roman" w:cs="Times New Roman"/>
          <w:sz w:val="24"/>
          <w:szCs w:val="24"/>
        </w:rPr>
        <w:t xml:space="preserve"> of the 12 targets</w:t>
      </w:r>
      <w:r w:rsidR="0002157E">
        <w:rPr>
          <w:rFonts w:ascii="Times New Roman" w:hAnsi="Times New Roman" w:cs="Times New Roman"/>
          <w:sz w:val="24"/>
          <w:szCs w:val="24"/>
        </w:rPr>
        <w:t>; t</w:t>
      </w:r>
      <w:r w:rsidRPr="001D5BA6">
        <w:rPr>
          <w:rFonts w:ascii="Times New Roman" w:hAnsi="Times New Roman" w:cs="Times New Roman"/>
          <w:sz w:val="24"/>
          <w:szCs w:val="24"/>
        </w:rPr>
        <w:t xml:space="preserve">herefore, </w:t>
      </w:r>
      <w:r>
        <w:rPr>
          <w:rFonts w:ascii="Times New Roman" w:hAnsi="Times New Roman" w:cs="Times New Roman"/>
          <w:sz w:val="24"/>
          <w:szCs w:val="24"/>
        </w:rPr>
        <w:t xml:space="preserve">75.0%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C66B88" w:rsidRPr="005400EE">
        <w:rPr>
          <w:rFonts w:ascii="Times New Roman" w:hAnsi="Times New Roman" w:cs="Times New Roman"/>
          <w:sz w:val="24"/>
          <w:szCs w:val="24"/>
        </w:rPr>
        <w:t>nine</w:t>
      </w:r>
      <w:r w:rsidR="00C66B88">
        <w:rPr>
          <w:rFonts w:ascii="Times New Roman" w:hAnsi="Times New Roman" w:cs="Times New Roman"/>
          <w:sz w:val="24"/>
          <w:szCs w:val="24"/>
        </w:rPr>
        <w:t xml:space="preserve"> out</w:t>
      </w:r>
      <w:r>
        <w:rPr>
          <w:rFonts w:ascii="Times New Roman" w:hAnsi="Times New Roman" w:cs="Times New Roman"/>
          <w:sz w:val="24"/>
          <w:szCs w:val="24"/>
        </w:rPr>
        <w:t xml:space="preserve"> of </w:t>
      </w:r>
      <w:r w:rsidR="0002157E">
        <w:rPr>
          <w:rFonts w:ascii="Times New Roman" w:hAnsi="Times New Roman" w:cs="Times New Roman"/>
          <w:sz w:val="24"/>
          <w:szCs w:val="24"/>
        </w:rPr>
        <w:t>12</w:t>
      </w:r>
      <w:r>
        <w:rPr>
          <w:rFonts w:ascii="Times New Roman" w:hAnsi="Times New Roman" w:cs="Times New Roman"/>
          <w:sz w:val="24"/>
          <w:szCs w:val="24"/>
        </w:rPr>
        <w:t>)</w:t>
      </w:r>
      <w:r w:rsidR="00235105">
        <w:rPr>
          <w:rFonts w:ascii="Times New Roman" w:hAnsi="Times New Roman" w:cs="Times New Roman"/>
          <w:sz w:val="24"/>
          <w:szCs w:val="24"/>
        </w:rPr>
        <w:t xml:space="preserve">have </w:t>
      </w:r>
      <w:r w:rsidRPr="001D5BA6">
        <w:rPr>
          <w:rFonts w:ascii="Times New Roman" w:hAnsi="Times New Roman" w:cs="Times New Roman"/>
          <w:sz w:val="24"/>
          <w:szCs w:val="24"/>
        </w:rPr>
        <w:t xml:space="preserve">either </w:t>
      </w:r>
      <w:r w:rsidR="00235105">
        <w:rPr>
          <w:rFonts w:ascii="Times New Roman" w:hAnsi="Times New Roman" w:cs="Times New Roman"/>
          <w:sz w:val="24"/>
          <w:szCs w:val="24"/>
        </w:rPr>
        <w:t xml:space="preserve">been </w:t>
      </w:r>
      <w:r w:rsidRPr="001D5BA6">
        <w:rPr>
          <w:rFonts w:ascii="Times New Roman" w:hAnsi="Times New Roman" w:cs="Times New Roman"/>
          <w:sz w:val="24"/>
          <w:szCs w:val="24"/>
        </w:rPr>
        <w:t>fully or partially</w:t>
      </w:r>
      <w:r w:rsidR="00235105">
        <w:rPr>
          <w:rFonts w:ascii="Times New Roman" w:hAnsi="Times New Roman" w:cs="Times New Roman"/>
          <w:sz w:val="24"/>
          <w:szCs w:val="24"/>
        </w:rPr>
        <w:t xml:space="preserve"> covered</w:t>
      </w:r>
      <w:r w:rsidRPr="001D5BA6">
        <w:rPr>
          <w:rFonts w:ascii="Times New Roman" w:hAnsi="Times New Roman" w:cs="Times New Roman"/>
          <w:sz w:val="24"/>
          <w:szCs w:val="24"/>
        </w:rPr>
        <w:t>.</w:t>
      </w:r>
    </w:p>
    <w:p w14:paraId="06AA5346" w14:textId="77777777" w:rsidR="0071415F" w:rsidRPr="00DA2024" w:rsidRDefault="0071415F" w:rsidP="0071415F">
      <w:pPr>
        <w:bidi w:val="0"/>
        <w:spacing w:after="0" w:line="240" w:lineRule="auto"/>
        <w:jc w:val="center"/>
        <w:rPr>
          <w:rFonts w:ascii="Arial" w:hAnsi="Arial"/>
          <w:b/>
          <w:bCs/>
          <w:lang w:eastAsia="ar-SA"/>
        </w:rPr>
      </w:pPr>
    </w:p>
    <w:p w14:paraId="4F496578" w14:textId="77777777" w:rsidR="0071415F" w:rsidRPr="00DA2024" w:rsidRDefault="0071415F" w:rsidP="0071415F">
      <w:pPr>
        <w:bidi w:val="0"/>
        <w:spacing w:after="0" w:line="240" w:lineRule="auto"/>
        <w:jc w:val="center"/>
        <w:rPr>
          <w:rFonts w:ascii="Arial" w:hAnsi="Arial"/>
          <w:b/>
          <w:bCs/>
          <w:lang w:eastAsia="ar-SA"/>
        </w:rPr>
      </w:pPr>
      <w:r w:rsidRPr="00DA2024">
        <w:rPr>
          <w:rFonts w:ascii="Arial" w:hAnsi="Arial"/>
          <w:b/>
          <w:bCs/>
          <w:lang w:eastAsia="ar-SA"/>
        </w:rPr>
        <w:t xml:space="preserve">Table 8.1: List of </w:t>
      </w:r>
      <w:r>
        <w:rPr>
          <w:rFonts w:ascii="Arial" w:hAnsi="Arial"/>
          <w:b/>
          <w:bCs/>
          <w:lang w:eastAsia="ar-SA"/>
        </w:rPr>
        <w:t>SDG Indicators Released by PCBS</w:t>
      </w:r>
    </w:p>
    <w:tbl>
      <w:tblPr>
        <w:tblW w:w="9990" w:type="dxa"/>
        <w:tblInd w:w="-95" w:type="dxa"/>
        <w:tblLook w:val="04A0" w:firstRow="1" w:lastRow="0" w:firstColumn="1" w:lastColumn="0" w:noHBand="0" w:noVBand="1"/>
      </w:tblPr>
      <w:tblGrid>
        <w:gridCol w:w="4626"/>
        <w:gridCol w:w="1157"/>
        <w:gridCol w:w="1350"/>
        <w:gridCol w:w="1040"/>
        <w:gridCol w:w="1817"/>
      </w:tblGrid>
      <w:tr w:rsidR="00E665C5" w:rsidRPr="00BD3E97" w14:paraId="129CF9DD" w14:textId="77777777" w:rsidTr="007B26D1">
        <w:trPr>
          <w:trHeight w:val="504"/>
          <w:tblHeader/>
        </w:trPr>
        <w:tc>
          <w:tcPr>
            <w:tcW w:w="46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6798B" w14:textId="77777777" w:rsidR="0071415F" w:rsidRPr="00BD3E97" w:rsidRDefault="0071415F" w:rsidP="0071415F">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Indicator</w:t>
            </w:r>
          </w:p>
        </w:tc>
        <w:tc>
          <w:tcPr>
            <w:tcW w:w="1157" w:type="dxa"/>
            <w:tcBorders>
              <w:top w:val="single" w:sz="4" w:space="0" w:color="auto"/>
              <w:left w:val="nil"/>
              <w:bottom w:val="single" w:sz="4" w:space="0" w:color="auto"/>
              <w:right w:val="single" w:sz="4" w:space="0" w:color="auto"/>
            </w:tcBorders>
            <w:shd w:val="clear" w:color="auto" w:fill="auto"/>
            <w:noWrap/>
            <w:vAlign w:val="center"/>
            <w:hideMark/>
          </w:tcPr>
          <w:p w14:paraId="5231B83D" w14:textId="77777777" w:rsidR="0071415F" w:rsidRPr="00BD3E97" w:rsidRDefault="0071415F" w:rsidP="00D556CC">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Referring to the SDG indicator</w:t>
            </w:r>
          </w:p>
        </w:tc>
        <w:tc>
          <w:tcPr>
            <w:tcW w:w="1350" w:type="dxa"/>
            <w:tcBorders>
              <w:top w:val="single" w:sz="4" w:space="0" w:color="auto"/>
              <w:left w:val="nil"/>
              <w:bottom w:val="single" w:sz="4" w:space="0" w:color="auto"/>
              <w:right w:val="single" w:sz="4" w:space="0" w:color="auto"/>
            </w:tcBorders>
            <w:vAlign w:val="center"/>
          </w:tcPr>
          <w:p w14:paraId="5875E7D5" w14:textId="77777777" w:rsidR="0071415F" w:rsidRPr="00BD3E97" w:rsidRDefault="0071415F" w:rsidP="00D556CC">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Previous data point</w:t>
            </w:r>
          </w:p>
        </w:tc>
        <w:tc>
          <w:tcPr>
            <w:tcW w:w="1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BB0E5" w14:textId="77777777" w:rsidR="0071415F" w:rsidRPr="00BD3E97" w:rsidRDefault="0071415F" w:rsidP="00D556CC">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Last available value</w:t>
            </w:r>
          </w:p>
        </w:tc>
        <w:tc>
          <w:tcPr>
            <w:tcW w:w="1817" w:type="dxa"/>
            <w:tcBorders>
              <w:top w:val="single" w:sz="4" w:space="0" w:color="auto"/>
              <w:left w:val="single" w:sz="4" w:space="0" w:color="auto"/>
              <w:bottom w:val="single" w:sz="4" w:space="0" w:color="auto"/>
              <w:right w:val="single" w:sz="4" w:space="0" w:color="auto"/>
            </w:tcBorders>
            <w:vAlign w:val="center"/>
          </w:tcPr>
          <w:p w14:paraId="78CE04D9" w14:textId="77777777" w:rsidR="0071415F" w:rsidRPr="00BD3E97" w:rsidRDefault="0071415F" w:rsidP="00D556CC">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Compared to the previous data point</w:t>
            </w:r>
          </w:p>
        </w:tc>
      </w:tr>
      <w:tr w:rsidR="00E665C5" w:rsidRPr="00BD3E97" w14:paraId="6FDC71A2" w14:textId="77777777" w:rsidTr="007B26D1">
        <w:trPr>
          <w:trHeight w:val="389"/>
        </w:trPr>
        <w:tc>
          <w:tcPr>
            <w:tcW w:w="4626" w:type="dxa"/>
            <w:tcBorders>
              <w:top w:val="nil"/>
              <w:left w:val="single" w:sz="4" w:space="0" w:color="auto"/>
              <w:right w:val="single" w:sz="4" w:space="0" w:color="auto"/>
            </w:tcBorders>
            <w:shd w:val="clear" w:color="auto" w:fill="auto"/>
            <w:vAlign w:val="center"/>
            <w:hideMark/>
          </w:tcPr>
          <w:p w14:paraId="2B2A3EAC" w14:textId="77777777" w:rsidR="0071415F" w:rsidRPr="00BD3E97" w:rsidRDefault="0071415F" w:rsidP="0071415F">
            <w:pPr>
              <w:tabs>
                <w:tab w:val="left" w:pos="9072"/>
              </w:tabs>
              <w:bidi w:val="0"/>
              <w:spacing w:after="0" w:line="240" w:lineRule="auto"/>
              <w:rPr>
                <w:rFonts w:asciiTheme="minorBidi" w:hAnsiTheme="minorBidi" w:cstheme="minorBidi"/>
                <w:sz w:val="18"/>
                <w:szCs w:val="18"/>
              </w:rPr>
            </w:pPr>
            <w:r w:rsidRPr="00BD3E97">
              <w:rPr>
                <w:rFonts w:asciiTheme="minorBidi" w:hAnsiTheme="minorBidi" w:cstheme="minorBidi"/>
                <w:b/>
                <w:sz w:val="18"/>
                <w:szCs w:val="18"/>
              </w:rPr>
              <w:t>Indicator</w:t>
            </w:r>
            <w:r w:rsidRPr="00BD3E97">
              <w:rPr>
                <w:rFonts w:asciiTheme="minorBidi" w:hAnsiTheme="minorBidi" w:cstheme="minorBidi"/>
                <w:b/>
                <w:bCs/>
                <w:sz w:val="18"/>
                <w:szCs w:val="18"/>
              </w:rPr>
              <w:t xml:space="preserve"> 8.1.1</w:t>
            </w:r>
            <w:r w:rsidRPr="00BD3E97">
              <w:rPr>
                <w:rFonts w:asciiTheme="minorBidi" w:hAnsiTheme="minorBidi" w:cstheme="minorBidi"/>
                <w:sz w:val="18"/>
                <w:szCs w:val="18"/>
              </w:rPr>
              <w:t xml:space="preserve"> Annual growth rate of real GDP per capita</w:t>
            </w:r>
          </w:p>
        </w:tc>
        <w:tc>
          <w:tcPr>
            <w:tcW w:w="1157" w:type="dxa"/>
            <w:tcBorders>
              <w:top w:val="nil"/>
              <w:left w:val="nil"/>
              <w:right w:val="single" w:sz="4" w:space="0" w:color="auto"/>
            </w:tcBorders>
            <w:shd w:val="clear" w:color="auto" w:fill="auto"/>
            <w:noWrap/>
            <w:hideMark/>
          </w:tcPr>
          <w:p w14:paraId="0EB3067B"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350" w:type="dxa"/>
            <w:tcBorders>
              <w:top w:val="nil"/>
              <w:left w:val="nil"/>
              <w:right w:val="single" w:sz="4" w:space="0" w:color="auto"/>
            </w:tcBorders>
          </w:tcPr>
          <w:p w14:paraId="050C66CB"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040" w:type="dxa"/>
            <w:tcBorders>
              <w:top w:val="nil"/>
              <w:left w:val="single" w:sz="4" w:space="0" w:color="auto"/>
              <w:right w:val="single" w:sz="4" w:space="0" w:color="auto"/>
            </w:tcBorders>
            <w:shd w:val="clear" w:color="auto" w:fill="auto"/>
            <w:noWrap/>
            <w:hideMark/>
          </w:tcPr>
          <w:p w14:paraId="47D01F83"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817" w:type="dxa"/>
            <w:tcBorders>
              <w:top w:val="nil"/>
              <w:left w:val="single" w:sz="4" w:space="0" w:color="auto"/>
              <w:right w:val="single" w:sz="4" w:space="0" w:color="auto"/>
            </w:tcBorders>
          </w:tcPr>
          <w:p w14:paraId="1655AD0C"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7D752FD6" w14:textId="77777777" w:rsidTr="007B26D1">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7700509B"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Annual growth rate of real GDP per capita (PCBS, 2021, </w:t>
            </w:r>
            <w:r w:rsidR="00235105">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57" w:type="dxa"/>
            <w:tcBorders>
              <w:top w:val="nil"/>
              <w:left w:val="nil"/>
              <w:bottom w:val="single" w:sz="4" w:space="0" w:color="auto"/>
              <w:right w:val="single" w:sz="4" w:space="0" w:color="auto"/>
            </w:tcBorders>
            <w:shd w:val="clear" w:color="auto" w:fill="auto"/>
            <w:noWrap/>
            <w:hideMark/>
          </w:tcPr>
          <w:p w14:paraId="622134C8"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1350" w:type="dxa"/>
            <w:tcBorders>
              <w:top w:val="nil"/>
              <w:left w:val="nil"/>
              <w:bottom w:val="single" w:sz="4" w:space="0" w:color="auto"/>
              <w:right w:val="single" w:sz="4" w:space="0" w:color="auto"/>
            </w:tcBorders>
          </w:tcPr>
          <w:p w14:paraId="2EF2BAD8"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-11.3 (2020)</w:t>
            </w:r>
          </w:p>
        </w:tc>
        <w:tc>
          <w:tcPr>
            <w:tcW w:w="1040" w:type="dxa"/>
            <w:tcBorders>
              <w:top w:val="nil"/>
              <w:left w:val="single" w:sz="4" w:space="0" w:color="auto"/>
              <w:bottom w:val="single" w:sz="4" w:space="0" w:color="auto"/>
              <w:right w:val="single" w:sz="4" w:space="0" w:color="auto"/>
            </w:tcBorders>
            <w:shd w:val="clear" w:color="auto" w:fill="auto"/>
            <w:noWrap/>
            <w:hideMark/>
          </w:tcPr>
          <w:p w14:paraId="30F6B04F"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7.1</w:t>
            </w:r>
          </w:p>
        </w:tc>
        <w:tc>
          <w:tcPr>
            <w:tcW w:w="1817" w:type="dxa"/>
            <w:tcBorders>
              <w:top w:val="nil"/>
              <w:left w:val="single" w:sz="4" w:space="0" w:color="auto"/>
              <w:bottom w:val="single" w:sz="4" w:space="0" w:color="auto"/>
              <w:right w:val="single" w:sz="4" w:space="0" w:color="auto"/>
            </w:tcBorders>
          </w:tcPr>
          <w:p w14:paraId="02D69740" w14:textId="77777777" w:rsidR="0071415F" w:rsidRPr="00BD3E97" w:rsidRDefault="00235105" w:rsidP="0071415F">
            <w:pPr>
              <w:bidi w:val="0"/>
              <w:spacing w:after="0" w:line="240" w:lineRule="auto"/>
              <w:jc w:val="center"/>
              <w:rPr>
                <w:rFonts w:asciiTheme="minorBidi" w:hAnsiTheme="minorBidi" w:cstheme="minorBidi"/>
                <w:color w:val="FF0000"/>
                <w:sz w:val="18"/>
                <w:szCs w:val="18"/>
              </w:rPr>
            </w:pPr>
            <w:r>
              <w:rPr>
                <w:rFonts w:asciiTheme="minorBidi" w:hAnsiTheme="minorBidi" w:cstheme="minorBidi"/>
                <w:sz w:val="18"/>
                <w:szCs w:val="18"/>
              </w:rPr>
              <w:t>I</w:t>
            </w:r>
            <w:r w:rsidR="0071415F" w:rsidRPr="00BD3E97">
              <w:rPr>
                <w:rFonts w:asciiTheme="minorBidi" w:hAnsiTheme="minorBidi" w:cstheme="minorBidi"/>
                <w:sz w:val="18"/>
                <w:szCs w:val="18"/>
              </w:rPr>
              <w:t>ncrease</w:t>
            </w:r>
          </w:p>
        </w:tc>
      </w:tr>
      <w:tr w:rsidR="00E665C5" w:rsidRPr="00BD3E97" w14:paraId="5A17188F" w14:textId="77777777" w:rsidTr="007B26D1">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13B930CA" w14:textId="77777777" w:rsidR="0071415F" w:rsidRPr="00BD3E97" w:rsidRDefault="0071415F" w:rsidP="0071415F">
            <w:pPr>
              <w:tabs>
                <w:tab w:val="left" w:pos="9072"/>
              </w:tabs>
              <w:bidi w:val="0"/>
              <w:spacing w:after="0" w:line="240" w:lineRule="auto"/>
              <w:rPr>
                <w:rFonts w:asciiTheme="minorBidi" w:hAnsiTheme="minorBidi" w:cstheme="minorBidi"/>
                <w:sz w:val="18"/>
                <w:szCs w:val="18"/>
              </w:rPr>
            </w:pPr>
            <w:r w:rsidRPr="00BD3E97">
              <w:rPr>
                <w:rFonts w:asciiTheme="minorBidi" w:hAnsiTheme="minorBidi" w:cstheme="minorBidi"/>
                <w:b/>
                <w:sz w:val="18"/>
                <w:szCs w:val="18"/>
              </w:rPr>
              <w:t>Indicator</w:t>
            </w:r>
            <w:r w:rsidRPr="00BD3E97">
              <w:rPr>
                <w:rFonts w:asciiTheme="minorBidi" w:hAnsiTheme="minorBidi" w:cstheme="minorBidi"/>
                <w:b/>
                <w:bCs/>
                <w:sz w:val="18"/>
                <w:szCs w:val="18"/>
              </w:rPr>
              <w:t xml:space="preserve"> 8.2.1</w:t>
            </w:r>
            <w:r w:rsidRPr="00BD3E97">
              <w:rPr>
                <w:rFonts w:asciiTheme="minorBidi" w:hAnsiTheme="minorBidi" w:cstheme="minorBidi"/>
                <w:sz w:val="18"/>
                <w:szCs w:val="18"/>
              </w:rPr>
              <w:t xml:space="preserve"> Annual growth rate of real GDP per employed person</w:t>
            </w:r>
          </w:p>
        </w:tc>
        <w:tc>
          <w:tcPr>
            <w:tcW w:w="1157" w:type="dxa"/>
            <w:tcBorders>
              <w:top w:val="single" w:sz="4" w:space="0" w:color="auto"/>
              <w:left w:val="nil"/>
              <w:right w:val="single" w:sz="4" w:space="0" w:color="auto"/>
            </w:tcBorders>
            <w:shd w:val="clear" w:color="auto" w:fill="auto"/>
            <w:noWrap/>
            <w:hideMark/>
          </w:tcPr>
          <w:p w14:paraId="42916C28"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350" w:type="dxa"/>
            <w:tcBorders>
              <w:top w:val="single" w:sz="4" w:space="0" w:color="auto"/>
              <w:left w:val="nil"/>
              <w:right w:val="single" w:sz="4" w:space="0" w:color="auto"/>
            </w:tcBorders>
          </w:tcPr>
          <w:p w14:paraId="5FEF0BE7"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040" w:type="dxa"/>
            <w:tcBorders>
              <w:top w:val="single" w:sz="4" w:space="0" w:color="auto"/>
              <w:left w:val="single" w:sz="4" w:space="0" w:color="auto"/>
              <w:right w:val="single" w:sz="4" w:space="0" w:color="auto"/>
            </w:tcBorders>
            <w:shd w:val="clear" w:color="auto" w:fill="auto"/>
            <w:noWrap/>
            <w:hideMark/>
          </w:tcPr>
          <w:p w14:paraId="70A880CB"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817" w:type="dxa"/>
            <w:tcBorders>
              <w:top w:val="single" w:sz="4" w:space="0" w:color="auto"/>
              <w:left w:val="single" w:sz="4" w:space="0" w:color="auto"/>
              <w:right w:val="single" w:sz="4" w:space="0" w:color="auto"/>
            </w:tcBorders>
          </w:tcPr>
          <w:p w14:paraId="0B61F0D3"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4760728B"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59C6891B" w14:textId="77777777" w:rsidTr="007B26D1">
        <w:trPr>
          <w:trHeight w:val="389"/>
        </w:trPr>
        <w:tc>
          <w:tcPr>
            <w:tcW w:w="4626" w:type="dxa"/>
            <w:tcBorders>
              <w:top w:val="nil"/>
              <w:left w:val="single" w:sz="4" w:space="0" w:color="auto"/>
              <w:bottom w:val="nil"/>
              <w:right w:val="single" w:sz="4" w:space="0" w:color="auto"/>
            </w:tcBorders>
            <w:shd w:val="clear" w:color="auto" w:fill="auto"/>
            <w:noWrap/>
            <w:vAlign w:val="center"/>
            <w:hideMark/>
          </w:tcPr>
          <w:p w14:paraId="43160C87"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sz w:val="18"/>
                <w:szCs w:val="18"/>
              </w:rPr>
            </w:pPr>
            <w:r w:rsidRPr="00BD3E97">
              <w:rPr>
                <w:rFonts w:asciiTheme="minorBidi" w:hAnsiTheme="minorBidi" w:cstheme="minorBidi"/>
                <w:sz w:val="18"/>
                <w:szCs w:val="18"/>
              </w:rPr>
              <w:t xml:space="preserve">Annual growth rate of real GDP per employed person (PCBS, 2019, </w:t>
            </w:r>
            <w:r w:rsidR="00235105">
              <w:rPr>
                <w:rFonts w:asciiTheme="minorBidi" w:hAnsiTheme="minorBidi" w:cstheme="minorBidi"/>
                <w:sz w:val="18"/>
                <w:szCs w:val="18"/>
              </w:rPr>
              <w:t>p</w:t>
            </w:r>
            <w:r w:rsidRPr="00BD3E97">
              <w:rPr>
                <w:rFonts w:asciiTheme="minorBidi" w:hAnsiTheme="minorBidi" w:cstheme="minorBidi"/>
                <w:sz w:val="18"/>
                <w:szCs w:val="18"/>
              </w:rPr>
              <w:t>ercentage)</w:t>
            </w:r>
          </w:p>
        </w:tc>
        <w:tc>
          <w:tcPr>
            <w:tcW w:w="1157" w:type="dxa"/>
            <w:tcBorders>
              <w:top w:val="nil"/>
              <w:left w:val="nil"/>
              <w:bottom w:val="nil"/>
              <w:right w:val="single" w:sz="4" w:space="0" w:color="auto"/>
            </w:tcBorders>
            <w:shd w:val="clear" w:color="auto" w:fill="auto"/>
            <w:noWrap/>
            <w:hideMark/>
          </w:tcPr>
          <w:p w14:paraId="3FEB6412"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tc>
        <w:tc>
          <w:tcPr>
            <w:tcW w:w="1350" w:type="dxa"/>
            <w:tcBorders>
              <w:top w:val="nil"/>
              <w:left w:val="nil"/>
              <w:bottom w:val="nil"/>
              <w:right w:val="single" w:sz="4" w:space="0" w:color="auto"/>
            </w:tcBorders>
          </w:tcPr>
          <w:p w14:paraId="446AD5E3"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tl/>
              </w:rPr>
              <w:t>3.5</w:t>
            </w:r>
            <w:r w:rsidRPr="00BD3E97">
              <w:rPr>
                <w:rFonts w:asciiTheme="minorBidi" w:hAnsiTheme="minorBidi" w:cstheme="minorBidi"/>
                <w:sz w:val="18"/>
                <w:szCs w:val="18"/>
              </w:rPr>
              <w:t xml:space="preserve"> (2018)</w:t>
            </w:r>
          </w:p>
        </w:tc>
        <w:tc>
          <w:tcPr>
            <w:tcW w:w="1040" w:type="dxa"/>
            <w:tcBorders>
              <w:top w:val="nil"/>
              <w:left w:val="single" w:sz="4" w:space="0" w:color="auto"/>
              <w:bottom w:val="nil"/>
              <w:right w:val="single" w:sz="4" w:space="0" w:color="auto"/>
            </w:tcBorders>
            <w:shd w:val="clear" w:color="auto" w:fill="auto"/>
            <w:noWrap/>
            <w:hideMark/>
          </w:tcPr>
          <w:p w14:paraId="519C4D04"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-1.5</w:t>
            </w:r>
          </w:p>
        </w:tc>
        <w:tc>
          <w:tcPr>
            <w:tcW w:w="1817" w:type="dxa"/>
            <w:tcBorders>
              <w:top w:val="nil"/>
              <w:left w:val="single" w:sz="4" w:space="0" w:color="auto"/>
              <w:bottom w:val="nil"/>
              <w:right w:val="single" w:sz="4" w:space="0" w:color="auto"/>
            </w:tcBorders>
          </w:tcPr>
          <w:p w14:paraId="74436D57" w14:textId="77777777" w:rsidR="0071415F" w:rsidRPr="00BD3E97" w:rsidRDefault="00235105" w:rsidP="0071415F">
            <w:pPr>
              <w:bidi w:val="0"/>
              <w:spacing w:after="0" w:line="240" w:lineRule="auto"/>
              <w:jc w:val="center"/>
              <w:rPr>
                <w:rFonts w:asciiTheme="minorBidi" w:hAnsiTheme="minorBidi" w:cstheme="minorBidi"/>
                <w:color w:val="FF0000"/>
                <w:sz w:val="18"/>
                <w:szCs w:val="18"/>
              </w:rPr>
            </w:pPr>
            <w:r>
              <w:rPr>
                <w:rFonts w:asciiTheme="minorBidi" w:hAnsiTheme="minorBidi" w:cstheme="minorBidi"/>
                <w:sz w:val="18"/>
                <w:szCs w:val="18"/>
              </w:rPr>
              <w:t>D</w:t>
            </w:r>
            <w:r w:rsidR="0071415F" w:rsidRPr="00BD3E97">
              <w:rPr>
                <w:rFonts w:asciiTheme="minorBidi" w:hAnsiTheme="minorBidi" w:cstheme="minorBidi"/>
                <w:sz w:val="18"/>
                <w:szCs w:val="18"/>
              </w:rPr>
              <w:t>ecrease</w:t>
            </w:r>
          </w:p>
        </w:tc>
      </w:tr>
      <w:tr w:rsidR="00E665C5" w:rsidRPr="00BD3E97" w14:paraId="753EA97B" w14:textId="77777777" w:rsidTr="007B26D1">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3086BD3B" w14:textId="77777777" w:rsidR="0071415F" w:rsidRPr="00BD3E97" w:rsidRDefault="0071415F" w:rsidP="0071415F">
            <w:pPr>
              <w:tabs>
                <w:tab w:val="left" w:pos="9072"/>
              </w:tabs>
              <w:bidi w:val="0"/>
              <w:spacing w:after="0" w:line="240" w:lineRule="auto"/>
              <w:rPr>
                <w:rFonts w:asciiTheme="minorBidi" w:hAnsiTheme="minorBidi" w:cstheme="minorBidi"/>
                <w:sz w:val="18"/>
                <w:szCs w:val="18"/>
              </w:rPr>
            </w:pPr>
            <w:r w:rsidRPr="00BD3E97">
              <w:rPr>
                <w:rFonts w:asciiTheme="minorBidi" w:hAnsiTheme="minorBidi" w:cstheme="minorBidi"/>
                <w:b/>
                <w:sz w:val="18"/>
                <w:szCs w:val="18"/>
              </w:rPr>
              <w:t>Indicator</w:t>
            </w:r>
            <w:r w:rsidRPr="00BD3E97">
              <w:rPr>
                <w:rFonts w:asciiTheme="minorBidi" w:hAnsiTheme="minorBidi" w:cstheme="minorBidi"/>
                <w:b/>
                <w:bCs/>
                <w:sz w:val="18"/>
                <w:szCs w:val="18"/>
              </w:rPr>
              <w:t xml:space="preserve"> 8.3.1</w:t>
            </w:r>
            <w:r w:rsidRPr="00BD3E97">
              <w:rPr>
                <w:rFonts w:asciiTheme="minorBidi" w:hAnsiTheme="minorBidi" w:cstheme="minorBidi"/>
                <w:sz w:val="18"/>
                <w:szCs w:val="18"/>
              </w:rPr>
              <w:t xml:space="preserve"> Proportion of informal employment in non-agriculture employment, by sex</w:t>
            </w:r>
          </w:p>
        </w:tc>
        <w:tc>
          <w:tcPr>
            <w:tcW w:w="1157" w:type="dxa"/>
            <w:tcBorders>
              <w:top w:val="single" w:sz="4" w:space="0" w:color="auto"/>
              <w:left w:val="nil"/>
              <w:right w:val="single" w:sz="4" w:space="0" w:color="auto"/>
            </w:tcBorders>
            <w:shd w:val="clear" w:color="auto" w:fill="auto"/>
            <w:noWrap/>
            <w:hideMark/>
          </w:tcPr>
          <w:p w14:paraId="3C1653E7"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350" w:type="dxa"/>
            <w:tcBorders>
              <w:top w:val="single" w:sz="4" w:space="0" w:color="auto"/>
              <w:left w:val="nil"/>
              <w:right w:val="single" w:sz="4" w:space="0" w:color="auto"/>
            </w:tcBorders>
          </w:tcPr>
          <w:p w14:paraId="3F9DAC18" w14:textId="77777777" w:rsidR="0071415F" w:rsidRPr="00BD3E97" w:rsidRDefault="0071415F" w:rsidP="0071415F">
            <w:pPr>
              <w:bidi w:val="0"/>
              <w:spacing w:after="0" w:line="240" w:lineRule="auto"/>
              <w:jc w:val="center"/>
              <w:rPr>
                <w:rFonts w:asciiTheme="minorBidi" w:hAnsiTheme="minorBidi" w:cstheme="minorBidi"/>
                <w:color w:val="FF0000"/>
                <w:sz w:val="18"/>
                <w:szCs w:val="18"/>
                <w:rtl/>
              </w:rPr>
            </w:pPr>
          </w:p>
        </w:tc>
        <w:tc>
          <w:tcPr>
            <w:tcW w:w="1040" w:type="dxa"/>
            <w:tcBorders>
              <w:top w:val="single" w:sz="4" w:space="0" w:color="auto"/>
              <w:left w:val="single" w:sz="4" w:space="0" w:color="auto"/>
              <w:right w:val="single" w:sz="4" w:space="0" w:color="auto"/>
            </w:tcBorders>
            <w:shd w:val="clear" w:color="auto" w:fill="auto"/>
            <w:noWrap/>
            <w:hideMark/>
          </w:tcPr>
          <w:p w14:paraId="1EDFF321" w14:textId="77777777" w:rsidR="0071415F" w:rsidRPr="00BD3E97" w:rsidRDefault="0071415F" w:rsidP="0071415F">
            <w:pPr>
              <w:bidi w:val="0"/>
              <w:spacing w:after="0" w:line="240" w:lineRule="auto"/>
              <w:jc w:val="center"/>
              <w:rPr>
                <w:rFonts w:asciiTheme="minorBidi" w:hAnsiTheme="minorBidi" w:cstheme="minorBidi"/>
                <w:color w:val="FF0000"/>
                <w:sz w:val="18"/>
                <w:szCs w:val="18"/>
              </w:rPr>
            </w:pPr>
          </w:p>
        </w:tc>
        <w:tc>
          <w:tcPr>
            <w:tcW w:w="1817" w:type="dxa"/>
            <w:tcBorders>
              <w:top w:val="single" w:sz="4" w:space="0" w:color="auto"/>
              <w:left w:val="single" w:sz="4" w:space="0" w:color="auto"/>
              <w:right w:val="single" w:sz="4" w:space="0" w:color="auto"/>
            </w:tcBorders>
          </w:tcPr>
          <w:p w14:paraId="107F0DBC"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6D5EE46F" w14:textId="77777777" w:rsidTr="007B26D1">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7FF8B8C2" w14:textId="77777777" w:rsidR="0071415F" w:rsidRPr="00BD3E97" w:rsidRDefault="0071415F" w:rsidP="00453CC3">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sz w:val="18"/>
                <w:szCs w:val="18"/>
              </w:rPr>
              <w:t>8.3.1.1 Proportion of informal employment in total employment (</w:t>
            </w:r>
            <w:r w:rsidRPr="00BD3E97">
              <w:rPr>
                <w:rFonts w:asciiTheme="minorBidi" w:hAnsiTheme="minorBidi" w:cstheme="minorBidi"/>
                <w:color w:val="000000" w:themeColor="text1"/>
                <w:sz w:val="18"/>
                <w:szCs w:val="18"/>
              </w:rPr>
              <w:t xml:space="preserve">PCBS, </w:t>
            </w:r>
            <w:r w:rsidR="00453CC3">
              <w:rPr>
                <w:rFonts w:asciiTheme="minorBidi" w:hAnsiTheme="minorBidi" w:cstheme="minorBidi"/>
                <w:color w:val="000000" w:themeColor="text1"/>
                <w:sz w:val="18"/>
                <w:szCs w:val="18"/>
              </w:rPr>
              <w:t>2022</w:t>
            </w:r>
            <w:r w:rsidRPr="00BD3E97">
              <w:rPr>
                <w:rFonts w:asciiTheme="minorBidi" w:hAnsiTheme="minorBidi" w:cstheme="minorBidi"/>
                <w:color w:val="000000" w:themeColor="text1"/>
                <w:sz w:val="18"/>
                <w:szCs w:val="18"/>
              </w:rPr>
              <w:t xml:space="preserve">, </w:t>
            </w:r>
            <w:r w:rsidR="00235105">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p w14:paraId="03D4EC08" w14:textId="77777777" w:rsidR="0071415F" w:rsidRPr="00BD3E97" w:rsidRDefault="0071415F" w:rsidP="00453CC3">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8.3.1.2 Proportion of informal employment in non-agriculture employment (PCBS, </w:t>
            </w:r>
            <w:r w:rsidR="00453CC3">
              <w:rPr>
                <w:rFonts w:asciiTheme="minorBidi" w:hAnsiTheme="minorBidi" w:cstheme="minorBidi"/>
                <w:color w:val="000000" w:themeColor="text1"/>
                <w:sz w:val="18"/>
                <w:szCs w:val="18"/>
              </w:rPr>
              <w:t>2022</w:t>
            </w:r>
            <w:r w:rsidRPr="00BD3E97">
              <w:rPr>
                <w:rFonts w:asciiTheme="minorBidi" w:hAnsiTheme="minorBidi" w:cstheme="minorBidi"/>
                <w:color w:val="000000" w:themeColor="text1"/>
                <w:sz w:val="18"/>
                <w:szCs w:val="18"/>
              </w:rPr>
              <w:t xml:space="preserve">, </w:t>
            </w:r>
            <w:r w:rsidR="00235105">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p w14:paraId="1A6FA4A2" w14:textId="77777777" w:rsidR="009E4880" w:rsidRDefault="0071415F" w:rsidP="00453CC3">
            <w:pPr>
              <w:tabs>
                <w:tab w:val="left" w:pos="9072"/>
              </w:tabs>
              <w:bidi w:val="0"/>
              <w:spacing w:after="0" w:line="240" w:lineRule="auto"/>
              <w:ind w:left="336"/>
              <w:jc w:val="both"/>
              <w:rPr>
                <w:rFonts w:asciiTheme="minorBidi" w:hAnsiTheme="minorBidi" w:cstheme="minorBidi"/>
                <w:sz w:val="18"/>
                <w:szCs w:val="18"/>
              </w:rPr>
            </w:pPr>
            <w:r w:rsidRPr="00BD3E97">
              <w:rPr>
                <w:rFonts w:asciiTheme="minorBidi" w:hAnsiTheme="minorBidi" w:cstheme="minorBidi"/>
                <w:color w:val="000000" w:themeColor="text1"/>
                <w:sz w:val="18"/>
                <w:szCs w:val="18"/>
              </w:rPr>
              <w:t xml:space="preserve"> 8.3.1.3 Proportion of informal employment in agriculture employment (PCBS, </w:t>
            </w:r>
            <w:r w:rsidR="00453CC3">
              <w:rPr>
                <w:rFonts w:asciiTheme="minorBidi" w:hAnsiTheme="minorBidi" w:cstheme="minorBidi"/>
                <w:color w:val="000000" w:themeColor="text1"/>
                <w:sz w:val="18"/>
                <w:szCs w:val="18"/>
              </w:rPr>
              <w:t>2022</w:t>
            </w:r>
            <w:r w:rsidRPr="00BD3E97">
              <w:rPr>
                <w:rFonts w:asciiTheme="minorBidi" w:hAnsiTheme="minorBidi" w:cstheme="minorBidi"/>
                <w:sz w:val="18"/>
                <w:szCs w:val="18"/>
              </w:rPr>
              <w:t xml:space="preserve">, </w:t>
            </w:r>
            <w:r w:rsidR="00235105">
              <w:rPr>
                <w:rFonts w:asciiTheme="minorBidi" w:hAnsiTheme="minorBidi" w:cstheme="minorBidi"/>
                <w:sz w:val="18"/>
                <w:szCs w:val="18"/>
              </w:rPr>
              <w:t>p</w:t>
            </w:r>
            <w:r w:rsidRPr="00BD3E97">
              <w:rPr>
                <w:rFonts w:asciiTheme="minorBidi" w:hAnsiTheme="minorBidi" w:cstheme="minorBidi"/>
                <w:sz w:val="18"/>
                <w:szCs w:val="18"/>
              </w:rPr>
              <w:t>ercentage)</w:t>
            </w:r>
          </w:p>
          <w:p w14:paraId="480B9765" w14:textId="77777777" w:rsidR="002A1D30" w:rsidRDefault="002A1D30" w:rsidP="002A1D30">
            <w:pPr>
              <w:tabs>
                <w:tab w:val="left" w:pos="9072"/>
              </w:tabs>
              <w:bidi w:val="0"/>
              <w:spacing w:after="0" w:line="240" w:lineRule="auto"/>
              <w:ind w:left="336"/>
              <w:jc w:val="both"/>
              <w:rPr>
                <w:rFonts w:asciiTheme="minorBidi" w:hAnsiTheme="minorBidi" w:cstheme="minorBidi"/>
                <w:sz w:val="18"/>
                <w:szCs w:val="18"/>
              </w:rPr>
            </w:pPr>
          </w:p>
          <w:p w14:paraId="7FBBCE89" w14:textId="77777777" w:rsidR="002A1D30" w:rsidRPr="00BD3E97" w:rsidRDefault="002A1D30" w:rsidP="002A1D30">
            <w:pPr>
              <w:tabs>
                <w:tab w:val="left" w:pos="9072"/>
              </w:tabs>
              <w:bidi w:val="0"/>
              <w:spacing w:after="0" w:line="240" w:lineRule="auto"/>
              <w:ind w:left="336"/>
              <w:jc w:val="both"/>
              <w:rPr>
                <w:rFonts w:asciiTheme="minorBidi" w:hAnsiTheme="minorBidi" w:cstheme="minorBidi"/>
                <w:sz w:val="18"/>
                <w:szCs w:val="18"/>
              </w:rPr>
            </w:pPr>
          </w:p>
        </w:tc>
        <w:tc>
          <w:tcPr>
            <w:tcW w:w="1157" w:type="dxa"/>
            <w:tcBorders>
              <w:top w:val="nil"/>
              <w:left w:val="nil"/>
              <w:bottom w:val="single" w:sz="4" w:space="0" w:color="auto"/>
              <w:right w:val="single" w:sz="4" w:space="0" w:color="auto"/>
            </w:tcBorders>
            <w:shd w:val="clear" w:color="auto" w:fill="auto"/>
            <w:noWrap/>
            <w:hideMark/>
          </w:tcPr>
          <w:p w14:paraId="62EF5D98"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p w14:paraId="13E68BEE"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0E92D8AB"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p w14:paraId="328EDC3B"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2DA3A18C"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tc>
        <w:tc>
          <w:tcPr>
            <w:tcW w:w="1350" w:type="dxa"/>
            <w:tcBorders>
              <w:top w:val="nil"/>
              <w:left w:val="nil"/>
              <w:bottom w:val="single" w:sz="4" w:space="0" w:color="auto"/>
              <w:right w:val="single" w:sz="4" w:space="0" w:color="auto"/>
            </w:tcBorders>
          </w:tcPr>
          <w:p w14:paraId="797930BA" w14:textId="77777777" w:rsidR="007B26D1" w:rsidRPr="00BD3E97" w:rsidRDefault="007B26D1" w:rsidP="007B26D1">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63.9</w:t>
            </w:r>
          </w:p>
          <w:p w14:paraId="394F4A9A" w14:textId="77777777" w:rsidR="0071415F" w:rsidRPr="00BD3E97" w:rsidRDefault="007B26D1" w:rsidP="007B26D1">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 xml:space="preserve"> </w:t>
            </w:r>
            <w:r w:rsidR="0071415F" w:rsidRPr="00BD3E97">
              <w:rPr>
                <w:rFonts w:asciiTheme="minorBidi" w:hAnsiTheme="minorBidi" w:cstheme="minorBidi"/>
                <w:color w:val="000000" w:themeColor="text1"/>
                <w:sz w:val="18"/>
                <w:szCs w:val="18"/>
              </w:rPr>
              <w:t>(</w:t>
            </w:r>
            <w:r>
              <w:rPr>
                <w:rFonts w:asciiTheme="minorBidi" w:hAnsiTheme="minorBidi" w:cstheme="minorBidi"/>
                <w:color w:val="000000" w:themeColor="text1"/>
                <w:sz w:val="18"/>
                <w:szCs w:val="18"/>
              </w:rPr>
              <w:t>2021</w:t>
            </w:r>
            <w:r w:rsidR="0071415F" w:rsidRPr="00BD3E97">
              <w:rPr>
                <w:rFonts w:asciiTheme="minorBidi" w:hAnsiTheme="minorBidi" w:cstheme="minorBidi"/>
                <w:color w:val="000000" w:themeColor="text1"/>
                <w:sz w:val="18"/>
                <w:szCs w:val="18"/>
              </w:rPr>
              <w:t>)</w:t>
            </w:r>
          </w:p>
          <w:p w14:paraId="31EDD9AD" w14:textId="77777777" w:rsidR="007B26D1" w:rsidRPr="00BD3E97" w:rsidRDefault="007B26D1" w:rsidP="007B26D1">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61.7</w:t>
            </w:r>
          </w:p>
          <w:p w14:paraId="0CC492A0" w14:textId="77777777" w:rsidR="0071415F" w:rsidRPr="00BD3E97" w:rsidRDefault="007B26D1" w:rsidP="007B26D1">
            <w:pPr>
              <w:bidi w:val="0"/>
              <w:spacing w:after="0" w:line="240" w:lineRule="auto"/>
              <w:jc w:val="center"/>
              <w:rPr>
                <w:rFonts w:asciiTheme="minorBidi" w:hAnsiTheme="minorBidi" w:cstheme="minorBidi"/>
                <w:color w:val="000000" w:themeColor="text1"/>
                <w:sz w:val="18"/>
                <w:szCs w:val="18"/>
                <w:rtl/>
              </w:rPr>
            </w:pPr>
            <w:r>
              <w:rPr>
                <w:rFonts w:asciiTheme="minorBidi" w:hAnsiTheme="minorBidi" w:cstheme="minorBidi"/>
                <w:color w:val="000000" w:themeColor="text1"/>
                <w:sz w:val="18"/>
                <w:szCs w:val="18"/>
              </w:rPr>
              <w:t xml:space="preserve"> </w:t>
            </w:r>
            <w:r w:rsidR="00B866DB">
              <w:rPr>
                <w:rFonts w:asciiTheme="minorBidi" w:hAnsiTheme="minorBidi" w:cstheme="minorBidi"/>
                <w:color w:val="000000" w:themeColor="text1"/>
                <w:sz w:val="18"/>
                <w:szCs w:val="18"/>
              </w:rPr>
              <w:t>(</w:t>
            </w:r>
            <w:r>
              <w:rPr>
                <w:rFonts w:asciiTheme="minorBidi" w:hAnsiTheme="minorBidi" w:cstheme="minorBidi"/>
                <w:color w:val="000000" w:themeColor="text1"/>
                <w:sz w:val="18"/>
                <w:szCs w:val="18"/>
              </w:rPr>
              <w:t>2021</w:t>
            </w:r>
            <w:r w:rsidR="00B866DB">
              <w:rPr>
                <w:rFonts w:asciiTheme="minorBidi" w:hAnsiTheme="minorBidi" w:cstheme="minorBidi"/>
                <w:color w:val="000000" w:themeColor="text1"/>
                <w:sz w:val="18"/>
                <w:szCs w:val="18"/>
              </w:rPr>
              <w:t>)</w:t>
            </w:r>
          </w:p>
          <w:p w14:paraId="6C39B041" w14:textId="77777777" w:rsidR="0071415F" w:rsidRPr="00BD3E97" w:rsidRDefault="007B26D1" w:rsidP="007B26D1">
            <w:pPr>
              <w:bidi w:val="0"/>
              <w:spacing w:after="0" w:line="240" w:lineRule="auto"/>
              <w:jc w:val="center"/>
              <w:rPr>
                <w:rFonts w:asciiTheme="minorBidi" w:hAnsiTheme="minorBidi" w:cstheme="minorBidi"/>
                <w:color w:val="000000" w:themeColor="text1"/>
                <w:sz w:val="18"/>
                <w:szCs w:val="18"/>
                <w:rtl/>
              </w:rPr>
            </w:pPr>
            <w:r>
              <w:rPr>
                <w:rFonts w:asciiTheme="minorBidi" w:hAnsiTheme="minorBidi" w:cstheme="minorBidi"/>
                <w:color w:val="000000" w:themeColor="text1"/>
                <w:sz w:val="18"/>
                <w:szCs w:val="18"/>
              </w:rPr>
              <w:t>95.0</w:t>
            </w:r>
            <w:r w:rsidR="0071415F" w:rsidRPr="00BD3E97">
              <w:rPr>
                <w:rFonts w:asciiTheme="minorBidi" w:hAnsiTheme="minorBidi" w:cstheme="minorBidi"/>
                <w:color w:val="000000" w:themeColor="text1"/>
                <w:sz w:val="18"/>
                <w:szCs w:val="18"/>
              </w:rPr>
              <w:t>(</w:t>
            </w:r>
            <w:r>
              <w:rPr>
                <w:rFonts w:asciiTheme="minorBidi" w:hAnsiTheme="minorBidi" w:cstheme="minorBidi"/>
                <w:color w:val="000000" w:themeColor="text1"/>
                <w:sz w:val="18"/>
                <w:szCs w:val="18"/>
              </w:rPr>
              <w:t>2021</w:t>
            </w:r>
            <w:r w:rsidR="0071415F" w:rsidRPr="00BD3E97">
              <w:rPr>
                <w:rFonts w:asciiTheme="minorBidi" w:hAnsiTheme="minorBidi" w:cstheme="minorBidi"/>
                <w:color w:val="000000" w:themeColor="text1"/>
                <w:sz w:val="18"/>
                <w:szCs w:val="18"/>
              </w:rPr>
              <w:t>)</w:t>
            </w:r>
          </w:p>
        </w:tc>
        <w:tc>
          <w:tcPr>
            <w:tcW w:w="1040" w:type="dxa"/>
            <w:tcBorders>
              <w:top w:val="nil"/>
              <w:left w:val="single" w:sz="4" w:space="0" w:color="auto"/>
              <w:bottom w:val="single" w:sz="4" w:space="0" w:color="auto"/>
              <w:right w:val="single" w:sz="4" w:space="0" w:color="auto"/>
            </w:tcBorders>
            <w:shd w:val="clear" w:color="auto" w:fill="auto"/>
            <w:noWrap/>
            <w:hideMark/>
          </w:tcPr>
          <w:p w14:paraId="7C2BAD4A" w14:textId="77777777" w:rsidR="0071415F" w:rsidRPr="00BD3E97" w:rsidRDefault="007B26D1" w:rsidP="0071415F">
            <w:pPr>
              <w:bidi w:val="0"/>
              <w:spacing w:after="0" w:line="240" w:lineRule="auto"/>
              <w:jc w:val="center"/>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65.2</w:t>
            </w:r>
          </w:p>
          <w:p w14:paraId="32A3DD81" w14:textId="77777777" w:rsidR="0071415F" w:rsidRPr="00BD3E97" w:rsidRDefault="007B26D1" w:rsidP="0071415F">
            <w:pPr>
              <w:bidi w:val="0"/>
              <w:spacing w:after="0" w:line="240" w:lineRule="auto"/>
              <w:jc w:val="center"/>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63.1</w:t>
            </w:r>
          </w:p>
          <w:p w14:paraId="53756DD0" w14:textId="77777777" w:rsidR="0071415F" w:rsidRPr="00BD3E97" w:rsidRDefault="007B26D1" w:rsidP="0071415F">
            <w:pPr>
              <w:bidi w:val="0"/>
              <w:spacing w:after="0" w:line="240" w:lineRule="auto"/>
              <w:jc w:val="center"/>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96</w:t>
            </w:r>
            <w:r w:rsidR="0071415F" w:rsidRPr="00BD3E97">
              <w:rPr>
                <w:rFonts w:asciiTheme="minorBidi" w:hAnsiTheme="minorBidi" w:cstheme="minorBidi"/>
                <w:color w:val="000000" w:themeColor="text1"/>
                <w:sz w:val="18"/>
                <w:szCs w:val="18"/>
              </w:rPr>
              <w:t>.0</w:t>
            </w:r>
          </w:p>
        </w:tc>
        <w:tc>
          <w:tcPr>
            <w:tcW w:w="1817" w:type="dxa"/>
            <w:tcBorders>
              <w:top w:val="nil"/>
              <w:left w:val="single" w:sz="4" w:space="0" w:color="auto"/>
              <w:bottom w:val="single" w:sz="4" w:space="0" w:color="auto"/>
              <w:right w:val="single" w:sz="4" w:space="0" w:color="auto"/>
            </w:tcBorders>
          </w:tcPr>
          <w:p w14:paraId="5B029722" w14:textId="77777777" w:rsidR="0071415F" w:rsidRPr="00BD3E97" w:rsidRDefault="00235105"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D</w:t>
            </w:r>
            <w:r w:rsidR="00B3083D" w:rsidRPr="00BD3E97">
              <w:rPr>
                <w:rFonts w:asciiTheme="minorBidi" w:hAnsiTheme="minorBidi" w:cstheme="minorBidi"/>
                <w:sz w:val="18"/>
                <w:szCs w:val="18"/>
              </w:rPr>
              <w:t>ecrease</w:t>
            </w:r>
          </w:p>
          <w:p w14:paraId="0D6CD3A3"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22FFD75A" w14:textId="77777777" w:rsidR="0071415F" w:rsidRPr="00BD3E97" w:rsidRDefault="00235105"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D</w:t>
            </w:r>
            <w:r w:rsidR="00B3083D" w:rsidRPr="00BD3E97">
              <w:rPr>
                <w:rFonts w:asciiTheme="minorBidi" w:hAnsiTheme="minorBidi" w:cstheme="minorBidi"/>
                <w:sz w:val="18"/>
                <w:szCs w:val="18"/>
              </w:rPr>
              <w:t>ecrease</w:t>
            </w:r>
          </w:p>
          <w:p w14:paraId="4BF567F1"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20A176FF" w14:textId="77777777" w:rsidR="0071415F" w:rsidRPr="00BD3E97" w:rsidRDefault="007B26D1"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Decrease</w:t>
            </w:r>
          </w:p>
        </w:tc>
      </w:tr>
      <w:tr w:rsidR="00094D7E" w:rsidRPr="00BD3E97" w14:paraId="77FC1404" w14:textId="77777777" w:rsidTr="007B26D1">
        <w:trPr>
          <w:trHeight w:val="1035"/>
        </w:trPr>
        <w:tc>
          <w:tcPr>
            <w:tcW w:w="4626" w:type="dxa"/>
            <w:vMerge w:val="restart"/>
            <w:tcBorders>
              <w:top w:val="single" w:sz="4" w:space="0" w:color="auto"/>
              <w:left w:val="single" w:sz="4" w:space="0" w:color="auto"/>
              <w:right w:val="single" w:sz="4" w:space="0" w:color="auto"/>
            </w:tcBorders>
            <w:shd w:val="clear" w:color="auto" w:fill="auto"/>
            <w:noWrap/>
            <w:vAlign w:val="center"/>
            <w:hideMark/>
          </w:tcPr>
          <w:p w14:paraId="6C6E6152" w14:textId="77777777" w:rsidR="00094D7E" w:rsidRPr="00446CF3" w:rsidRDefault="004A40F1" w:rsidP="0071415F">
            <w:pPr>
              <w:bidi w:val="0"/>
              <w:spacing w:after="0" w:line="240" w:lineRule="auto"/>
              <w:jc w:val="both"/>
              <w:rPr>
                <w:rFonts w:asciiTheme="minorBidi" w:hAnsiTheme="minorBidi" w:cstheme="minorBidi"/>
                <w:sz w:val="18"/>
                <w:szCs w:val="18"/>
              </w:rPr>
            </w:pPr>
            <w:r w:rsidRPr="00446CF3">
              <w:rPr>
                <w:rFonts w:asciiTheme="minorBidi" w:hAnsiTheme="minorBidi" w:cstheme="minorBidi"/>
                <w:b/>
                <w:bCs/>
                <w:sz w:val="18"/>
                <w:szCs w:val="18"/>
              </w:rPr>
              <w:lastRenderedPageBreak/>
              <w:t>Indicator 8.5.1</w:t>
            </w:r>
            <w:r w:rsidRPr="00446CF3">
              <w:rPr>
                <w:rFonts w:asciiTheme="minorBidi" w:hAnsiTheme="minorBidi" w:cstheme="minorBidi"/>
                <w:b/>
                <w:bCs/>
                <w:sz w:val="18"/>
                <w:szCs w:val="18"/>
                <w:rtl/>
              </w:rPr>
              <w:t>*</w:t>
            </w:r>
            <w:r w:rsidRPr="00446CF3">
              <w:rPr>
                <w:rFonts w:asciiTheme="minorBidi" w:hAnsiTheme="minorBidi" w:cstheme="minorBidi"/>
                <w:sz w:val="18"/>
                <w:szCs w:val="18"/>
              </w:rPr>
              <w:t xml:space="preserve"> Average hourly earnings of female and male employees, by occupation, age and persons with disabilities</w:t>
            </w:r>
          </w:p>
          <w:p w14:paraId="61986F50" w14:textId="77777777" w:rsidR="00094D7E" w:rsidRPr="00446CF3" w:rsidRDefault="004A40F1" w:rsidP="00453CC3">
            <w:pPr>
              <w:tabs>
                <w:tab w:val="left" w:pos="9072"/>
              </w:tabs>
              <w:bidi w:val="0"/>
              <w:spacing w:after="0" w:line="240" w:lineRule="auto"/>
              <w:ind w:left="336"/>
              <w:jc w:val="both"/>
              <w:rPr>
                <w:rFonts w:asciiTheme="minorBidi" w:hAnsiTheme="minorBidi" w:cstheme="minorBidi"/>
                <w:sz w:val="18"/>
                <w:szCs w:val="18"/>
              </w:rPr>
            </w:pPr>
            <w:r w:rsidRPr="00446CF3">
              <w:rPr>
                <w:rFonts w:asciiTheme="minorBidi" w:hAnsiTheme="minorBidi" w:cstheme="minorBidi"/>
                <w:sz w:val="18"/>
                <w:szCs w:val="18"/>
              </w:rPr>
              <w:t xml:space="preserve">Average hourly earnings of female employees (PCBS, </w:t>
            </w:r>
            <w:r w:rsidR="00453CC3" w:rsidRPr="00446CF3">
              <w:rPr>
                <w:rFonts w:asciiTheme="minorBidi" w:hAnsiTheme="minorBidi" w:cstheme="minorBidi"/>
                <w:color w:val="000000" w:themeColor="text1"/>
                <w:sz w:val="18"/>
                <w:szCs w:val="18"/>
              </w:rPr>
              <w:t>2022</w:t>
            </w:r>
            <w:r w:rsidRPr="00446CF3">
              <w:rPr>
                <w:rFonts w:asciiTheme="minorBidi" w:hAnsiTheme="minorBidi" w:cstheme="minorBidi"/>
                <w:color w:val="000000" w:themeColor="text1"/>
                <w:sz w:val="18"/>
                <w:szCs w:val="18"/>
              </w:rPr>
              <w:t xml:space="preserve">, </w:t>
            </w:r>
            <w:r w:rsidRPr="00446CF3">
              <w:rPr>
                <w:rFonts w:asciiTheme="minorBidi" w:hAnsiTheme="minorBidi" w:cstheme="minorBidi"/>
                <w:sz w:val="18"/>
                <w:szCs w:val="18"/>
              </w:rPr>
              <w:t>NIS)</w:t>
            </w:r>
          </w:p>
          <w:p w14:paraId="2FF338E3" w14:textId="77777777" w:rsidR="00094D7E" w:rsidRPr="00446CF3" w:rsidRDefault="004A40F1" w:rsidP="00453CC3">
            <w:pPr>
              <w:tabs>
                <w:tab w:val="left" w:pos="9072"/>
              </w:tabs>
              <w:bidi w:val="0"/>
              <w:spacing w:after="0" w:line="240" w:lineRule="auto"/>
              <w:ind w:left="336"/>
              <w:jc w:val="both"/>
              <w:rPr>
                <w:rFonts w:asciiTheme="minorBidi" w:hAnsiTheme="minorBidi" w:cstheme="minorBidi"/>
                <w:sz w:val="18"/>
                <w:szCs w:val="18"/>
              </w:rPr>
            </w:pPr>
            <w:r w:rsidRPr="00446CF3">
              <w:rPr>
                <w:rFonts w:asciiTheme="minorBidi" w:hAnsiTheme="minorBidi" w:cstheme="minorBidi"/>
                <w:sz w:val="18"/>
                <w:szCs w:val="18"/>
              </w:rPr>
              <w:t xml:space="preserve">Average hourly earnings of male employees (PCBS, </w:t>
            </w:r>
            <w:r w:rsidR="00453CC3" w:rsidRPr="00446CF3">
              <w:rPr>
                <w:rFonts w:asciiTheme="minorBidi" w:hAnsiTheme="minorBidi" w:cstheme="minorBidi"/>
                <w:sz w:val="18"/>
                <w:szCs w:val="18"/>
              </w:rPr>
              <w:t>2022</w:t>
            </w:r>
            <w:r w:rsidRPr="00446CF3">
              <w:rPr>
                <w:rFonts w:asciiTheme="minorBidi" w:hAnsiTheme="minorBidi" w:cstheme="minorBidi"/>
                <w:sz w:val="18"/>
                <w:szCs w:val="18"/>
              </w:rPr>
              <w:t>, NIS)</w:t>
            </w:r>
          </w:p>
        </w:tc>
        <w:tc>
          <w:tcPr>
            <w:tcW w:w="1157" w:type="dxa"/>
            <w:tcBorders>
              <w:top w:val="single" w:sz="4" w:space="0" w:color="auto"/>
              <w:left w:val="nil"/>
              <w:right w:val="single" w:sz="4" w:space="0" w:color="auto"/>
            </w:tcBorders>
            <w:shd w:val="clear" w:color="auto" w:fill="auto"/>
            <w:noWrap/>
            <w:hideMark/>
          </w:tcPr>
          <w:p w14:paraId="20DA3ABA" w14:textId="77777777" w:rsidR="00094D7E" w:rsidRPr="00446CF3" w:rsidRDefault="00094D7E" w:rsidP="0071415F">
            <w:pPr>
              <w:bidi w:val="0"/>
              <w:spacing w:after="0" w:line="240" w:lineRule="auto"/>
              <w:jc w:val="center"/>
              <w:rPr>
                <w:rFonts w:asciiTheme="minorBidi" w:hAnsiTheme="minorBidi" w:cstheme="minorBidi"/>
                <w:color w:val="000000" w:themeColor="text1"/>
                <w:sz w:val="18"/>
                <w:szCs w:val="18"/>
              </w:rPr>
            </w:pPr>
          </w:p>
          <w:p w14:paraId="6F0BB860"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2FAD2DAB"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21BDB717" w14:textId="77777777" w:rsidR="00094D7E" w:rsidRPr="00446CF3" w:rsidRDefault="00094D7E" w:rsidP="00094D7E">
            <w:pPr>
              <w:bidi w:val="0"/>
              <w:spacing w:after="0" w:line="240" w:lineRule="auto"/>
              <w:jc w:val="center"/>
              <w:rPr>
                <w:rFonts w:asciiTheme="minorBidi" w:hAnsiTheme="minorBidi" w:cstheme="minorBidi"/>
                <w:sz w:val="18"/>
                <w:szCs w:val="18"/>
              </w:rPr>
            </w:pPr>
            <w:r w:rsidRPr="00446CF3">
              <w:rPr>
                <w:rFonts w:asciiTheme="minorBidi" w:hAnsiTheme="minorBidi" w:cstheme="minorBidi"/>
                <w:color w:val="000000" w:themeColor="text1"/>
                <w:sz w:val="18"/>
                <w:szCs w:val="18"/>
              </w:rPr>
              <w:t>Proxy</w:t>
            </w:r>
          </w:p>
        </w:tc>
        <w:tc>
          <w:tcPr>
            <w:tcW w:w="1350" w:type="dxa"/>
            <w:tcBorders>
              <w:top w:val="single" w:sz="4" w:space="0" w:color="auto"/>
              <w:left w:val="nil"/>
              <w:right w:val="single" w:sz="4" w:space="0" w:color="auto"/>
            </w:tcBorders>
          </w:tcPr>
          <w:p w14:paraId="0625A927" w14:textId="77777777" w:rsidR="00094D7E" w:rsidRPr="00446CF3" w:rsidRDefault="00094D7E" w:rsidP="0071415F">
            <w:pPr>
              <w:bidi w:val="0"/>
              <w:spacing w:after="0" w:line="240" w:lineRule="auto"/>
              <w:jc w:val="center"/>
              <w:rPr>
                <w:rFonts w:asciiTheme="minorBidi" w:hAnsiTheme="minorBidi" w:cstheme="minorBidi"/>
                <w:color w:val="000000" w:themeColor="text1"/>
                <w:sz w:val="18"/>
                <w:szCs w:val="18"/>
              </w:rPr>
            </w:pPr>
          </w:p>
          <w:p w14:paraId="6DD6EEB1"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698FFEF9"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54358E44"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tl/>
              </w:rPr>
            </w:pPr>
            <w:r w:rsidRPr="00446CF3">
              <w:rPr>
                <w:rFonts w:asciiTheme="minorBidi" w:hAnsiTheme="minorBidi" w:cstheme="minorBidi"/>
                <w:color w:val="000000" w:themeColor="text1"/>
                <w:sz w:val="18"/>
                <w:szCs w:val="18"/>
              </w:rPr>
              <w:t>107.7 (2020)</w:t>
            </w:r>
          </w:p>
        </w:tc>
        <w:tc>
          <w:tcPr>
            <w:tcW w:w="1040" w:type="dxa"/>
            <w:tcBorders>
              <w:top w:val="single" w:sz="4" w:space="0" w:color="auto"/>
              <w:left w:val="single" w:sz="4" w:space="0" w:color="auto"/>
              <w:right w:val="single" w:sz="4" w:space="0" w:color="auto"/>
            </w:tcBorders>
            <w:shd w:val="clear" w:color="auto" w:fill="auto"/>
            <w:noWrap/>
            <w:hideMark/>
          </w:tcPr>
          <w:p w14:paraId="259FB18E" w14:textId="77777777" w:rsidR="00094D7E" w:rsidRPr="00446CF3" w:rsidRDefault="00094D7E" w:rsidP="0071415F">
            <w:pPr>
              <w:bidi w:val="0"/>
              <w:spacing w:after="0" w:line="240" w:lineRule="auto"/>
              <w:jc w:val="center"/>
              <w:rPr>
                <w:rFonts w:asciiTheme="minorBidi" w:hAnsiTheme="minorBidi" w:cstheme="minorBidi"/>
                <w:color w:val="000000" w:themeColor="text1"/>
                <w:sz w:val="18"/>
                <w:szCs w:val="18"/>
              </w:rPr>
            </w:pPr>
          </w:p>
          <w:p w14:paraId="7A6B48CF"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00D51E32"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0AF41459"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106.1</w:t>
            </w:r>
          </w:p>
        </w:tc>
        <w:tc>
          <w:tcPr>
            <w:tcW w:w="1817" w:type="dxa"/>
            <w:tcBorders>
              <w:top w:val="single" w:sz="4" w:space="0" w:color="auto"/>
              <w:left w:val="single" w:sz="4" w:space="0" w:color="auto"/>
              <w:right w:val="single" w:sz="4" w:space="0" w:color="auto"/>
            </w:tcBorders>
          </w:tcPr>
          <w:p w14:paraId="50BD45F1" w14:textId="77777777" w:rsidR="00094D7E" w:rsidRPr="00446CF3" w:rsidRDefault="00094D7E" w:rsidP="0071415F">
            <w:pPr>
              <w:bidi w:val="0"/>
              <w:spacing w:after="0" w:line="240" w:lineRule="auto"/>
              <w:jc w:val="center"/>
              <w:rPr>
                <w:rFonts w:asciiTheme="minorBidi" w:hAnsiTheme="minorBidi" w:cstheme="minorBidi"/>
                <w:color w:val="000000" w:themeColor="text1"/>
                <w:sz w:val="18"/>
                <w:szCs w:val="18"/>
              </w:rPr>
            </w:pPr>
          </w:p>
          <w:p w14:paraId="083108F5"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5C314511"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69338181"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Decrease</w:t>
            </w:r>
          </w:p>
        </w:tc>
      </w:tr>
      <w:tr w:rsidR="00094D7E" w:rsidRPr="00BD3E97" w14:paraId="1616957D" w14:textId="77777777" w:rsidTr="007B26D1">
        <w:trPr>
          <w:trHeight w:val="389"/>
        </w:trPr>
        <w:tc>
          <w:tcPr>
            <w:tcW w:w="4626" w:type="dxa"/>
            <w:vMerge/>
            <w:tcBorders>
              <w:left w:val="single" w:sz="4" w:space="0" w:color="auto"/>
              <w:bottom w:val="single" w:sz="4" w:space="0" w:color="auto"/>
              <w:right w:val="single" w:sz="4" w:space="0" w:color="auto"/>
            </w:tcBorders>
            <w:shd w:val="clear" w:color="auto" w:fill="auto"/>
            <w:noWrap/>
            <w:vAlign w:val="center"/>
            <w:hideMark/>
          </w:tcPr>
          <w:p w14:paraId="1C98DBB6" w14:textId="77777777" w:rsidR="00094D7E" w:rsidRPr="00446CF3" w:rsidRDefault="00094D7E" w:rsidP="00094D7E">
            <w:pPr>
              <w:tabs>
                <w:tab w:val="left" w:pos="9072"/>
              </w:tabs>
              <w:bidi w:val="0"/>
              <w:spacing w:after="0" w:line="240" w:lineRule="auto"/>
              <w:jc w:val="both"/>
              <w:rPr>
                <w:rFonts w:asciiTheme="minorBidi" w:hAnsiTheme="minorBidi" w:cstheme="minorBidi"/>
                <w:color w:val="000000" w:themeColor="text1"/>
                <w:sz w:val="18"/>
                <w:szCs w:val="18"/>
                <w:rtl/>
              </w:rPr>
            </w:pPr>
          </w:p>
        </w:tc>
        <w:tc>
          <w:tcPr>
            <w:tcW w:w="1157" w:type="dxa"/>
            <w:tcBorders>
              <w:left w:val="nil"/>
              <w:bottom w:val="single" w:sz="4" w:space="0" w:color="auto"/>
              <w:right w:val="single" w:sz="4" w:space="0" w:color="auto"/>
            </w:tcBorders>
            <w:shd w:val="clear" w:color="auto" w:fill="auto"/>
            <w:noWrap/>
            <w:hideMark/>
          </w:tcPr>
          <w:p w14:paraId="2F318B24" w14:textId="77777777" w:rsidR="00094D7E" w:rsidRPr="00446CF3" w:rsidRDefault="00446CF3"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Proxy</w:t>
            </w:r>
          </w:p>
        </w:tc>
        <w:tc>
          <w:tcPr>
            <w:tcW w:w="1350" w:type="dxa"/>
            <w:tcBorders>
              <w:left w:val="nil"/>
              <w:bottom w:val="single" w:sz="4" w:space="0" w:color="auto"/>
              <w:right w:val="single" w:sz="4" w:space="0" w:color="auto"/>
            </w:tcBorders>
          </w:tcPr>
          <w:p w14:paraId="1AB3BC7F" w14:textId="77777777" w:rsidR="00094D7E" w:rsidRPr="00446CF3" w:rsidRDefault="00094D7E" w:rsidP="0071415F">
            <w:pPr>
              <w:bidi w:val="0"/>
              <w:spacing w:after="0" w:line="240" w:lineRule="auto"/>
              <w:jc w:val="center"/>
              <w:rPr>
                <w:rFonts w:asciiTheme="minorBidi" w:hAnsiTheme="minorBidi" w:cstheme="minorBidi"/>
                <w:color w:val="000000" w:themeColor="text1"/>
                <w:sz w:val="18"/>
                <w:szCs w:val="18"/>
                <w:rtl/>
              </w:rPr>
            </w:pPr>
            <w:r w:rsidRPr="00446CF3">
              <w:rPr>
                <w:rFonts w:asciiTheme="minorBidi" w:hAnsiTheme="minorBidi" w:cstheme="minorBidi"/>
                <w:color w:val="000000" w:themeColor="text1"/>
                <w:sz w:val="18"/>
                <w:szCs w:val="18"/>
              </w:rPr>
              <w:t>137.1 (2020)</w:t>
            </w:r>
          </w:p>
        </w:tc>
        <w:tc>
          <w:tcPr>
            <w:tcW w:w="1040" w:type="dxa"/>
            <w:tcBorders>
              <w:left w:val="single" w:sz="4" w:space="0" w:color="auto"/>
              <w:bottom w:val="single" w:sz="4" w:space="0" w:color="auto"/>
              <w:right w:val="single" w:sz="4" w:space="0" w:color="auto"/>
            </w:tcBorders>
            <w:shd w:val="clear" w:color="auto" w:fill="auto"/>
            <w:noWrap/>
            <w:hideMark/>
          </w:tcPr>
          <w:p w14:paraId="7C53147F" w14:textId="77777777" w:rsidR="00094D7E" w:rsidRPr="00446CF3" w:rsidRDefault="00094D7E"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142.1</w:t>
            </w:r>
          </w:p>
        </w:tc>
        <w:tc>
          <w:tcPr>
            <w:tcW w:w="1817" w:type="dxa"/>
            <w:tcBorders>
              <w:left w:val="single" w:sz="4" w:space="0" w:color="auto"/>
              <w:bottom w:val="single" w:sz="4" w:space="0" w:color="auto"/>
              <w:right w:val="single" w:sz="4" w:space="0" w:color="auto"/>
            </w:tcBorders>
          </w:tcPr>
          <w:p w14:paraId="1A464D77" w14:textId="77777777" w:rsidR="00094D7E" w:rsidRPr="00446CF3" w:rsidRDefault="00094D7E" w:rsidP="0071415F">
            <w:pPr>
              <w:bidi w:val="0"/>
              <w:spacing w:after="0" w:line="240" w:lineRule="auto"/>
              <w:jc w:val="center"/>
              <w:rPr>
                <w:rFonts w:asciiTheme="minorBidi" w:hAnsiTheme="minorBidi" w:cstheme="minorBidi"/>
                <w:sz w:val="18"/>
                <w:szCs w:val="18"/>
              </w:rPr>
            </w:pPr>
            <w:r w:rsidRPr="00446CF3">
              <w:rPr>
                <w:rFonts w:asciiTheme="minorBidi" w:hAnsiTheme="minorBidi" w:cstheme="minorBidi"/>
                <w:sz w:val="18"/>
                <w:szCs w:val="18"/>
              </w:rPr>
              <w:t>Increase</w:t>
            </w:r>
          </w:p>
        </w:tc>
      </w:tr>
      <w:tr w:rsidR="00E665C5" w:rsidRPr="00BD3E97" w14:paraId="2D243BE7" w14:textId="77777777" w:rsidTr="007B26D1">
        <w:trPr>
          <w:trHeight w:val="390"/>
        </w:trPr>
        <w:tc>
          <w:tcPr>
            <w:tcW w:w="4626" w:type="dxa"/>
            <w:tcBorders>
              <w:top w:val="single" w:sz="4" w:space="0" w:color="auto"/>
              <w:left w:val="single" w:sz="4" w:space="0" w:color="auto"/>
              <w:right w:val="single" w:sz="4" w:space="0" w:color="auto"/>
            </w:tcBorders>
            <w:shd w:val="clear" w:color="auto" w:fill="auto"/>
            <w:noWrap/>
            <w:vAlign w:val="center"/>
            <w:hideMark/>
          </w:tcPr>
          <w:p w14:paraId="7B71AC48" w14:textId="77777777" w:rsidR="0071415F" w:rsidRPr="00446CF3" w:rsidRDefault="0071415F" w:rsidP="0071415F">
            <w:pPr>
              <w:bidi w:val="0"/>
              <w:spacing w:after="0" w:line="240" w:lineRule="auto"/>
              <w:ind w:left="323" w:hanging="284"/>
              <w:jc w:val="both"/>
              <w:rPr>
                <w:rFonts w:asciiTheme="minorBidi" w:hAnsiTheme="minorBidi" w:cstheme="minorBidi"/>
                <w:sz w:val="18"/>
                <w:szCs w:val="18"/>
              </w:rPr>
            </w:pPr>
            <w:r w:rsidRPr="00446CF3">
              <w:rPr>
                <w:rFonts w:asciiTheme="minorBidi" w:hAnsiTheme="minorBidi" w:cstheme="minorBidi"/>
                <w:b/>
                <w:bCs/>
                <w:sz w:val="18"/>
                <w:szCs w:val="18"/>
              </w:rPr>
              <w:t>Indicator 8.5.2</w:t>
            </w:r>
            <w:r w:rsidRPr="00446CF3">
              <w:rPr>
                <w:rFonts w:asciiTheme="minorBidi" w:hAnsiTheme="minorBidi" w:cstheme="minorBidi"/>
                <w:sz w:val="18"/>
                <w:szCs w:val="18"/>
              </w:rPr>
              <w:t xml:space="preserve"> Unemployment rate, by sex, age</w:t>
            </w:r>
            <w:r w:rsidR="00235105" w:rsidRPr="00446CF3">
              <w:rPr>
                <w:rFonts w:asciiTheme="minorBidi" w:hAnsiTheme="minorBidi" w:cstheme="minorBidi"/>
                <w:sz w:val="18"/>
                <w:szCs w:val="18"/>
              </w:rPr>
              <w:t>,</w:t>
            </w:r>
            <w:r w:rsidRPr="00446CF3">
              <w:rPr>
                <w:rFonts w:asciiTheme="minorBidi" w:hAnsiTheme="minorBidi" w:cstheme="minorBidi"/>
                <w:sz w:val="18"/>
                <w:szCs w:val="18"/>
              </w:rPr>
              <w:t xml:space="preserve"> and persons with disabilities</w:t>
            </w:r>
          </w:p>
        </w:tc>
        <w:tc>
          <w:tcPr>
            <w:tcW w:w="1157" w:type="dxa"/>
            <w:tcBorders>
              <w:top w:val="single" w:sz="4" w:space="0" w:color="auto"/>
              <w:left w:val="nil"/>
              <w:right w:val="single" w:sz="4" w:space="0" w:color="auto"/>
            </w:tcBorders>
            <w:shd w:val="clear" w:color="auto" w:fill="auto"/>
            <w:noWrap/>
            <w:hideMark/>
          </w:tcPr>
          <w:p w14:paraId="52EB381F" w14:textId="77777777" w:rsidR="0071415F" w:rsidRPr="00446CF3" w:rsidRDefault="0071415F" w:rsidP="0071415F">
            <w:pPr>
              <w:bidi w:val="0"/>
              <w:spacing w:after="0" w:line="240" w:lineRule="auto"/>
              <w:jc w:val="center"/>
              <w:rPr>
                <w:rFonts w:asciiTheme="minorBidi" w:hAnsiTheme="minorBidi" w:cstheme="minorBidi"/>
                <w:sz w:val="18"/>
                <w:szCs w:val="18"/>
              </w:rPr>
            </w:pPr>
          </w:p>
        </w:tc>
        <w:tc>
          <w:tcPr>
            <w:tcW w:w="1350" w:type="dxa"/>
            <w:tcBorders>
              <w:top w:val="single" w:sz="4" w:space="0" w:color="auto"/>
              <w:left w:val="nil"/>
              <w:right w:val="single" w:sz="4" w:space="0" w:color="auto"/>
            </w:tcBorders>
          </w:tcPr>
          <w:p w14:paraId="24D4E1BE" w14:textId="77777777" w:rsidR="0071415F" w:rsidRPr="00446CF3" w:rsidRDefault="0071415F" w:rsidP="0071415F">
            <w:pPr>
              <w:bidi w:val="0"/>
              <w:spacing w:after="0" w:line="240" w:lineRule="auto"/>
              <w:jc w:val="center"/>
              <w:rPr>
                <w:rFonts w:asciiTheme="minorBidi" w:hAnsiTheme="minorBidi" w:cstheme="minorBidi"/>
                <w:sz w:val="18"/>
                <w:szCs w:val="18"/>
                <w:rtl/>
              </w:rPr>
            </w:pPr>
          </w:p>
        </w:tc>
        <w:tc>
          <w:tcPr>
            <w:tcW w:w="1040" w:type="dxa"/>
            <w:tcBorders>
              <w:top w:val="single" w:sz="4" w:space="0" w:color="auto"/>
              <w:left w:val="single" w:sz="4" w:space="0" w:color="auto"/>
              <w:right w:val="single" w:sz="4" w:space="0" w:color="auto"/>
            </w:tcBorders>
            <w:shd w:val="clear" w:color="auto" w:fill="auto"/>
            <w:noWrap/>
            <w:hideMark/>
          </w:tcPr>
          <w:p w14:paraId="15E4FFC1" w14:textId="77777777" w:rsidR="0071415F" w:rsidRPr="00446CF3" w:rsidRDefault="0071415F" w:rsidP="0071415F">
            <w:pPr>
              <w:bidi w:val="0"/>
              <w:spacing w:after="0" w:line="240" w:lineRule="auto"/>
              <w:jc w:val="center"/>
              <w:rPr>
                <w:rFonts w:asciiTheme="minorBidi" w:hAnsiTheme="minorBidi" w:cstheme="minorBidi"/>
                <w:sz w:val="18"/>
                <w:szCs w:val="18"/>
              </w:rPr>
            </w:pPr>
          </w:p>
        </w:tc>
        <w:tc>
          <w:tcPr>
            <w:tcW w:w="1817" w:type="dxa"/>
            <w:tcBorders>
              <w:top w:val="single" w:sz="4" w:space="0" w:color="auto"/>
              <w:left w:val="single" w:sz="4" w:space="0" w:color="auto"/>
              <w:right w:val="single" w:sz="4" w:space="0" w:color="auto"/>
            </w:tcBorders>
          </w:tcPr>
          <w:p w14:paraId="0D345EC4" w14:textId="77777777" w:rsidR="0071415F" w:rsidRPr="00446CF3" w:rsidRDefault="0071415F" w:rsidP="0071415F">
            <w:pPr>
              <w:bidi w:val="0"/>
              <w:spacing w:after="0" w:line="240" w:lineRule="auto"/>
              <w:jc w:val="center"/>
              <w:rPr>
                <w:rFonts w:asciiTheme="minorBidi" w:hAnsiTheme="minorBidi" w:cstheme="minorBidi"/>
                <w:sz w:val="18"/>
                <w:szCs w:val="18"/>
              </w:rPr>
            </w:pPr>
          </w:p>
        </w:tc>
      </w:tr>
      <w:tr w:rsidR="00E665C5" w:rsidRPr="00BD3E97" w14:paraId="4951F79F" w14:textId="77777777" w:rsidTr="007B26D1">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621AD752" w14:textId="77777777" w:rsidR="0071415F" w:rsidRPr="00446CF3" w:rsidRDefault="0071415F" w:rsidP="007B26D1">
            <w:pPr>
              <w:tabs>
                <w:tab w:val="left" w:pos="9072"/>
              </w:tabs>
              <w:bidi w:val="0"/>
              <w:spacing w:after="0" w:line="240" w:lineRule="auto"/>
              <w:ind w:left="336"/>
              <w:jc w:val="both"/>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 xml:space="preserve">Unemployment rate (PCBS, </w:t>
            </w:r>
            <w:r w:rsidR="007B26D1" w:rsidRPr="00446CF3">
              <w:rPr>
                <w:rFonts w:asciiTheme="minorBidi" w:hAnsiTheme="minorBidi" w:cstheme="minorBidi"/>
                <w:color w:val="000000" w:themeColor="text1"/>
                <w:sz w:val="18"/>
                <w:szCs w:val="18"/>
              </w:rPr>
              <w:t>2022</w:t>
            </w:r>
            <w:r w:rsidRPr="00446CF3">
              <w:rPr>
                <w:rFonts w:asciiTheme="minorBidi" w:hAnsiTheme="minorBidi" w:cstheme="minorBidi"/>
                <w:color w:val="000000" w:themeColor="text1"/>
                <w:sz w:val="18"/>
                <w:szCs w:val="18"/>
              </w:rPr>
              <w:t>, Percentage)</w:t>
            </w:r>
          </w:p>
        </w:tc>
        <w:tc>
          <w:tcPr>
            <w:tcW w:w="1157" w:type="dxa"/>
            <w:tcBorders>
              <w:top w:val="nil"/>
              <w:left w:val="nil"/>
              <w:bottom w:val="single" w:sz="4" w:space="0" w:color="auto"/>
              <w:right w:val="single" w:sz="4" w:space="0" w:color="auto"/>
            </w:tcBorders>
            <w:shd w:val="clear" w:color="auto" w:fill="auto"/>
            <w:noWrap/>
            <w:hideMark/>
          </w:tcPr>
          <w:p w14:paraId="3AC34CCA"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Identical</w:t>
            </w:r>
          </w:p>
        </w:tc>
        <w:tc>
          <w:tcPr>
            <w:tcW w:w="1350" w:type="dxa"/>
            <w:tcBorders>
              <w:top w:val="nil"/>
              <w:left w:val="nil"/>
              <w:bottom w:val="single" w:sz="4" w:space="0" w:color="auto"/>
              <w:right w:val="single" w:sz="4" w:space="0" w:color="auto"/>
            </w:tcBorders>
          </w:tcPr>
          <w:p w14:paraId="7165BFB7" w14:textId="77777777" w:rsidR="0071415F" w:rsidRPr="00446CF3" w:rsidRDefault="007B26D1" w:rsidP="007B26D1">
            <w:pPr>
              <w:bidi w:val="0"/>
              <w:spacing w:after="0" w:line="240" w:lineRule="auto"/>
              <w:jc w:val="center"/>
              <w:rPr>
                <w:rFonts w:asciiTheme="minorBidi" w:hAnsiTheme="minorBidi" w:cstheme="minorBidi"/>
                <w:color w:val="000000" w:themeColor="text1"/>
                <w:sz w:val="18"/>
                <w:szCs w:val="18"/>
                <w:rtl/>
              </w:rPr>
            </w:pPr>
            <w:r w:rsidRPr="00446CF3">
              <w:rPr>
                <w:rFonts w:asciiTheme="minorBidi" w:hAnsiTheme="minorBidi" w:cstheme="minorBidi"/>
                <w:color w:val="000000" w:themeColor="text1"/>
                <w:sz w:val="18"/>
                <w:szCs w:val="18"/>
              </w:rPr>
              <w:t>26.4</w:t>
            </w:r>
            <w:r w:rsidR="0071415F" w:rsidRPr="00446CF3">
              <w:rPr>
                <w:rFonts w:asciiTheme="minorBidi" w:hAnsiTheme="minorBidi" w:cstheme="minorBidi"/>
                <w:color w:val="000000" w:themeColor="text1"/>
                <w:sz w:val="18"/>
                <w:szCs w:val="18"/>
              </w:rPr>
              <w:t xml:space="preserve"> (</w:t>
            </w:r>
            <w:r w:rsidRPr="00446CF3">
              <w:rPr>
                <w:rFonts w:asciiTheme="minorBidi" w:hAnsiTheme="minorBidi" w:cstheme="minorBidi"/>
                <w:color w:val="000000" w:themeColor="text1"/>
                <w:sz w:val="18"/>
                <w:szCs w:val="18"/>
              </w:rPr>
              <w:t>2021</w:t>
            </w:r>
            <w:r w:rsidR="0071415F" w:rsidRPr="00446CF3">
              <w:rPr>
                <w:rFonts w:asciiTheme="minorBidi" w:hAnsiTheme="minorBidi" w:cstheme="minorBidi"/>
                <w:color w:val="000000" w:themeColor="text1"/>
                <w:sz w:val="18"/>
                <w:szCs w:val="18"/>
              </w:rPr>
              <w:t>)</w:t>
            </w:r>
          </w:p>
        </w:tc>
        <w:tc>
          <w:tcPr>
            <w:tcW w:w="1040" w:type="dxa"/>
            <w:tcBorders>
              <w:top w:val="nil"/>
              <w:left w:val="single" w:sz="4" w:space="0" w:color="auto"/>
              <w:bottom w:val="single" w:sz="4" w:space="0" w:color="auto"/>
              <w:right w:val="single" w:sz="4" w:space="0" w:color="auto"/>
            </w:tcBorders>
            <w:shd w:val="clear" w:color="auto" w:fill="auto"/>
            <w:noWrap/>
            <w:hideMark/>
          </w:tcPr>
          <w:p w14:paraId="6778C39E" w14:textId="77777777" w:rsidR="0071415F" w:rsidRPr="00446CF3" w:rsidRDefault="007B26D1"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24.4</w:t>
            </w:r>
          </w:p>
        </w:tc>
        <w:tc>
          <w:tcPr>
            <w:tcW w:w="1817" w:type="dxa"/>
            <w:tcBorders>
              <w:top w:val="nil"/>
              <w:left w:val="single" w:sz="4" w:space="0" w:color="auto"/>
              <w:bottom w:val="single" w:sz="4" w:space="0" w:color="auto"/>
              <w:right w:val="single" w:sz="4" w:space="0" w:color="auto"/>
            </w:tcBorders>
          </w:tcPr>
          <w:p w14:paraId="1EF57338" w14:textId="77777777" w:rsidR="0071415F" w:rsidRPr="00446CF3" w:rsidRDefault="007B26D1" w:rsidP="0071415F">
            <w:pPr>
              <w:bidi w:val="0"/>
              <w:spacing w:after="0" w:line="240" w:lineRule="auto"/>
              <w:jc w:val="center"/>
              <w:rPr>
                <w:rFonts w:asciiTheme="minorBidi" w:hAnsiTheme="minorBidi" w:cstheme="minorBidi"/>
                <w:sz w:val="18"/>
                <w:szCs w:val="18"/>
              </w:rPr>
            </w:pPr>
            <w:r w:rsidRPr="00446CF3">
              <w:rPr>
                <w:rFonts w:asciiTheme="minorBidi" w:hAnsiTheme="minorBidi" w:cstheme="minorBidi"/>
                <w:sz w:val="18"/>
                <w:szCs w:val="18"/>
              </w:rPr>
              <w:t>Increase</w:t>
            </w:r>
          </w:p>
        </w:tc>
      </w:tr>
      <w:tr w:rsidR="00E665C5" w:rsidRPr="00BD3E97" w14:paraId="60BF841B" w14:textId="77777777" w:rsidTr="007B26D1">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68956527" w14:textId="77777777" w:rsidR="008C23E8" w:rsidRPr="00446CF3" w:rsidRDefault="0071415F" w:rsidP="0071415F">
            <w:pPr>
              <w:bidi w:val="0"/>
              <w:spacing w:after="0" w:line="240" w:lineRule="auto"/>
              <w:ind w:left="323" w:hanging="284"/>
              <w:jc w:val="both"/>
              <w:rPr>
                <w:rFonts w:asciiTheme="minorBidi" w:hAnsiTheme="minorBidi" w:cstheme="minorBidi"/>
                <w:color w:val="000000" w:themeColor="text1"/>
                <w:sz w:val="18"/>
                <w:szCs w:val="18"/>
              </w:rPr>
            </w:pPr>
            <w:r w:rsidRPr="00446CF3">
              <w:rPr>
                <w:rFonts w:asciiTheme="minorBidi" w:hAnsiTheme="minorBidi" w:cstheme="minorBidi"/>
                <w:b/>
                <w:bCs/>
                <w:color w:val="000000" w:themeColor="text1"/>
                <w:sz w:val="18"/>
                <w:szCs w:val="18"/>
              </w:rPr>
              <w:t>Indicator 8.6.1</w:t>
            </w:r>
            <w:r w:rsidR="008C23E8" w:rsidRPr="00446CF3">
              <w:rPr>
                <w:rFonts w:asciiTheme="minorBidi" w:hAnsiTheme="minorBidi" w:cstheme="minorBidi"/>
                <w:color w:val="000000" w:themeColor="text1"/>
                <w:sz w:val="18"/>
                <w:szCs w:val="18"/>
              </w:rPr>
              <w:t>Proportion of youth (aged 15-24 years) not in education, employment or training</w:t>
            </w:r>
          </w:p>
          <w:p w14:paraId="46567391" w14:textId="77777777" w:rsidR="008C23E8" w:rsidRPr="00446CF3" w:rsidRDefault="008C23E8" w:rsidP="008C23E8">
            <w:pPr>
              <w:bidi w:val="0"/>
              <w:spacing w:after="0" w:line="240" w:lineRule="auto"/>
              <w:ind w:left="323" w:hanging="284"/>
              <w:jc w:val="both"/>
              <w:rPr>
                <w:rFonts w:asciiTheme="minorBidi" w:hAnsiTheme="minorBidi" w:cstheme="minorBidi"/>
                <w:color w:val="000000" w:themeColor="text1"/>
                <w:sz w:val="18"/>
                <w:szCs w:val="18"/>
              </w:rPr>
            </w:pPr>
          </w:p>
          <w:p w14:paraId="7D9C58D0" w14:textId="77777777" w:rsidR="0071415F" w:rsidRPr="00446CF3" w:rsidRDefault="0071415F" w:rsidP="007B26D1">
            <w:pPr>
              <w:bidi w:val="0"/>
              <w:spacing w:after="0" w:line="240" w:lineRule="auto"/>
              <w:ind w:left="323" w:hanging="284"/>
              <w:jc w:val="both"/>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 xml:space="preserve"> Proportion of youth (aged 15-24 years) not in education, employment or training (PCBS, </w:t>
            </w:r>
            <w:r w:rsidR="007B26D1" w:rsidRPr="00446CF3">
              <w:rPr>
                <w:rFonts w:asciiTheme="minorBidi" w:hAnsiTheme="minorBidi" w:cstheme="minorBidi"/>
                <w:color w:val="000000" w:themeColor="text1"/>
                <w:sz w:val="18"/>
                <w:szCs w:val="18"/>
              </w:rPr>
              <w:t>2022</w:t>
            </w:r>
            <w:r w:rsidRPr="00446CF3">
              <w:rPr>
                <w:rFonts w:asciiTheme="minorBidi" w:hAnsiTheme="minorBidi" w:cstheme="minorBidi"/>
                <w:color w:val="000000" w:themeColor="text1"/>
                <w:sz w:val="18"/>
                <w:szCs w:val="18"/>
              </w:rPr>
              <w:t xml:space="preserve">, </w:t>
            </w:r>
            <w:r w:rsidR="00235105" w:rsidRPr="00446CF3">
              <w:rPr>
                <w:rFonts w:asciiTheme="minorBidi" w:hAnsiTheme="minorBidi" w:cstheme="minorBidi"/>
                <w:color w:val="000000" w:themeColor="text1"/>
                <w:sz w:val="18"/>
                <w:szCs w:val="18"/>
              </w:rPr>
              <w:t>p</w:t>
            </w:r>
            <w:r w:rsidRPr="00446CF3">
              <w:rPr>
                <w:rFonts w:asciiTheme="minorBidi" w:hAnsiTheme="minorBidi" w:cstheme="minorBidi"/>
                <w:color w:val="000000" w:themeColor="text1"/>
                <w:sz w:val="18"/>
                <w:szCs w:val="18"/>
              </w:rPr>
              <w:t>ercentage)</w:t>
            </w:r>
          </w:p>
        </w:tc>
        <w:tc>
          <w:tcPr>
            <w:tcW w:w="1157" w:type="dxa"/>
            <w:tcBorders>
              <w:top w:val="single" w:sz="4" w:space="0" w:color="auto"/>
              <w:left w:val="nil"/>
              <w:right w:val="single" w:sz="4" w:space="0" w:color="auto"/>
            </w:tcBorders>
            <w:shd w:val="clear" w:color="auto" w:fill="auto"/>
            <w:noWrap/>
            <w:hideMark/>
          </w:tcPr>
          <w:p w14:paraId="72082D47" w14:textId="77777777" w:rsidR="00094D7E" w:rsidRPr="00446CF3" w:rsidRDefault="00094D7E" w:rsidP="0071415F">
            <w:pPr>
              <w:bidi w:val="0"/>
              <w:spacing w:after="0" w:line="240" w:lineRule="auto"/>
              <w:jc w:val="center"/>
              <w:rPr>
                <w:rFonts w:asciiTheme="minorBidi" w:hAnsiTheme="minorBidi" w:cstheme="minorBidi"/>
                <w:color w:val="000000" w:themeColor="text1"/>
                <w:sz w:val="18"/>
                <w:szCs w:val="18"/>
              </w:rPr>
            </w:pPr>
          </w:p>
          <w:p w14:paraId="3EBDF79A"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18D09DB3"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163E8BD6" w14:textId="77777777" w:rsidR="0071415F" w:rsidRPr="00446CF3" w:rsidRDefault="0071415F" w:rsidP="00094D7E">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Identical</w:t>
            </w:r>
          </w:p>
        </w:tc>
        <w:tc>
          <w:tcPr>
            <w:tcW w:w="1350" w:type="dxa"/>
            <w:tcBorders>
              <w:top w:val="single" w:sz="4" w:space="0" w:color="auto"/>
              <w:left w:val="nil"/>
              <w:right w:val="single" w:sz="4" w:space="0" w:color="auto"/>
            </w:tcBorders>
          </w:tcPr>
          <w:p w14:paraId="78873FDE" w14:textId="77777777" w:rsidR="00094D7E" w:rsidRPr="00446CF3" w:rsidRDefault="00094D7E" w:rsidP="0071415F">
            <w:pPr>
              <w:bidi w:val="0"/>
              <w:spacing w:after="0" w:line="240" w:lineRule="auto"/>
              <w:jc w:val="center"/>
              <w:rPr>
                <w:rFonts w:asciiTheme="minorBidi" w:hAnsiTheme="minorBidi" w:cstheme="minorBidi"/>
                <w:color w:val="000000" w:themeColor="text1"/>
                <w:sz w:val="18"/>
                <w:szCs w:val="18"/>
              </w:rPr>
            </w:pPr>
          </w:p>
          <w:p w14:paraId="77AA3183"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573A772F"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78FB2501" w14:textId="77777777" w:rsidR="0071415F" w:rsidRPr="00446CF3" w:rsidRDefault="007B26D1" w:rsidP="007B26D1">
            <w:pPr>
              <w:bidi w:val="0"/>
              <w:spacing w:after="0" w:line="240" w:lineRule="auto"/>
              <w:jc w:val="center"/>
              <w:rPr>
                <w:rFonts w:asciiTheme="minorBidi" w:hAnsiTheme="minorBidi" w:cstheme="minorBidi"/>
                <w:color w:val="000000" w:themeColor="text1"/>
                <w:sz w:val="18"/>
                <w:szCs w:val="18"/>
                <w:rtl/>
              </w:rPr>
            </w:pPr>
            <w:r w:rsidRPr="00446CF3">
              <w:rPr>
                <w:rFonts w:asciiTheme="minorBidi" w:hAnsiTheme="minorBidi" w:cstheme="minorBidi"/>
                <w:color w:val="000000" w:themeColor="text1"/>
                <w:sz w:val="18"/>
                <w:szCs w:val="18"/>
              </w:rPr>
              <w:t>31.5</w:t>
            </w:r>
            <w:r w:rsidR="0071415F" w:rsidRPr="00446CF3">
              <w:rPr>
                <w:rFonts w:asciiTheme="minorBidi" w:hAnsiTheme="minorBidi" w:cstheme="minorBidi"/>
                <w:color w:val="000000" w:themeColor="text1"/>
                <w:sz w:val="18"/>
                <w:szCs w:val="18"/>
              </w:rPr>
              <w:t xml:space="preserve"> (</w:t>
            </w:r>
            <w:r w:rsidRPr="00446CF3">
              <w:rPr>
                <w:rFonts w:asciiTheme="minorBidi" w:hAnsiTheme="minorBidi" w:cstheme="minorBidi"/>
                <w:color w:val="000000" w:themeColor="text1"/>
                <w:sz w:val="18"/>
                <w:szCs w:val="18"/>
              </w:rPr>
              <w:t>2021</w:t>
            </w:r>
            <w:r w:rsidR="0071415F" w:rsidRPr="00446CF3">
              <w:rPr>
                <w:rFonts w:asciiTheme="minorBidi" w:hAnsiTheme="minorBidi" w:cstheme="minorBidi"/>
                <w:color w:val="000000" w:themeColor="text1"/>
                <w:sz w:val="18"/>
                <w:szCs w:val="18"/>
              </w:rPr>
              <w:t>)</w:t>
            </w:r>
          </w:p>
        </w:tc>
        <w:tc>
          <w:tcPr>
            <w:tcW w:w="1040" w:type="dxa"/>
            <w:tcBorders>
              <w:top w:val="single" w:sz="4" w:space="0" w:color="auto"/>
              <w:left w:val="single" w:sz="4" w:space="0" w:color="auto"/>
              <w:right w:val="single" w:sz="4" w:space="0" w:color="auto"/>
            </w:tcBorders>
            <w:shd w:val="clear" w:color="auto" w:fill="auto"/>
            <w:noWrap/>
            <w:hideMark/>
          </w:tcPr>
          <w:p w14:paraId="55C79CE2" w14:textId="77777777" w:rsidR="00094D7E" w:rsidRPr="00446CF3" w:rsidRDefault="00094D7E" w:rsidP="0071415F">
            <w:pPr>
              <w:bidi w:val="0"/>
              <w:spacing w:after="0" w:line="240" w:lineRule="auto"/>
              <w:jc w:val="center"/>
              <w:rPr>
                <w:rFonts w:asciiTheme="minorBidi" w:hAnsiTheme="minorBidi" w:cstheme="minorBidi"/>
                <w:color w:val="000000" w:themeColor="text1"/>
                <w:sz w:val="18"/>
                <w:szCs w:val="18"/>
              </w:rPr>
            </w:pPr>
          </w:p>
          <w:p w14:paraId="65DA7E50"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0A2CB8B4" w14:textId="77777777" w:rsidR="00094D7E" w:rsidRPr="00446CF3" w:rsidRDefault="00094D7E" w:rsidP="00094D7E">
            <w:pPr>
              <w:bidi w:val="0"/>
              <w:spacing w:after="0" w:line="240" w:lineRule="auto"/>
              <w:jc w:val="center"/>
              <w:rPr>
                <w:rFonts w:asciiTheme="minorBidi" w:hAnsiTheme="minorBidi" w:cstheme="minorBidi"/>
                <w:color w:val="000000" w:themeColor="text1"/>
                <w:sz w:val="18"/>
                <w:szCs w:val="18"/>
              </w:rPr>
            </w:pPr>
          </w:p>
          <w:p w14:paraId="70B68B9B" w14:textId="77777777" w:rsidR="0071415F" w:rsidRPr="00446CF3" w:rsidRDefault="007B26D1" w:rsidP="00094D7E">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29.1</w:t>
            </w:r>
          </w:p>
        </w:tc>
        <w:tc>
          <w:tcPr>
            <w:tcW w:w="1817" w:type="dxa"/>
            <w:tcBorders>
              <w:top w:val="single" w:sz="4" w:space="0" w:color="auto"/>
              <w:left w:val="single" w:sz="4" w:space="0" w:color="auto"/>
              <w:right w:val="single" w:sz="4" w:space="0" w:color="auto"/>
            </w:tcBorders>
          </w:tcPr>
          <w:p w14:paraId="2616BEAF" w14:textId="77777777" w:rsidR="00094D7E" w:rsidRPr="00446CF3" w:rsidRDefault="00094D7E" w:rsidP="0071415F">
            <w:pPr>
              <w:bidi w:val="0"/>
              <w:spacing w:after="0" w:line="240" w:lineRule="auto"/>
              <w:jc w:val="center"/>
              <w:rPr>
                <w:rFonts w:asciiTheme="minorBidi" w:hAnsiTheme="minorBidi" w:cstheme="minorBidi"/>
                <w:sz w:val="18"/>
                <w:szCs w:val="18"/>
              </w:rPr>
            </w:pPr>
          </w:p>
          <w:p w14:paraId="519DFF56" w14:textId="77777777" w:rsidR="00094D7E" w:rsidRPr="00446CF3" w:rsidRDefault="00094D7E" w:rsidP="00094D7E">
            <w:pPr>
              <w:bidi w:val="0"/>
              <w:spacing w:after="0" w:line="240" w:lineRule="auto"/>
              <w:jc w:val="center"/>
              <w:rPr>
                <w:rFonts w:asciiTheme="minorBidi" w:hAnsiTheme="minorBidi" w:cstheme="minorBidi"/>
                <w:sz w:val="18"/>
                <w:szCs w:val="18"/>
              </w:rPr>
            </w:pPr>
          </w:p>
          <w:p w14:paraId="35597630" w14:textId="77777777" w:rsidR="00094D7E" w:rsidRPr="00446CF3" w:rsidRDefault="00094D7E" w:rsidP="00094D7E">
            <w:pPr>
              <w:bidi w:val="0"/>
              <w:spacing w:after="0" w:line="240" w:lineRule="auto"/>
              <w:jc w:val="center"/>
              <w:rPr>
                <w:rFonts w:asciiTheme="minorBidi" w:hAnsiTheme="minorBidi" w:cstheme="minorBidi"/>
                <w:sz w:val="18"/>
                <w:szCs w:val="18"/>
              </w:rPr>
            </w:pPr>
          </w:p>
          <w:p w14:paraId="4417D126" w14:textId="77777777" w:rsidR="0071415F" w:rsidRPr="00446CF3" w:rsidRDefault="00235105" w:rsidP="00094D7E">
            <w:pPr>
              <w:bidi w:val="0"/>
              <w:spacing w:after="0" w:line="240" w:lineRule="auto"/>
              <w:jc w:val="center"/>
              <w:rPr>
                <w:rFonts w:asciiTheme="minorBidi" w:hAnsiTheme="minorBidi" w:cstheme="minorBidi"/>
                <w:color w:val="FF0000"/>
                <w:sz w:val="18"/>
                <w:szCs w:val="18"/>
                <w:rtl/>
              </w:rPr>
            </w:pPr>
            <w:r w:rsidRPr="00446CF3">
              <w:rPr>
                <w:rFonts w:asciiTheme="minorBidi" w:hAnsiTheme="minorBidi" w:cstheme="minorBidi"/>
                <w:sz w:val="18"/>
                <w:szCs w:val="18"/>
              </w:rPr>
              <w:t>I</w:t>
            </w:r>
            <w:r w:rsidR="007D15F4" w:rsidRPr="00446CF3">
              <w:rPr>
                <w:rFonts w:asciiTheme="minorBidi" w:hAnsiTheme="minorBidi" w:cstheme="minorBidi"/>
                <w:sz w:val="18"/>
                <w:szCs w:val="18"/>
              </w:rPr>
              <w:t>ncrease</w:t>
            </w:r>
          </w:p>
        </w:tc>
      </w:tr>
      <w:tr w:rsidR="00E665C5" w:rsidRPr="00BD3E97" w14:paraId="69ABB810" w14:textId="77777777" w:rsidTr="007B26D1">
        <w:trPr>
          <w:trHeight w:val="389"/>
        </w:trPr>
        <w:tc>
          <w:tcPr>
            <w:tcW w:w="4626" w:type="dxa"/>
            <w:tcBorders>
              <w:top w:val="single" w:sz="4" w:space="0" w:color="auto"/>
              <w:left w:val="single" w:sz="4" w:space="0" w:color="auto"/>
              <w:right w:val="single" w:sz="4" w:space="0" w:color="auto"/>
            </w:tcBorders>
            <w:shd w:val="clear" w:color="auto" w:fill="auto"/>
            <w:noWrap/>
            <w:vAlign w:val="center"/>
          </w:tcPr>
          <w:p w14:paraId="2E3BEFD4" w14:textId="77777777" w:rsidR="0071415F" w:rsidRPr="00BD3E97" w:rsidRDefault="0071415F" w:rsidP="0071415F">
            <w:pPr>
              <w:bidi w:val="0"/>
              <w:spacing w:after="0" w:line="240" w:lineRule="auto"/>
              <w:ind w:left="323" w:hanging="294"/>
              <w:jc w:val="both"/>
              <w:rPr>
                <w:rFonts w:asciiTheme="minorBidi" w:hAnsiTheme="minorBidi" w:cstheme="minorBidi"/>
                <w:color w:val="000000" w:themeColor="text1"/>
                <w:sz w:val="18"/>
                <w:szCs w:val="18"/>
              </w:rPr>
            </w:pPr>
            <w:r w:rsidRPr="00BD3E97">
              <w:rPr>
                <w:rFonts w:asciiTheme="minorBidi" w:hAnsiTheme="minorBidi" w:cstheme="minorBidi"/>
                <w:b/>
                <w:bCs/>
                <w:color w:val="000000" w:themeColor="text1"/>
                <w:sz w:val="18"/>
                <w:szCs w:val="18"/>
              </w:rPr>
              <w:t xml:space="preserve">Indicator 8.7.1 </w:t>
            </w:r>
            <w:r w:rsidRPr="00BD3E97">
              <w:rPr>
                <w:rFonts w:asciiTheme="minorBidi" w:hAnsiTheme="minorBidi" w:cstheme="minorBidi"/>
                <w:color w:val="000000" w:themeColor="text1"/>
                <w:sz w:val="18"/>
                <w:szCs w:val="18"/>
              </w:rPr>
              <w:t>Proportion and number of children aged 5-17 years engaged in child labour, by sex and age</w:t>
            </w:r>
          </w:p>
        </w:tc>
        <w:tc>
          <w:tcPr>
            <w:tcW w:w="1157" w:type="dxa"/>
            <w:tcBorders>
              <w:top w:val="single" w:sz="4" w:space="0" w:color="auto"/>
              <w:left w:val="nil"/>
              <w:right w:val="single" w:sz="4" w:space="0" w:color="auto"/>
            </w:tcBorders>
            <w:shd w:val="clear" w:color="auto" w:fill="auto"/>
            <w:noWrap/>
          </w:tcPr>
          <w:p w14:paraId="4C6C60B2"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350" w:type="dxa"/>
            <w:tcBorders>
              <w:top w:val="single" w:sz="4" w:space="0" w:color="auto"/>
              <w:left w:val="nil"/>
              <w:right w:val="single" w:sz="4" w:space="0" w:color="auto"/>
            </w:tcBorders>
          </w:tcPr>
          <w:p w14:paraId="74C66DD8"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p>
        </w:tc>
        <w:tc>
          <w:tcPr>
            <w:tcW w:w="1040" w:type="dxa"/>
            <w:tcBorders>
              <w:top w:val="single" w:sz="4" w:space="0" w:color="auto"/>
              <w:left w:val="single" w:sz="4" w:space="0" w:color="auto"/>
              <w:right w:val="single" w:sz="4" w:space="0" w:color="auto"/>
            </w:tcBorders>
            <w:shd w:val="clear" w:color="auto" w:fill="auto"/>
            <w:noWrap/>
          </w:tcPr>
          <w:p w14:paraId="7B70E7DC"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817" w:type="dxa"/>
            <w:tcBorders>
              <w:top w:val="single" w:sz="4" w:space="0" w:color="auto"/>
              <w:left w:val="single" w:sz="4" w:space="0" w:color="auto"/>
              <w:right w:val="single" w:sz="4" w:space="0" w:color="auto"/>
            </w:tcBorders>
          </w:tcPr>
          <w:p w14:paraId="357BCE72"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39AB509D" w14:textId="77777777" w:rsidTr="007B26D1">
        <w:trPr>
          <w:trHeight w:val="389"/>
        </w:trPr>
        <w:tc>
          <w:tcPr>
            <w:tcW w:w="4626" w:type="dxa"/>
            <w:tcBorders>
              <w:left w:val="single" w:sz="4" w:space="0" w:color="auto"/>
              <w:bottom w:val="single" w:sz="4" w:space="0" w:color="auto"/>
              <w:right w:val="single" w:sz="4" w:space="0" w:color="auto"/>
            </w:tcBorders>
            <w:shd w:val="clear" w:color="auto" w:fill="auto"/>
            <w:noWrap/>
            <w:vAlign w:val="center"/>
            <w:hideMark/>
          </w:tcPr>
          <w:p w14:paraId="7BC1370B" w14:textId="77777777" w:rsidR="0071415F" w:rsidRPr="00BD3E97" w:rsidRDefault="0071415F" w:rsidP="007B26D1">
            <w:pPr>
              <w:bidi w:val="0"/>
              <w:spacing w:after="0" w:line="240" w:lineRule="auto"/>
              <w:ind w:left="323"/>
              <w:jc w:val="both"/>
              <w:rPr>
                <w:rFonts w:asciiTheme="minorBidi" w:hAnsiTheme="minorBidi" w:cstheme="minorBidi"/>
                <w:b/>
                <w:bCs/>
                <w:color w:val="000000" w:themeColor="text1"/>
                <w:sz w:val="18"/>
                <w:szCs w:val="18"/>
              </w:rPr>
            </w:pPr>
            <w:r w:rsidRPr="00BD3E97">
              <w:rPr>
                <w:rFonts w:asciiTheme="minorBidi" w:hAnsiTheme="minorBidi" w:cstheme="minorBidi"/>
                <w:color w:val="000000" w:themeColor="text1"/>
                <w:sz w:val="18"/>
                <w:szCs w:val="18"/>
              </w:rPr>
              <w:t xml:space="preserve">Proportion of children age 10-17 years engaged in child labour (PCBS, </w:t>
            </w:r>
            <w:r w:rsidR="007B26D1">
              <w:rPr>
                <w:rFonts w:asciiTheme="minorBidi" w:hAnsiTheme="minorBidi" w:cstheme="minorBidi"/>
                <w:color w:val="000000" w:themeColor="text1"/>
                <w:sz w:val="18"/>
                <w:szCs w:val="18"/>
              </w:rPr>
              <w:t>2022</w:t>
            </w:r>
            <w:r w:rsidRPr="00BD3E97">
              <w:rPr>
                <w:rFonts w:asciiTheme="minorBidi" w:hAnsiTheme="minorBidi" w:cstheme="minorBidi"/>
                <w:color w:val="000000" w:themeColor="text1"/>
                <w:sz w:val="18"/>
                <w:szCs w:val="18"/>
              </w:rPr>
              <w:t xml:space="preserve">, </w:t>
            </w:r>
            <w:r w:rsidR="00235105">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57" w:type="dxa"/>
            <w:tcBorders>
              <w:left w:val="nil"/>
              <w:bottom w:val="single" w:sz="4" w:space="0" w:color="auto"/>
              <w:right w:val="single" w:sz="4" w:space="0" w:color="auto"/>
            </w:tcBorders>
            <w:shd w:val="clear" w:color="auto" w:fill="auto"/>
            <w:noWrap/>
            <w:hideMark/>
          </w:tcPr>
          <w:p w14:paraId="3E699D27"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Partial</w:t>
            </w:r>
          </w:p>
        </w:tc>
        <w:tc>
          <w:tcPr>
            <w:tcW w:w="1350" w:type="dxa"/>
            <w:tcBorders>
              <w:left w:val="nil"/>
              <w:bottom w:val="single" w:sz="4" w:space="0" w:color="auto"/>
              <w:right w:val="single" w:sz="4" w:space="0" w:color="auto"/>
            </w:tcBorders>
          </w:tcPr>
          <w:p w14:paraId="74BEBA41" w14:textId="77777777" w:rsidR="0071415F" w:rsidRPr="00BD3E97" w:rsidRDefault="007B26D1" w:rsidP="007B26D1">
            <w:pPr>
              <w:bidi w:val="0"/>
              <w:spacing w:after="0" w:line="240" w:lineRule="auto"/>
              <w:jc w:val="center"/>
              <w:rPr>
                <w:rFonts w:asciiTheme="minorBidi" w:hAnsiTheme="minorBidi" w:cstheme="minorBidi"/>
                <w:color w:val="000000" w:themeColor="text1"/>
                <w:sz w:val="18"/>
                <w:szCs w:val="18"/>
                <w:rtl/>
              </w:rPr>
            </w:pPr>
            <w:r>
              <w:rPr>
                <w:rFonts w:asciiTheme="minorBidi" w:hAnsiTheme="minorBidi" w:cstheme="minorBidi"/>
                <w:color w:val="000000" w:themeColor="text1"/>
                <w:sz w:val="18"/>
                <w:szCs w:val="18"/>
              </w:rPr>
              <w:t>2.5</w:t>
            </w:r>
            <w:r w:rsidR="0071415F" w:rsidRPr="00BD3E97">
              <w:rPr>
                <w:rFonts w:asciiTheme="minorBidi" w:hAnsiTheme="minorBidi" w:cstheme="minorBidi"/>
                <w:color w:val="000000" w:themeColor="text1"/>
                <w:sz w:val="18"/>
                <w:szCs w:val="18"/>
              </w:rPr>
              <w:t xml:space="preserve"> (</w:t>
            </w:r>
            <w:r>
              <w:rPr>
                <w:rFonts w:asciiTheme="minorBidi" w:hAnsiTheme="minorBidi" w:cstheme="minorBidi"/>
                <w:color w:val="000000" w:themeColor="text1"/>
                <w:sz w:val="18"/>
                <w:szCs w:val="18"/>
              </w:rPr>
              <w:t>2021</w:t>
            </w:r>
            <w:r w:rsidR="0071415F" w:rsidRPr="00BD3E97">
              <w:rPr>
                <w:rFonts w:asciiTheme="minorBidi" w:hAnsiTheme="minorBidi" w:cstheme="minorBidi"/>
                <w:color w:val="000000" w:themeColor="text1"/>
                <w:sz w:val="18"/>
                <w:szCs w:val="18"/>
              </w:rPr>
              <w:t>)</w:t>
            </w:r>
          </w:p>
        </w:tc>
        <w:tc>
          <w:tcPr>
            <w:tcW w:w="1040" w:type="dxa"/>
            <w:tcBorders>
              <w:left w:val="single" w:sz="4" w:space="0" w:color="auto"/>
              <w:bottom w:val="single" w:sz="4" w:space="0" w:color="auto"/>
              <w:right w:val="single" w:sz="4" w:space="0" w:color="auto"/>
            </w:tcBorders>
            <w:shd w:val="clear" w:color="auto" w:fill="auto"/>
            <w:noWrap/>
            <w:hideMark/>
          </w:tcPr>
          <w:p w14:paraId="53FC4EB1" w14:textId="77777777" w:rsidR="0071415F" w:rsidRPr="00BD3E97" w:rsidRDefault="007B26D1" w:rsidP="0071415F">
            <w:pPr>
              <w:bidi w:val="0"/>
              <w:spacing w:after="0" w:line="240" w:lineRule="auto"/>
              <w:jc w:val="center"/>
              <w:rPr>
                <w:rFonts w:asciiTheme="minorBidi" w:hAnsiTheme="minorBidi" w:cstheme="minorBidi"/>
                <w:color w:val="000000" w:themeColor="text1"/>
                <w:sz w:val="18"/>
                <w:szCs w:val="18"/>
                <w:rtl/>
              </w:rPr>
            </w:pPr>
            <w:r>
              <w:rPr>
                <w:rFonts w:asciiTheme="minorBidi" w:hAnsiTheme="minorBidi" w:cstheme="minorBidi"/>
                <w:color w:val="000000" w:themeColor="text1"/>
                <w:sz w:val="18"/>
                <w:szCs w:val="18"/>
              </w:rPr>
              <w:t>3.2</w:t>
            </w:r>
          </w:p>
        </w:tc>
        <w:tc>
          <w:tcPr>
            <w:tcW w:w="1817" w:type="dxa"/>
            <w:tcBorders>
              <w:left w:val="single" w:sz="4" w:space="0" w:color="auto"/>
              <w:bottom w:val="single" w:sz="4" w:space="0" w:color="auto"/>
              <w:right w:val="single" w:sz="4" w:space="0" w:color="auto"/>
            </w:tcBorders>
          </w:tcPr>
          <w:p w14:paraId="1163B88A" w14:textId="77777777" w:rsidR="0071415F" w:rsidRPr="00BD3E97" w:rsidRDefault="00235105" w:rsidP="0071415F">
            <w:pPr>
              <w:bidi w:val="0"/>
              <w:spacing w:after="0" w:line="240" w:lineRule="auto"/>
              <w:jc w:val="center"/>
              <w:rPr>
                <w:rFonts w:asciiTheme="minorBidi" w:hAnsiTheme="minorBidi" w:cstheme="minorBidi"/>
                <w:color w:val="008000"/>
                <w:sz w:val="18"/>
                <w:szCs w:val="18"/>
              </w:rPr>
            </w:pPr>
            <w:r>
              <w:rPr>
                <w:rFonts w:asciiTheme="minorBidi" w:hAnsiTheme="minorBidi" w:cstheme="minorBidi"/>
                <w:sz w:val="18"/>
                <w:szCs w:val="18"/>
              </w:rPr>
              <w:t>D</w:t>
            </w:r>
            <w:r w:rsidR="007D15F4" w:rsidRPr="00BD3E97">
              <w:rPr>
                <w:rFonts w:asciiTheme="minorBidi" w:hAnsiTheme="minorBidi" w:cstheme="minorBidi"/>
                <w:sz w:val="18"/>
                <w:szCs w:val="18"/>
              </w:rPr>
              <w:t>ecrease</w:t>
            </w:r>
          </w:p>
        </w:tc>
      </w:tr>
      <w:tr w:rsidR="00E665C5" w:rsidRPr="00BD3E97" w14:paraId="444E97A4" w14:textId="77777777" w:rsidTr="007B26D1">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7C405FA3" w14:textId="77777777" w:rsidR="0071415F" w:rsidRPr="00BD3E97" w:rsidRDefault="0071415F" w:rsidP="0071415F">
            <w:pPr>
              <w:bidi w:val="0"/>
              <w:spacing w:after="0" w:line="240" w:lineRule="auto"/>
              <w:ind w:left="323" w:hanging="284"/>
              <w:jc w:val="both"/>
              <w:rPr>
                <w:rFonts w:asciiTheme="minorBidi" w:hAnsiTheme="minorBidi" w:cstheme="minorBidi"/>
                <w:color w:val="000000" w:themeColor="text1"/>
                <w:sz w:val="18"/>
                <w:szCs w:val="18"/>
              </w:rPr>
            </w:pPr>
            <w:r w:rsidRPr="00BD3E97">
              <w:rPr>
                <w:rFonts w:asciiTheme="minorBidi" w:hAnsiTheme="minorBidi" w:cstheme="minorBidi"/>
                <w:b/>
                <w:bCs/>
                <w:color w:val="000000" w:themeColor="text1"/>
                <w:sz w:val="18"/>
                <w:szCs w:val="18"/>
              </w:rPr>
              <w:t>Indicator 8.9.1</w:t>
            </w:r>
            <w:r w:rsidRPr="00BD3E97">
              <w:rPr>
                <w:rFonts w:asciiTheme="minorBidi" w:hAnsiTheme="minorBidi" w:cstheme="minorBidi"/>
                <w:color w:val="000000" w:themeColor="text1"/>
                <w:sz w:val="18"/>
                <w:szCs w:val="18"/>
              </w:rPr>
              <w:t xml:space="preserve"> Tourism direct GDP as a proportion of total GDP and in growth rate</w:t>
            </w:r>
          </w:p>
        </w:tc>
        <w:tc>
          <w:tcPr>
            <w:tcW w:w="1157" w:type="dxa"/>
            <w:tcBorders>
              <w:top w:val="single" w:sz="4" w:space="0" w:color="auto"/>
              <w:left w:val="nil"/>
              <w:right w:val="single" w:sz="4" w:space="0" w:color="auto"/>
            </w:tcBorders>
            <w:shd w:val="clear" w:color="auto" w:fill="auto"/>
            <w:noWrap/>
            <w:hideMark/>
          </w:tcPr>
          <w:p w14:paraId="4CA1F0CB"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350" w:type="dxa"/>
            <w:tcBorders>
              <w:top w:val="single" w:sz="4" w:space="0" w:color="auto"/>
              <w:left w:val="nil"/>
              <w:right w:val="single" w:sz="4" w:space="0" w:color="auto"/>
            </w:tcBorders>
          </w:tcPr>
          <w:p w14:paraId="7B9F69E5"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p>
        </w:tc>
        <w:tc>
          <w:tcPr>
            <w:tcW w:w="1040" w:type="dxa"/>
            <w:tcBorders>
              <w:top w:val="single" w:sz="4" w:space="0" w:color="auto"/>
              <w:left w:val="single" w:sz="4" w:space="0" w:color="auto"/>
              <w:right w:val="single" w:sz="4" w:space="0" w:color="auto"/>
            </w:tcBorders>
            <w:shd w:val="clear" w:color="auto" w:fill="auto"/>
            <w:noWrap/>
            <w:hideMark/>
          </w:tcPr>
          <w:p w14:paraId="2DAE6157"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817" w:type="dxa"/>
            <w:tcBorders>
              <w:top w:val="single" w:sz="4" w:space="0" w:color="auto"/>
              <w:left w:val="single" w:sz="4" w:space="0" w:color="auto"/>
              <w:right w:val="single" w:sz="4" w:space="0" w:color="auto"/>
            </w:tcBorders>
          </w:tcPr>
          <w:p w14:paraId="15D916DB"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18F24E58" w14:textId="77777777" w:rsidTr="007B26D1">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161C3E61" w14:textId="77777777" w:rsidR="0071415F" w:rsidRPr="00446CF3" w:rsidRDefault="0071415F" w:rsidP="00453CC3">
            <w:pPr>
              <w:tabs>
                <w:tab w:val="left" w:pos="9072"/>
              </w:tabs>
              <w:bidi w:val="0"/>
              <w:spacing w:after="0" w:line="240" w:lineRule="auto"/>
              <w:ind w:left="336"/>
              <w:jc w:val="both"/>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 xml:space="preserve">Value added for </w:t>
            </w:r>
            <w:r w:rsidR="00235105" w:rsidRPr="00446CF3">
              <w:rPr>
                <w:rFonts w:asciiTheme="minorBidi" w:hAnsiTheme="minorBidi" w:cstheme="minorBidi"/>
                <w:color w:val="000000" w:themeColor="text1"/>
                <w:sz w:val="18"/>
                <w:szCs w:val="18"/>
              </w:rPr>
              <w:t>t</w:t>
            </w:r>
            <w:r w:rsidRPr="00446CF3">
              <w:rPr>
                <w:rFonts w:asciiTheme="minorBidi" w:hAnsiTheme="minorBidi" w:cstheme="minorBidi"/>
                <w:color w:val="000000" w:themeColor="text1"/>
                <w:sz w:val="18"/>
                <w:szCs w:val="18"/>
              </w:rPr>
              <w:t xml:space="preserve">ourism enterprises as a proportion of total GDP (PCBS, </w:t>
            </w:r>
            <w:r w:rsidR="00453CC3" w:rsidRPr="00446CF3">
              <w:rPr>
                <w:rFonts w:asciiTheme="minorBidi" w:hAnsiTheme="minorBidi" w:cstheme="minorBidi"/>
                <w:color w:val="000000" w:themeColor="text1"/>
                <w:sz w:val="18"/>
                <w:szCs w:val="18"/>
              </w:rPr>
              <w:t>2021</w:t>
            </w:r>
            <w:r w:rsidRPr="00446CF3">
              <w:rPr>
                <w:rFonts w:asciiTheme="minorBidi" w:hAnsiTheme="minorBidi" w:cstheme="minorBidi"/>
                <w:color w:val="000000" w:themeColor="text1"/>
                <w:sz w:val="18"/>
                <w:szCs w:val="18"/>
              </w:rPr>
              <w:t xml:space="preserve">, </w:t>
            </w:r>
            <w:r w:rsidR="00235105" w:rsidRPr="00446CF3">
              <w:rPr>
                <w:rFonts w:asciiTheme="minorBidi" w:hAnsiTheme="minorBidi" w:cstheme="minorBidi"/>
                <w:color w:val="000000" w:themeColor="text1"/>
                <w:sz w:val="18"/>
                <w:szCs w:val="18"/>
              </w:rPr>
              <w:t>p</w:t>
            </w:r>
            <w:r w:rsidRPr="00446CF3">
              <w:rPr>
                <w:rFonts w:asciiTheme="minorBidi" w:hAnsiTheme="minorBidi" w:cstheme="minorBidi"/>
                <w:color w:val="000000" w:themeColor="text1"/>
                <w:sz w:val="18"/>
                <w:szCs w:val="18"/>
              </w:rPr>
              <w:t>ercentage)</w:t>
            </w:r>
          </w:p>
        </w:tc>
        <w:tc>
          <w:tcPr>
            <w:tcW w:w="1157" w:type="dxa"/>
            <w:tcBorders>
              <w:top w:val="nil"/>
              <w:left w:val="nil"/>
              <w:bottom w:val="single" w:sz="4" w:space="0" w:color="auto"/>
              <w:right w:val="single" w:sz="4" w:space="0" w:color="auto"/>
            </w:tcBorders>
            <w:shd w:val="clear" w:color="auto" w:fill="auto"/>
            <w:noWrap/>
            <w:hideMark/>
          </w:tcPr>
          <w:p w14:paraId="5491D3DF"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Partial</w:t>
            </w:r>
          </w:p>
        </w:tc>
        <w:tc>
          <w:tcPr>
            <w:tcW w:w="1350" w:type="dxa"/>
            <w:tcBorders>
              <w:top w:val="nil"/>
              <w:left w:val="nil"/>
              <w:bottom w:val="single" w:sz="4" w:space="0" w:color="auto"/>
              <w:right w:val="single" w:sz="4" w:space="0" w:color="auto"/>
            </w:tcBorders>
          </w:tcPr>
          <w:p w14:paraId="7979FA89" w14:textId="77777777" w:rsidR="0071415F" w:rsidRPr="00446CF3" w:rsidRDefault="00CB0958" w:rsidP="007B26D1">
            <w:pPr>
              <w:bidi w:val="0"/>
              <w:spacing w:after="0" w:line="240" w:lineRule="auto"/>
              <w:jc w:val="center"/>
              <w:rPr>
                <w:rFonts w:asciiTheme="minorBidi" w:hAnsiTheme="minorBidi" w:cstheme="minorBidi"/>
                <w:color w:val="000000" w:themeColor="text1"/>
                <w:sz w:val="18"/>
                <w:szCs w:val="18"/>
                <w:rtl/>
              </w:rPr>
            </w:pPr>
            <w:r w:rsidRPr="00446CF3">
              <w:rPr>
                <w:rFonts w:asciiTheme="minorBidi" w:hAnsiTheme="minorBidi" w:cstheme="minorBidi"/>
                <w:color w:val="000000" w:themeColor="text1"/>
                <w:sz w:val="18"/>
                <w:szCs w:val="18"/>
              </w:rPr>
              <w:t>2.9</w:t>
            </w:r>
            <w:r w:rsidR="007B26D1" w:rsidRPr="00446CF3">
              <w:rPr>
                <w:rFonts w:asciiTheme="minorBidi" w:hAnsiTheme="minorBidi" w:cstheme="minorBidi"/>
                <w:color w:val="000000" w:themeColor="text1"/>
                <w:sz w:val="18"/>
                <w:szCs w:val="18"/>
              </w:rPr>
              <w:t xml:space="preserve"> </w:t>
            </w:r>
            <w:r w:rsidR="0071415F" w:rsidRPr="00446CF3">
              <w:rPr>
                <w:rFonts w:asciiTheme="minorBidi" w:hAnsiTheme="minorBidi" w:cstheme="minorBidi"/>
                <w:color w:val="000000" w:themeColor="text1"/>
                <w:sz w:val="18"/>
                <w:szCs w:val="18"/>
              </w:rPr>
              <w:t>(</w:t>
            </w:r>
            <w:r w:rsidR="007B26D1" w:rsidRPr="00446CF3">
              <w:rPr>
                <w:rFonts w:asciiTheme="minorBidi" w:hAnsiTheme="minorBidi" w:cstheme="minorBidi"/>
                <w:color w:val="000000" w:themeColor="text1"/>
                <w:sz w:val="18"/>
                <w:szCs w:val="18"/>
              </w:rPr>
              <w:t>2019</w:t>
            </w:r>
            <w:r w:rsidR="0071415F" w:rsidRPr="00446CF3">
              <w:rPr>
                <w:rFonts w:asciiTheme="minorBidi" w:hAnsiTheme="minorBidi" w:cstheme="minorBidi"/>
                <w:color w:val="000000" w:themeColor="text1"/>
                <w:sz w:val="18"/>
                <w:szCs w:val="18"/>
              </w:rPr>
              <w:t>)</w:t>
            </w:r>
          </w:p>
        </w:tc>
        <w:tc>
          <w:tcPr>
            <w:tcW w:w="1040" w:type="dxa"/>
            <w:tcBorders>
              <w:top w:val="nil"/>
              <w:left w:val="single" w:sz="4" w:space="0" w:color="auto"/>
              <w:bottom w:val="single" w:sz="4" w:space="0" w:color="auto"/>
              <w:right w:val="single" w:sz="4" w:space="0" w:color="auto"/>
            </w:tcBorders>
            <w:shd w:val="clear" w:color="auto" w:fill="auto"/>
            <w:noWrap/>
            <w:hideMark/>
          </w:tcPr>
          <w:p w14:paraId="578D4285" w14:textId="77777777" w:rsidR="0071415F" w:rsidRPr="00446CF3" w:rsidRDefault="00CB0958"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0.7</w:t>
            </w:r>
          </w:p>
        </w:tc>
        <w:tc>
          <w:tcPr>
            <w:tcW w:w="1817" w:type="dxa"/>
            <w:tcBorders>
              <w:top w:val="nil"/>
              <w:left w:val="single" w:sz="4" w:space="0" w:color="auto"/>
              <w:bottom w:val="single" w:sz="4" w:space="0" w:color="auto"/>
              <w:right w:val="single" w:sz="4" w:space="0" w:color="auto"/>
            </w:tcBorders>
          </w:tcPr>
          <w:p w14:paraId="613DBFC2" w14:textId="77777777" w:rsidR="0071415F" w:rsidRPr="00446CF3" w:rsidRDefault="007B26D1" w:rsidP="0071415F">
            <w:pPr>
              <w:bidi w:val="0"/>
              <w:spacing w:after="0" w:line="240" w:lineRule="auto"/>
              <w:jc w:val="center"/>
              <w:rPr>
                <w:rFonts w:asciiTheme="minorBidi" w:hAnsiTheme="minorBidi" w:cstheme="minorBidi"/>
                <w:color w:val="008000"/>
                <w:sz w:val="18"/>
                <w:szCs w:val="18"/>
              </w:rPr>
            </w:pPr>
            <w:r w:rsidRPr="00446CF3">
              <w:rPr>
                <w:rFonts w:asciiTheme="minorBidi" w:hAnsiTheme="minorBidi" w:cstheme="minorBidi"/>
                <w:sz w:val="18"/>
                <w:szCs w:val="18"/>
              </w:rPr>
              <w:t>Decrease</w:t>
            </w:r>
          </w:p>
        </w:tc>
      </w:tr>
      <w:tr w:rsidR="00E665C5" w:rsidRPr="00BD3E97" w14:paraId="6B3C3F09" w14:textId="77777777" w:rsidTr="007B26D1">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22B449C8" w14:textId="77777777" w:rsidR="0071415F" w:rsidRPr="00446CF3" w:rsidRDefault="0071415F" w:rsidP="0071415F">
            <w:pPr>
              <w:bidi w:val="0"/>
              <w:spacing w:after="0" w:line="240" w:lineRule="auto"/>
              <w:ind w:left="39"/>
              <w:jc w:val="both"/>
              <w:rPr>
                <w:rFonts w:asciiTheme="minorBidi" w:hAnsiTheme="minorBidi" w:cstheme="minorBidi"/>
                <w:color w:val="000000" w:themeColor="text1"/>
                <w:sz w:val="18"/>
                <w:szCs w:val="18"/>
              </w:rPr>
            </w:pPr>
            <w:r w:rsidRPr="00446CF3">
              <w:rPr>
                <w:rFonts w:asciiTheme="minorBidi" w:hAnsiTheme="minorBidi" w:cstheme="minorBidi"/>
                <w:b/>
                <w:bCs/>
                <w:color w:val="000000" w:themeColor="text1"/>
                <w:sz w:val="18"/>
                <w:szCs w:val="18"/>
              </w:rPr>
              <w:t>Indicator 8.10.1</w:t>
            </w:r>
            <w:r w:rsidRPr="00446CF3">
              <w:rPr>
                <w:rFonts w:asciiTheme="minorBidi" w:hAnsiTheme="minorBidi" w:cstheme="minorBidi"/>
                <w:color w:val="000000" w:themeColor="text1"/>
                <w:sz w:val="18"/>
                <w:szCs w:val="18"/>
              </w:rPr>
              <w:t xml:space="preserve"> (a) Number of commercial bank branches per 100,000 adults and (b) number of automated teller machines (ATMs) per 100,000 adults</w:t>
            </w:r>
          </w:p>
        </w:tc>
        <w:tc>
          <w:tcPr>
            <w:tcW w:w="1157" w:type="dxa"/>
            <w:tcBorders>
              <w:top w:val="single" w:sz="4" w:space="0" w:color="auto"/>
              <w:left w:val="nil"/>
              <w:right w:val="single" w:sz="4" w:space="0" w:color="auto"/>
            </w:tcBorders>
            <w:shd w:val="clear" w:color="auto" w:fill="auto"/>
            <w:noWrap/>
            <w:hideMark/>
          </w:tcPr>
          <w:p w14:paraId="797F3FE4"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p>
        </w:tc>
        <w:tc>
          <w:tcPr>
            <w:tcW w:w="1350" w:type="dxa"/>
            <w:tcBorders>
              <w:top w:val="single" w:sz="4" w:space="0" w:color="auto"/>
              <w:left w:val="nil"/>
              <w:right w:val="single" w:sz="4" w:space="0" w:color="auto"/>
            </w:tcBorders>
          </w:tcPr>
          <w:p w14:paraId="21C2FD8C"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tl/>
              </w:rPr>
            </w:pPr>
          </w:p>
        </w:tc>
        <w:tc>
          <w:tcPr>
            <w:tcW w:w="1040" w:type="dxa"/>
            <w:tcBorders>
              <w:top w:val="single" w:sz="4" w:space="0" w:color="auto"/>
              <w:left w:val="single" w:sz="4" w:space="0" w:color="auto"/>
              <w:right w:val="single" w:sz="4" w:space="0" w:color="auto"/>
            </w:tcBorders>
            <w:shd w:val="clear" w:color="auto" w:fill="auto"/>
            <w:noWrap/>
            <w:hideMark/>
          </w:tcPr>
          <w:p w14:paraId="5085B71B"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p>
        </w:tc>
        <w:tc>
          <w:tcPr>
            <w:tcW w:w="1817" w:type="dxa"/>
            <w:tcBorders>
              <w:top w:val="single" w:sz="4" w:space="0" w:color="auto"/>
              <w:left w:val="single" w:sz="4" w:space="0" w:color="auto"/>
              <w:right w:val="single" w:sz="4" w:space="0" w:color="auto"/>
            </w:tcBorders>
          </w:tcPr>
          <w:p w14:paraId="34CE5915" w14:textId="77777777" w:rsidR="0071415F" w:rsidRPr="00446CF3" w:rsidRDefault="0071415F" w:rsidP="0071415F">
            <w:pPr>
              <w:bidi w:val="0"/>
              <w:spacing w:after="0" w:line="240" w:lineRule="auto"/>
              <w:jc w:val="center"/>
              <w:rPr>
                <w:rFonts w:asciiTheme="minorBidi" w:hAnsiTheme="minorBidi" w:cstheme="minorBidi"/>
                <w:color w:val="FFC000"/>
                <w:sz w:val="18"/>
                <w:szCs w:val="18"/>
              </w:rPr>
            </w:pPr>
          </w:p>
        </w:tc>
      </w:tr>
      <w:tr w:rsidR="00E665C5" w:rsidRPr="00BD3E97" w14:paraId="12976510" w14:textId="77777777" w:rsidTr="007B26D1">
        <w:trPr>
          <w:trHeight w:val="310"/>
        </w:trPr>
        <w:tc>
          <w:tcPr>
            <w:tcW w:w="4626" w:type="dxa"/>
            <w:tcBorders>
              <w:top w:val="nil"/>
              <w:left w:val="single" w:sz="4" w:space="0" w:color="auto"/>
              <w:right w:val="single" w:sz="4" w:space="0" w:color="auto"/>
            </w:tcBorders>
            <w:shd w:val="clear" w:color="auto" w:fill="auto"/>
            <w:noWrap/>
            <w:vAlign w:val="center"/>
            <w:hideMark/>
          </w:tcPr>
          <w:p w14:paraId="014B3642" w14:textId="77777777" w:rsidR="0071415F" w:rsidRPr="00446CF3"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8.10.1.1 Number of commercial bank branches per 100,000 adults (UNSD, 2021, per100,000 adults)</w:t>
            </w:r>
          </w:p>
        </w:tc>
        <w:tc>
          <w:tcPr>
            <w:tcW w:w="1157" w:type="dxa"/>
            <w:tcBorders>
              <w:top w:val="nil"/>
              <w:left w:val="nil"/>
              <w:right w:val="single" w:sz="4" w:space="0" w:color="auto"/>
            </w:tcBorders>
            <w:shd w:val="clear" w:color="auto" w:fill="auto"/>
            <w:noWrap/>
            <w:hideMark/>
          </w:tcPr>
          <w:p w14:paraId="3D6D2A5D"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Identical</w:t>
            </w:r>
          </w:p>
        </w:tc>
        <w:tc>
          <w:tcPr>
            <w:tcW w:w="1350" w:type="dxa"/>
            <w:tcBorders>
              <w:top w:val="nil"/>
              <w:left w:val="nil"/>
              <w:right w:val="single" w:sz="4" w:space="0" w:color="auto"/>
            </w:tcBorders>
          </w:tcPr>
          <w:p w14:paraId="1FFF07F5"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tl/>
              </w:rPr>
            </w:pPr>
            <w:r w:rsidRPr="00446CF3">
              <w:rPr>
                <w:rFonts w:asciiTheme="minorBidi" w:hAnsiTheme="minorBidi" w:cstheme="minorBidi"/>
                <w:color w:val="000000" w:themeColor="text1"/>
                <w:sz w:val="18"/>
                <w:szCs w:val="18"/>
                <w:rtl/>
              </w:rPr>
              <w:t>13.0</w:t>
            </w:r>
            <w:r w:rsidR="000F757A" w:rsidRPr="00446CF3">
              <w:rPr>
                <w:rFonts w:asciiTheme="minorBidi" w:hAnsiTheme="minorBidi" w:cstheme="minorBidi"/>
                <w:color w:val="000000" w:themeColor="text1"/>
                <w:sz w:val="18"/>
                <w:szCs w:val="18"/>
              </w:rPr>
              <w:t>(2020)</w:t>
            </w:r>
          </w:p>
        </w:tc>
        <w:tc>
          <w:tcPr>
            <w:tcW w:w="1040" w:type="dxa"/>
            <w:tcBorders>
              <w:top w:val="nil"/>
              <w:left w:val="single" w:sz="4" w:space="0" w:color="auto"/>
              <w:right w:val="single" w:sz="4" w:space="0" w:color="auto"/>
            </w:tcBorders>
            <w:shd w:val="clear" w:color="auto" w:fill="auto"/>
            <w:noWrap/>
            <w:hideMark/>
          </w:tcPr>
          <w:p w14:paraId="15E0FC9A"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13.0</w:t>
            </w:r>
          </w:p>
        </w:tc>
        <w:tc>
          <w:tcPr>
            <w:tcW w:w="1817" w:type="dxa"/>
            <w:tcBorders>
              <w:top w:val="nil"/>
              <w:left w:val="single" w:sz="4" w:space="0" w:color="auto"/>
              <w:right w:val="single" w:sz="4" w:space="0" w:color="auto"/>
            </w:tcBorders>
          </w:tcPr>
          <w:p w14:paraId="73475511" w14:textId="77777777" w:rsidR="0071415F" w:rsidRPr="00446CF3" w:rsidRDefault="0071415F" w:rsidP="0071415F">
            <w:pPr>
              <w:bidi w:val="0"/>
              <w:spacing w:after="0" w:line="240" w:lineRule="auto"/>
              <w:jc w:val="center"/>
              <w:rPr>
                <w:rFonts w:asciiTheme="minorBidi" w:hAnsiTheme="minorBidi" w:cstheme="minorBidi"/>
                <w:sz w:val="18"/>
                <w:szCs w:val="18"/>
              </w:rPr>
            </w:pPr>
            <w:r w:rsidRPr="00446CF3">
              <w:rPr>
                <w:rFonts w:asciiTheme="minorBidi" w:hAnsiTheme="minorBidi" w:cstheme="minorBidi"/>
                <w:sz w:val="18"/>
                <w:szCs w:val="18"/>
              </w:rPr>
              <w:t>N</w:t>
            </w:r>
            <w:r w:rsidR="0002157E" w:rsidRPr="00446CF3">
              <w:rPr>
                <w:rFonts w:asciiTheme="minorBidi" w:hAnsiTheme="minorBidi" w:cstheme="minorBidi"/>
                <w:sz w:val="18"/>
                <w:szCs w:val="18"/>
              </w:rPr>
              <w:t>o</w:t>
            </w:r>
            <w:r w:rsidRPr="00446CF3">
              <w:rPr>
                <w:rFonts w:asciiTheme="minorBidi" w:hAnsiTheme="minorBidi" w:cstheme="minorBidi"/>
                <w:sz w:val="18"/>
                <w:szCs w:val="18"/>
              </w:rPr>
              <w:t xml:space="preserve"> change</w:t>
            </w:r>
          </w:p>
        </w:tc>
      </w:tr>
      <w:tr w:rsidR="00E665C5" w:rsidRPr="00BD3E97" w14:paraId="46E13593" w14:textId="77777777" w:rsidTr="007B26D1">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550CE244" w14:textId="77777777" w:rsidR="0071415F" w:rsidRPr="00446CF3"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8.10.1.2 Number of automated teller machines (ATMs) per 100,000 adults (UNSD, 2021, per100,000 adults)</w:t>
            </w:r>
          </w:p>
        </w:tc>
        <w:tc>
          <w:tcPr>
            <w:tcW w:w="1157" w:type="dxa"/>
            <w:tcBorders>
              <w:top w:val="nil"/>
              <w:left w:val="nil"/>
              <w:bottom w:val="single" w:sz="4" w:space="0" w:color="auto"/>
              <w:right w:val="single" w:sz="4" w:space="0" w:color="auto"/>
            </w:tcBorders>
            <w:shd w:val="clear" w:color="auto" w:fill="auto"/>
            <w:noWrap/>
            <w:hideMark/>
          </w:tcPr>
          <w:p w14:paraId="6A51212B"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Identical</w:t>
            </w:r>
          </w:p>
        </w:tc>
        <w:tc>
          <w:tcPr>
            <w:tcW w:w="1350" w:type="dxa"/>
            <w:tcBorders>
              <w:top w:val="nil"/>
              <w:left w:val="nil"/>
              <w:bottom w:val="single" w:sz="4" w:space="0" w:color="auto"/>
              <w:right w:val="single" w:sz="4" w:space="0" w:color="auto"/>
            </w:tcBorders>
          </w:tcPr>
          <w:p w14:paraId="45725FFD"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tl/>
              </w:rPr>
            </w:pPr>
            <w:r w:rsidRPr="00446CF3">
              <w:rPr>
                <w:rFonts w:asciiTheme="minorBidi" w:hAnsiTheme="minorBidi" w:cstheme="minorBidi"/>
                <w:color w:val="000000" w:themeColor="text1"/>
                <w:sz w:val="18"/>
                <w:szCs w:val="18"/>
                <w:rtl/>
              </w:rPr>
              <w:t>25.0</w:t>
            </w:r>
            <w:r w:rsidRPr="00446CF3">
              <w:rPr>
                <w:rFonts w:asciiTheme="minorBidi" w:hAnsiTheme="minorBidi" w:cstheme="minorBidi"/>
                <w:color w:val="000000" w:themeColor="text1"/>
                <w:sz w:val="18"/>
                <w:szCs w:val="18"/>
              </w:rPr>
              <w:t xml:space="preserve"> (2020)</w:t>
            </w:r>
          </w:p>
        </w:tc>
        <w:tc>
          <w:tcPr>
            <w:tcW w:w="1040" w:type="dxa"/>
            <w:tcBorders>
              <w:top w:val="nil"/>
              <w:left w:val="single" w:sz="4" w:space="0" w:color="auto"/>
              <w:bottom w:val="single" w:sz="4" w:space="0" w:color="auto"/>
              <w:right w:val="single" w:sz="4" w:space="0" w:color="auto"/>
            </w:tcBorders>
            <w:shd w:val="clear" w:color="auto" w:fill="auto"/>
            <w:noWrap/>
            <w:hideMark/>
          </w:tcPr>
          <w:p w14:paraId="4FD93FEE"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24.0</w:t>
            </w:r>
          </w:p>
        </w:tc>
        <w:tc>
          <w:tcPr>
            <w:tcW w:w="1817" w:type="dxa"/>
            <w:tcBorders>
              <w:top w:val="nil"/>
              <w:left w:val="single" w:sz="4" w:space="0" w:color="auto"/>
              <w:bottom w:val="single" w:sz="4" w:space="0" w:color="auto"/>
              <w:right w:val="single" w:sz="4" w:space="0" w:color="auto"/>
            </w:tcBorders>
          </w:tcPr>
          <w:p w14:paraId="5C767130" w14:textId="77777777" w:rsidR="0071415F" w:rsidRPr="00446CF3" w:rsidRDefault="00235105" w:rsidP="0071415F">
            <w:pPr>
              <w:bidi w:val="0"/>
              <w:spacing w:after="0" w:line="240" w:lineRule="auto"/>
              <w:jc w:val="center"/>
              <w:rPr>
                <w:rFonts w:asciiTheme="minorBidi" w:hAnsiTheme="minorBidi" w:cstheme="minorBidi"/>
                <w:sz w:val="18"/>
                <w:szCs w:val="18"/>
              </w:rPr>
            </w:pPr>
            <w:r w:rsidRPr="00446CF3">
              <w:rPr>
                <w:rFonts w:asciiTheme="minorBidi" w:hAnsiTheme="minorBidi" w:cstheme="minorBidi"/>
                <w:sz w:val="18"/>
                <w:szCs w:val="18"/>
              </w:rPr>
              <w:t>D</w:t>
            </w:r>
            <w:r w:rsidR="00475589" w:rsidRPr="00446CF3">
              <w:rPr>
                <w:rFonts w:asciiTheme="minorBidi" w:hAnsiTheme="minorBidi" w:cstheme="minorBidi"/>
                <w:sz w:val="18"/>
                <w:szCs w:val="18"/>
              </w:rPr>
              <w:t>ecrease</w:t>
            </w:r>
          </w:p>
        </w:tc>
      </w:tr>
      <w:tr w:rsidR="00E665C5" w:rsidRPr="00BD3E97" w14:paraId="29225351" w14:textId="77777777" w:rsidTr="007B26D1">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48D11AE6" w14:textId="77777777" w:rsidR="0071415F" w:rsidRPr="00446CF3" w:rsidRDefault="0071415F" w:rsidP="0071415F">
            <w:pPr>
              <w:bidi w:val="0"/>
              <w:spacing w:after="0" w:line="240" w:lineRule="auto"/>
              <w:ind w:left="39"/>
              <w:jc w:val="both"/>
              <w:rPr>
                <w:rFonts w:asciiTheme="minorBidi" w:hAnsiTheme="minorBidi" w:cstheme="minorBidi"/>
                <w:color w:val="000000" w:themeColor="text1"/>
                <w:sz w:val="18"/>
                <w:szCs w:val="18"/>
              </w:rPr>
            </w:pPr>
            <w:r w:rsidRPr="00446CF3">
              <w:rPr>
                <w:rFonts w:asciiTheme="minorBidi" w:hAnsiTheme="minorBidi" w:cstheme="minorBidi"/>
                <w:b/>
                <w:bCs/>
                <w:color w:val="000000" w:themeColor="text1"/>
                <w:sz w:val="18"/>
                <w:szCs w:val="18"/>
              </w:rPr>
              <w:t>Indicator 8.10.2</w:t>
            </w:r>
            <w:r w:rsidRPr="00446CF3">
              <w:rPr>
                <w:rFonts w:asciiTheme="minorBidi" w:hAnsiTheme="minorBidi" w:cstheme="minorBidi"/>
                <w:color w:val="000000" w:themeColor="text1"/>
                <w:sz w:val="18"/>
                <w:szCs w:val="18"/>
              </w:rPr>
              <w:t xml:space="preserve"> Proportion of adults (15 years and older) with an account at a bank or other financial institution or with a mobile-money-service provider</w:t>
            </w:r>
          </w:p>
        </w:tc>
        <w:tc>
          <w:tcPr>
            <w:tcW w:w="1157" w:type="dxa"/>
            <w:tcBorders>
              <w:top w:val="single" w:sz="4" w:space="0" w:color="auto"/>
              <w:left w:val="nil"/>
              <w:right w:val="single" w:sz="4" w:space="0" w:color="auto"/>
            </w:tcBorders>
            <w:shd w:val="clear" w:color="auto" w:fill="auto"/>
            <w:noWrap/>
            <w:hideMark/>
          </w:tcPr>
          <w:p w14:paraId="1901C2DF"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p>
        </w:tc>
        <w:tc>
          <w:tcPr>
            <w:tcW w:w="1350" w:type="dxa"/>
            <w:tcBorders>
              <w:top w:val="single" w:sz="4" w:space="0" w:color="auto"/>
              <w:left w:val="nil"/>
              <w:right w:val="single" w:sz="4" w:space="0" w:color="auto"/>
            </w:tcBorders>
          </w:tcPr>
          <w:p w14:paraId="739DAC44"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tl/>
              </w:rPr>
            </w:pPr>
          </w:p>
        </w:tc>
        <w:tc>
          <w:tcPr>
            <w:tcW w:w="1040" w:type="dxa"/>
            <w:tcBorders>
              <w:top w:val="single" w:sz="4" w:space="0" w:color="auto"/>
              <w:left w:val="single" w:sz="4" w:space="0" w:color="auto"/>
              <w:right w:val="single" w:sz="4" w:space="0" w:color="auto"/>
            </w:tcBorders>
            <w:shd w:val="clear" w:color="auto" w:fill="auto"/>
            <w:noWrap/>
            <w:hideMark/>
          </w:tcPr>
          <w:p w14:paraId="02E6A2F2" w14:textId="77777777" w:rsidR="0071415F" w:rsidRPr="00446CF3" w:rsidRDefault="0071415F" w:rsidP="0071415F">
            <w:pPr>
              <w:bidi w:val="0"/>
              <w:spacing w:after="0" w:line="240" w:lineRule="auto"/>
              <w:jc w:val="center"/>
              <w:rPr>
                <w:rFonts w:asciiTheme="minorBidi" w:hAnsiTheme="minorBidi" w:cstheme="minorBidi"/>
                <w:color w:val="000000" w:themeColor="text1"/>
                <w:sz w:val="18"/>
                <w:szCs w:val="18"/>
              </w:rPr>
            </w:pPr>
          </w:p>
        </w:tc>
        <w:tc>
          <w:tcPr>
            <w:tcW w:w="1817" w:type="dxa"/>
            <w:tcBorders>
              <w:top w:val="single" w:sz="4" w:space="0" w:color="auto"/>
              <w:left w:val="single" w:sz="4" w:space="0" w:color="auto"/>
              <w:right w:val="single" w:sz="4" w:space="0" w:color="auto"/>
            </w:tcBorders>
          </w:tcPr>
          <w:p w14:paraId="6505C34D" w14:textId="77777777" w:rsidR="0071415F" w:rsidRPr="00446CF3" w:rsidRDefault="0071415F" w:rsidP="0071415F">
            <w:pPr>
              <w:bidi w:val="0"/>
              <w:spacing w:after="0" w:line="240" w:lineRule="auto"/>
              <w:jc w:val="center"/>
              <w:rPr>
                <w:rFonts w:asciiTheme="minorBidi" w:hAnsiTheme="minorBidi" w:cstheme="minorBidi"/>
                <w:sz w:val="18"/>
                <w:szCs w:val="18"/>
              </w:rPr>
            </w:pPr>
          </w:p>
        </w:tc>
      </w:tr>
      <w:tr w:rsidR="00CB0958" w:rsidRPr="00BD3E97" w14:paraId="58277557" w14:textId="77777777" w:rsidTr="007B26D1">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24E31BF3" w14:textId="77777777" w:rsidR="00CB0958" w:rsidRPr="00446CF3" w:rsidRDefault="00CB0958" w:rsidP="00CB0958">
            <w:pPr>
              <w:tabs>
                <w:tab w:val="left" w:pos="9072"/>
              </w:tabs>
              <w:bidi w:val="0"/>
              <w:spacing w:after="0" w:line="240" w:lineRule="auto"/>
              <w:ind w:left="336"/>
              <w:jc w:val="both"/>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Proportion of adults (15 years and older) with an account at a bank or other financial institution or with a mobile-money-service provider (UNSD, 2022, percentage)</w:t>
            </w:r>
          </w:p>
        </w:tc>
        <w:tc>
          <w:tcPr>
            <w:tcW w:w="1157" w:type="dxa"/>
            <w:tcBorders>
              <w:top w:val="nil"/>
              <w:left w:val="nil"/>
              <w:bottom w:val="single" w:sz="4" w:space="0" w:color="auto"/>
              <w:right w:val="single" w:sz="4" w:space="0" w:color="auto"/>
            </w:tcBorders>
            <w:shd w:val="clear" w:color="auto" w:fill="auto"/>
            <w:noWrap/>
            <w:hideMark/>
          </w:tcPr>
          <w:p w14:paraId="37B404BB" w14:textId="77777777" w:rsidR="00CB0958" w:rsidRPr="00446CF3" w:rsidRDefault="00CB0958" w:rsidP="00CB0958">
            <w:pPr>
              <w:bidi w:val="0"/>
              <w:spacing w:after="0" w:line="240" w:lineRule="auto"/>
              <w:jc w:val="center"/>
              <w:rPr>
                <w:rFonts w:asciiTheme="minorBidi" w:hAnsiTheme="minorBidi" w:cstheme="minorBidi"/>
                <w:color w:val="000000" w:themeColor="text1"/>
                <w:sz w:val="18"/>
                <w:szCs w:val="18"/>
              </w:rPr>
            </w:pPr>
            <w:r w:rsidRPr="00446CF3">
              <w:rPr>
                <w:rFonts w:asciiTheme="minorBidi" w:hAnsiTheme="minorBidi" w:cstheme="minorBidi"/>
                <w:color w:val="000000" w:themeColor="text1"/>
                <w:sz w:val="18"/>
                <w:szCs w:val="18"/>
              </w:rPr>
              <w:t>Identical</w:t>
            </w:r>
          </w:p>
        </w:tc>
        <w:tc>
          <w:tcPr>
            <w:tcW w:w="1350" w:type="dxa"/>
            <w:tcBorders>
              <w:top w:val="nil"/>
              <w:left w:val="nil"/>
              <w:bottom w:val="single" w:sz="4" w:space="0" w:color="auto"/>
              <w:right w:val="single" w:sz="4" w:space="0" w:color="auto"/>
            </w:tcBorders>
          </w:tcPr>
          <w:p w14:paraId="10265067" w14:textId="77777777" w:rsidR="00CB0958" w:rsidRPr="00446CF3" w:rsidRDefault="00CB0958" w:rsidP="00CB0958">
            <w:pPr>
              <w:spacing w:after="0" w:line="240" w:lineRule="auto"/>
              <w:jc w:val="center"/>
              <w:rPr>
                <w:rFonts w:ascii="Simplified Arabic" w:hAnsi="Simplified Arabic" w:cs="Simplified Arabic"/>
                <w:sz w:val="18"/>
                <w:szCs w:val="18"/>
                <w:rtl/>
              </w:rPr>
            </w:pPr>
            <w:r w:rsidRPr="00446CF3">
              <w:rPr>
                <w:rFonts w:ascii="Simplified Arabic" w:hAnsi="Simplified Arabic" w:cs="Simplified Arabic"/>
                <w:sz w:val="18"/>
                <w:szCs w:val="18"/>
              </w:rPr>
              <w:t>46.0 (2021)</w:t>
            </w:r>
          </w:p>
        </w:tc>
        <w:tc>
          <w:tcPr>
            <w:tcW w:w="1040" w:type="dxa"/>
            <w:tcBorders>
              <w:top w:val="nil"/>
              <w:left w:val="single" w:sz="4" w:space="0" w:color="auto"/>
              <w:bottom w:val="single" w:sz="4" w:space="0" w:color="auto"/>
              <w:right w:val="single" w:sz="4" w:space="0" w:color="auto"/>
            </w:tcBorders>
            <w:shd w:val="clear" w:color="auto" w:fill="auto"/>
            <w:noWrap/>
            <w:hideMark/>
          </w:tcPr>
          <w:p w14:paraId="28E74A6C" w14:textId="77777777" w:rsidR="00CB0958" w:rsidRPr="00446CF3" w:rsidRDefault="00CB0958" w:rsidP="00CB0958">
            <w:pPr>
              <w:spacing w:after="0" w:line="240" w:lineRule="auto"/>
              <w:jc w:val="center"/>
              <w:rPr>
                <w:rFonts w:ascii="Simplified Arabic" w:hAnsi="Simplified Arabic" w:cs="Simplified Arabic"/>
                <w:sz w:val="18"/>
                <w:szCs w:val="18"/>
                <w:rtl/>
              </w:rPr>
            </w:pPr>
            <w:r w:rsidRPr="00446CF3">
              <w:rPr>
                <w:rFonts w:ascii="Simplified Arabic" w:hAnsi="Simplified Arabic" w:cs="Simplified Arabic"/>
                <w:sz w:val="18"/>
                <w:szCs w:val="18"/>
              </w:rPr>
              <w:t>50.0</w:t>
            </w:r>
          </w:p>
        </w:tc>
        <w:tc>
          <w:tcPr>
            <w:tcW w:w="1817" w:type="dxa"/>
            <w:tcBorders>
              <w:top w:val="nil"/>
              <w:left w:val="single" w:sz="4" w:space="0" w:color="auto"/>
              <w:bottom w:val="single" w:sz="4" w:space="0" w:color="auto"/>
              <w:right w:val="single" w:sz="4" w:space="0" w:color="auto"/>
            </w:tcBorders>
          </w:tcPr>
          <w:p w14:paraId="4C1EE441" w14:textId="77777777" w:rsidR="00CB0958" w:rsidRPr="00446CF3" w:rsidRDefault="00CB0958" w:rsidP="00CB0958">
            <w:pPr>
              <w:bidi w:val="0"/>
              <w:spacing w:after="0" w:line="240" w:lineRule="auto"/>
              <w:jc w:val="center"/>
              <w:rPr>
                <w:rFonts w:asciiTheme="minorBidi" w:hAnsiTheme="minorBidi" w:cstheme="minorBidi"/>
                <w:color w:val="008000"/>
                <w:sz w:val="18"/>
                <w:szCs w:val="18"/>
              </w:rPr>
            </w:pPr>
            <w:r w:rsidRPr="00446CF3">
              <w:rPr>
                <w:rFonts w:asciiTheme="minorBidi" w:hAnsiTheme="minorBidi" w:cstheme="minorBidi"/>
                <w:sz w:val="18"/>
                <w:szCs w:val="18"/>
              </w:rPr>
              <w:t>Increase</w:t>
            </w:r>
          </w:p>
        </w:tc>
      </w:tr>
      <w:tr w:rsidR="00E665C5" w:rsidRPr="00BD3E97" w14:paraId="7A84950D" w14:textId="77777777" w:rsidTr="007B26D1">
        <w:trPr>
          <w:trHeight w:val="389"/>
        </w:trPr>
        <w:tc>
          <w:tcPr>
            <w:tcW w:w="4626" w:type="dxa"/>
            <w:tcBorders>
              <w:top w:val="single" w:sz="4" w:space="0" w:color="auto"/>
              <w:left w:val="single" w:sz="4" w:space="0" w:color="auto"/>
              <w:right w:val="single" w:sz="4" w:space="0" w:color="auto"/>
            </w:tcBorders>
            <w:shd w:val="clear" w:color="auto" w:fill="auto"/>
            <w:noWrap/>
            <w:vAlign w:val="center"/>
          </w:tcPr>
          <w:p w14:paraId="7CCD81BD" w14:textId="77777777" w:rsidR="0071415F" w:rsidRPr="00446CF3" w:rsidRDefault="0071415F" w:rsidP="0071415F">
            <w:pPr>
              <w:tabs>
                <w:tab w:val="left" w:pos="9072"/>
              </w:tabs>
              <w:bidi w:val="0"/>
              <w:spacing w:after="0" w:line="240" w:lineRule="auto"/>
              <w:jc w:val="both"/>
              <w:rPr>
                <w:rFonts w:asciiTheme="minorBidi" w:hAnsiTheme="minorBidi" w:cstheme="minorBidi"/>
                <w:sz w:val="18"/>
                <w:szCs w:val="18"/>
              </w:rPr>
            </w:pPr>
            <w:r w:rsidRPr="00446CF3">
              <w:rPr>
                <w:rFonts w:asciiTheme="minorBidi" w:hAnsiTheme="minorBidi" w:cstheme="minorBidi"/>
                <w:b/>
                <w:bCs/>
                <w:sz w:val="18"/>
                <w:szCs w:val="18"/>
              </w:rPr>
              <w:t>Indicator 8.a.1</w:t>
            </w:r>
            <w:r w:rsidRPr="00446CF3">
              <w:rPr>
                <w:rFonts w:asciiTheme="minorBidi" w:hAnsiTheme="minorBidi" w:cstheme="minorBidi"/>
                <w:sz w:val="18"/>
                <w:szCs w:val="18"/>
              </w:rPr>
              <w:t xml:space="preserve"> Total official flows for Aid for Trade.</w:t>
            </w:r>
          </w:p>
        </w:tc>
        <w:tc>
          <w:tcPr>
            <w:tcW w:w="1157" w:type="dxa"/>
            <w:tcBorders>
              <w:top w:val="single" w:sz="4" w:space="0" w:color="auto"/>
              <w:left w:val="nil"/>
              <w:right w:val="single" w:sz="4" w:space="0" w:color="auto"/>
            </w:tcBorders>
            <w:shd w:val="clear" w:color="auto" w:fill="auto"/>
            <w:noWrap/>
          </w:tcPr>
          <w:p w14:paraId="72F72884" w14:textId="77777777" w:rsidR="0071415F" w:rsidRPr="00446CF3" w:rsidRDefault="0071415F" w:rsidP="0071415F">
            <w:pPr>
              <w:bidi w:val="0"/>
              <w:spacing w:after="0" w:line="240" w:lineRule="auto"/>
              <w:jc w:val="center"/>
              <w:rPr>
                <w:rFonts w:asciiTheme="minorBidi" w:hAnsiTheme="minorBidi" w:cstheme="minorBidi"/>
                <w:sz w:val="18"/>
                <w:szCs w:val="18"/>
              </w:rPr>
            </w:pPr>
          </w:p>
        </w:tc>
        <w:tc>
          <w:tcPr>
            <w:tcW w:w="1350" w:type="dxa"/>
            <w:tcBorders>
              <w:top w:val="single" w:sz="4" w:space="0" w:color="auto"/>
              <w:left w:val="nil"/>
              <w:right w:val="single" w:sz="4" w:space="0" w:color="auto"/>
            </w:tcBorders>
          </w:tcPr>
          <w:p w14:paraId="0EDA4FB6" w14:textId="77777777" w:rsidR="0071415F" w:rsidRPr="00446CF3" w:rsidRDefault="0071415F" w:rsidP="0071415F">
            <w:pPr>
              <w:bidi w:val="0"/>
              <w:spacing w:after="0" w:line="240" w:lineRule="auto"/>
              <w:jc w:val="center"/>
              <w:rPr>
                <w:rFonts w:asciiTheme="minorBidi" w:hAnsiTheme="minorBidi" w:cstheme="minorBidi"/>
                <w:sz w:val="18"/>
                <w:szCs w:val="18"/>
                <w:rtl/>
              </w:rPr>
            </w:pPr>
          </w:p>
        </w:tc>
        <w:tc>
          <w:tcPr>
            <w:tcW w:w="1040" w:type="dxa"/>
            <w:tcBorders>
              <w:top w:val="single" w:sz="4" w:space="0" w:color="auto"/>
              <w:left w:val="single" w:sz="4" w:space="0" w:color="auto"/>
              <w:right w:val="single" w:sz="4" w:space="0" w:color="auto"/>
            </w:tcBorders>
            <w:shd w:val="clear" w:color="auto" w:fill="auto"/>
            <w:noWrap/>
          </w:tcPr>
          <w:p w14:paraId="6830A10D" w14:textId="77777777" w:rsidR="0071415F" w:rsidRPr="00446CF3" w:rsidRDefault="0071415F" w:rsidP="0071415F">
            <w:pPr>
              <w:bidi w:val="0"/>
              <w:spacing w:after="0" w:line="240" w:lineRule="auto"/>
              <w:jc w:val="center"/>
              <w:rPr>
                <w:rFonts w:asciiTheme="minorBidi" w:hAnsiTheme="minorBidi" w:cstheme="minorBidi"/>
                <w:sz w:val="18"/>
                <w:szCs w:val="18"/>
              </w:rPr>
            </w:pPr>
          </w:p>
        </w:tc>
        <w:tc>
          <w:tcPr>
            <w:tcW w:w="1817" w:type="dxa"/>
            <w:tcBorders>
              <w:top w:val="single" w:sz="4" w:space="0" w:color="auto"/>
              <w:left w:val="single" w:sz="4" w:space="0" w:color="auto"/>
              <w:right w:val="single" w:sz="4" w:space="0" w:color="auto"/>
            </w:tcBorders>
          </w:tcPr>
          <w:p w14:paraId="2C9F68CF" w14:textId="77777777" w:rsidR="0071415F" w:rsidRPr="00446CF3" w:rsidRDefault="0071415F" w:rsidP="0071415F">
            <w:pPr>
              <w:bidi w:val="0"/>
              <w:spacing w:after="0" w:line="240" w:lineRule="auto"/>
              <w:jc w:val="center"/>
              <w:rPr>
                <w:rFonts w:asciiTheme="minorBidi" w:hAnsiTheme="minorBidi" w:cstheme="minorBidi"/>
                <w:sz w:val="18"/>
                <w:szCs w:val="18"/>
              </w:rPr>
            </w:pPr>
          </w:p>
        </w:tc>
      </w:tr>
      <w:tr w:rsidR="00D5695C" w:rsidRPr="00BD3E97" w14:paraId="5481E1C3" w14:textId="77777777" w:rsidTr="007B26D1">
        <w:trPr>
          <w:trHeight w:val="389"/>
        </w:trPr>
        <w:tc>
          <w:tcPr>
            <w:tcW w:w="4626" w:type="dxa"/>
            <w:tcBorders>
              <w:left w:val="single" w:sz="4" w:space="0" w:color="auto"/>
              <w:right w:val="single" w:sz="4" w:space="0" w:color="auto"/>
            </w:tcBorders>
            <w:shd w:val="clear" w:color="auto" w:fill="auto"/>
            <w:noWrap/>
            <w:vAlign w:val="center"/>
          </w:tcPr>
          <w:p w14:paraId="4B571B58" w14:textId="77777777" w:rsidR="00D5695C" w:rsidRPr="00446CF3" w:rsidRDefault="00D5695C" w:rsidP="00D5695C">
            <w:pPr>
              <w:tabs>
                <w:tab w:val="left" w:pos="9072"/>
              </w:tabs>
              <w:bidi w:val="0"/>
              <w:spacing w:after="0" w:line="240" w:lineRule="auto"/>
              <w:ind w:left="336"/>
              <w:jc w:val="both"/>
              <w:rPr>
                <w:rFonts w:asciiTheme="minorBidi" w:hAnsiTheme="minorBidi" w:cstheme="minorBidi"/>
                <w:sz w:val="18"/>
                <w:szCs w:val="18"/>
              </w:rPr>
            </w:pPr>
            <w:r w:rsidRPr="00446CF3">
              <w:rPr>
                <w:rFonts w:asciiTheme="minorBidi" w:hAnsiTheme="minorBidi" w:cstheme="minorBidi"/>
                <w:sz w:val="18"/>
                <w:szCs w:val="18"/>
              </w:rPr>
              <w:t>8.a.1.1 Total official flows (commitments) for Aid for Trade. (UNSD, 2021, Million USD)</w:t>
            </w:r>
          </w:p>
        </w:tc>
        <w:tc>
          <w:tcPr>
            <w:tcW w:w="1157" w:type="dxa"/>
            <w:tcBorders>
              <w:left w:val="nil"/>
              <w:right w:val="single" w:sz="4" w:space="0" w:color="auto"/>
            </w:tcBorders>
            <w:shd w:val="clear" w:color="auto" w:fill="auto"/>
            <w:noWrap/>
          </w:tcPr>
          <w:p w14:paraId="67C0D01D" w14:textId="77777777" w:rsidR="00D5695C" w:rsidRPr="00446CF3" w:rsidRDefault="00D5695C" w:rsidP="00D5695C">
            <w:pPr>
              <w:bidi w:val="0"/>
              <w:spacing w:after="0" w:line="240" w:lineRule="auto"/>
              <w:jc w:val="center"/>
              <w:rPr>
                <w:rFonts w:asciiTheme="minorBidi" w:hAnsiTheme="minorBidi" w:cstheme="minorBidi"/>
                <w:sz w:val="18"/>
                <w:szCs w:val="18"/>
              </w:rPr>
            </w:pPr>
            <w:r w:rsidRPr="00446CF3">
              <w:rPr>
                <w:rFonts w:asciiTheme="minorBidi" w:hAnsiTheme="minorBidi" w:cstheme="minorBidi"/>
                <w:sz w:val="18"/>
                <w:szCs w:val="18"/>
              </w:rPr>
              <w:t>Identical</w:t>
            </w:r>
          </w:p>
        </w:tc>
        <w:tc>
          <w:tcPr>
            <w:tcW w:w="1350" w:type="dxa"/>
            <w:tcBorders>
              <w:left w:val="nil"/>
              <w:right w:val="single" w:sz="4" w:space="0" w:color="auto"/>
            </w:tcBorders>
          </w:tcPr>
          <w:p w14:paraId="6AFCDDDF" w14:textId="77777777" w:rsidR="00D5695C" w:rsidRPr="00446CF3" w:rsidRDefault="00D5695C" w:rsidP="00D5695C">
            <w:pPr>
              <w:spacing w:after="0" w:line="240" w:lineRule="auto"/>
              <w:jc w:val="center"/>
              <w:rPr>
                <w:rFonts w:ascii="Simplified Arabic" w:hAnsi="Simplified Arabic" w:cs="Simplified Arabic"/>
                <w:sz w:val="18"/>
                <w:szCs w:val="18"/>
                <w:rtl/>
              </w:rPr>
            </w:pPr>
            <w:r w:rsidRPr="00446CF3">
              <w:rPr>
                <w:rFonts w:ascii="Simplified Arabic" w:hAnsi="Simplified Arabic" w:cs="Simplified Arabic"/>
                <w:sz w:val="18"/>
                <w:szCs w:val="18"/>
              </w:rPr>
              <w:t>152.4 (2020)</w:t>
            </w:r>
          </w:p>
        </w:tc>
        <w:tc>
          <w:tcPr>
            <w:tcW w:w="1040" w:type="dxa"/>
            <w:tcBorders>
              <w:left w:val="single" w:sz="4" w:space="0" w:color="auto"/>
              <w:right w:val="single" w:sz="4" w:space="0" w:color="auto"/>
            </w:tcBorders>
            <w:shd w:val="clear" w:color="auto" w:fill="auto"/>
            <w:noWrap/>
          </w:tcPr>
          <w:p w14:paraId="01D89F17" w14:textId="77777777" w:rsidR="00D5695C" w:rsidRPr="00446CF3" w:rsidRDefault="00D5695C" w:rsidP="00D5695C">
            <w:pPr>
              <w:spacing w:after="0" w:line="240" w:lineRule="auto"/>
              <w:jc w:val="center"/>
              <w:rPr>
                <w:rFonts w:ascii="Simplified Arabic" w:hAnsi="Simplified Arabic" w:cs="Simplified Arabic"/>
                <w:sz w:val="18"/>
                <w:szCs w:val="18"/>
                <w:rtl/>
              </w:rPr>
            </w:pPr>
            <w:r w:rsidRPr="00446CF3">
              <w:rPr>
                <w:rFonts w:ascii="Simplified Arabic" w:hAnsi="Simplified Arabic" w:cs="Simplified Arabic"/>
                <w:sz w:val="18"/>
                <w:szCs w:val="18"/>
              </w:rPr>
              <w:t>107.5</w:t>
            </w:r>
          </w:p>
        </w:tc>
        <w:tc>
          <w:tcPr>
            <w:tcW w:w="1817" w:type="dxa"/>
            <w:tcBorders>
              <w:left w:val="single" w:sz="4" w:space="0" w:color="auto"/>
              <w:right w:val="single" w:sz="4" w:space="0" w:color="auto"/>
            </w:tcBorders>
          </w:tcPr>
          <w:p w14:paraId="6E5BD832" w14:textId="77777777" w:rsidR="00D5695C" w:rsidRPr="00446CF3" w:rsidRDefault="00D5695C" w:rsidP="00D5695C">
            <w:pPr>
              <w:bidi w:val="0"/>
              <w:spacing w:after="0" w:line="240" w:lineRule="auto"/>
              <w:jc w:val="center"/>
              <w:rPr>
                <w:rFonts w:asciiTheme="minorBidi" w:hAnsiTheme="minorBidi" w:cstheme="minorBidi"/>
                <w:sz w:val="18"/>
                <w:szCs w:val="18"/>
              </w:rPr>
            </w:pPr>
            <w:r w:rsidRPr="00446CF3">
              <w:rPr>
                <w:rFonts w:asciiTheme="minorBidi" w:hAnsiTheme="minorBidi" w:cstheme="minorBidi"/>
                <w:sz w:val="18"/>
                <w:szCs w:val="18"/>
              </w:rPr>
              <w:t>Decrease</w:t>
            </w:r>
          </w:p>
        </w:tc>
      </w:tr>
      <w:tr w:rsidR="00CB0958" w:rsidRPr="00BD3E97" w14:paraId="4F448C22" w14:textId="77777777" w:rsidTr="007B26D1">
        <w:trPr>
          <w:trHeight w:val="389"/>
        </w:trPr>
        <w:tc>
          <w:tcPr>
            <w:tcW w:w="4626" w:type="dxa"/>
            <w:tcBorders>
              <w:left w:val="single" w:sz="4" w:space="0" w:color="auto"/>
              <w:bottom w:val="single" w:sz="4" w:space="0" w:color="auto"/>
              <w:right w:val="single" w:sz="4" w:space="0" w:color="auto"/>
            </w:tcBorders>
            <w:shd w:val="clear" w:color="auto" w:fill="auto"/>
            <w:noWrap/>
            <w:vAlign w:val="center"/>
          </w:tcPr>
          <w:p w14:paraId="15BEE077" w14:textId="77777777" w:rsidR="00CB0958" w:rsidRPr="00446CF3" w:rsidRDefault="00CB0958" w:rsidP="00CB0958">
            <w:pPr>
              <w:tabs>
                <w:tab w:val="left" w:pos="9072"/>
              </w:tabs>
              <w:bidi w:val="0"/>
              <w:spacing w:after="0" w:line="240" w:lineRule="auto"/>
              <w:ind w:left="336"/>
              <w:jc w:val="both"/>
              <w:rPr>
                <w:rFonts w:asciiTheme="minorBidi" w:hAnsiTheme="minorBidi" w:cstheme="minorBidi"/>
                <w:sz w:val="18"/>
                <w:szCs w:val="18"/>
              </w:rPr>
            </w:pPr>
            <w:r w:rsidRPr="00446CF3">
              <w:rPr>
                <w:rFonts w:asciiTheme="minorBidi" w:hAnsiTheme="minorBidi" w:cstheme="minorBidi"/>
                <w:sz w:val="18"/>
                <w:szCs w:val="18"/>
              </w:rPr>
              <w:t>8.a.1.2Total official flows (disbursement) for Aid for Trade. (UNSD, 2021, Million USD)</w:t>
            </w:r>
          </w:p>
        </w:tc>
        <w:tc>
          <w:tcPr>
            <w:tcW w:w="1157" w:type="dxa"/>
            <w:tcBorders>
              <w:left w:val="nil"/>
              <w:bottom w:val="single" w:sz="4" w:space="0" w:color="auto"/>
              <w:right w:val="single" w:sz="4" w:space="0" w:color="auto"/>
            </w:tcBorders>
            <w:shd w:val="clear" w:color="auto" w:fill="auto"/>
            <w:noWrap/>
          </w:tcPr>
          <w:p w14:paraId="56B5FAEA" w14:textId="77777777" w:rsidR="00CB0958" w:rsidRPr="00446CF3" w:rsidRDefault="00CB0958" w:rsidP="00CB0958">
            <w:pPr>
              <w:bidi w:val="0"/>
              <w:spacing w:after="0" w:line="240" w:lineRule="auto"/>
              <w:jc w:val="center"/>
              <w:rPr>
                <w:rFonts w:asciiTheme="minorBidi" w:hAnsiTheme="minorBidi" w:cstheme="minorBidi"/>
                <w:sz w:val="18"/>
                <w:szCs w:val="18"/>
              </w:rPr>
            </w:pPr>
            <w:r w:rsidRPr="00446CF3">
              <w:rPr>
                <w:rFonts w:asciiTheme="minorBidi" w:hAnsiTheme="minorBidi" w:cstheme="minorBidi"/>
                <w:sz w:val="18"/>
                <w:szCs w:val="18"/>
              </w:rPr>
              <w:t>Identical</w:t>
            </w:r>
          </w:p>
        </w:tc>
        <w:tc>
          <w:tcPr>
            <w:tcW w:w="1350" w:type="dxa"/>
            <w:tcBorders>
              <w:left w:val="nil"/>
              <w:bottom w:val="single" w:sz="4" w:space="0" w:color="auto"/>
              <w:right w:val="single" w:sz="4" w:space="0" w:color="auto"/>
            </w:tcBorders>
          </w:tcPr>
          <w:p w14:paraId="1E67BA00" w14:textId="77777777" w:rsidR="00CB0958" w:rsidRPr="00446CF3" w:rsidRDefault="00CB0958" w:rsidP="00CB0958">
            <w:pPr>
              <w:spacing w:after="0" w:line="240" w:lineRule="auto"/>
              <w:jc w:val="center"/>
              <w:rPr>
                <w:rFonts w:ascii="Simplified Arabic" w:hAnsi="Simplified Arabic" w:cs="Simplified Arabic"/>
                <w:sz w:val="18"/>
                <w:szCs w:val="18"/>
                <w:rtl/>
              </w:rPr>
            </w:pPr>
            <w:r w:rsidRPr="00446CF3">
              <w:rPr>
                <w:rFonts w:ascii="Simplified Arabic" w:hAnsi="Simplified Arabic" w:cs="Simplified Arabic"/>
                <w:sz w:val="18"/>
                <w:szCs w:val="18"/>
              </w:rPr>
              <w:t>123.3 (2020)</w:t>
            </w:r>
          </w:p>
        </w:tc>
        <w:tc>
          <w:tcPr>
            <w:tcW w:w="1040" w:type="dxa"/>
            <w:tcBorders>
              <w:left w:val="single" w:sz="4" w:space="0" w:color="auto"/>
              <w:bottom w:val="single" w:sz="4" w:space="0" w:color="auto"/>
              <w:right w:val="single" w:sz="4" w:space="0" w:color="auto"/>
            </w:tcBorders>
            <w:shd w:val="clear" w:color="auto" w:fill="auto"/>
            <w:noWrap/>
          </w:tcPr>
          <w:p w14:paraId="0C57676C" w14:textId="77777777" w:rsidR="00CB0958" w:rsidRPr="00446CF3" w:rsidRDefault="00CB0958" w:rsidP="00CB0958">
            <w:pPr>
              <w:spacing w:after="0" w:line="240" w:lineRule="auto"/>
              <w:jc w:val="center"/>
              <w:rPr>
                <w:rFonts w:ascii="Simplified Arabic" w:hAnsi="Simplified Arabic" w:cs="Simplified Arabic"/>
                <w:sz w:val="18"/>
                <w:szCs w:val="18"/>
              </w:rPr>
            </w:pPr>
            <w:r w:rsidRPr="00446CF3">
              <w:rPr>
                <w:rFonts w:ascii="Simplified Arabic" w:hAnsi="Simplified Arabic" w:cs="Simplified Arabic"/>
                <w:sz w:val="18"/>
                <w:szCs w:val="18"/>
              </w:rPr>
              <w:t>97.6</w:t>
            </w:r>
          </w:p>
        </w:tc>
        <w:tc>
          <w:tcPr>
            <w:tcW w:w="1817" w:type="dxa"/>
            <w:tcBorders>
              <w:left w:val="single" w:sz="4" w:space="0" w:color="auto"/>
              <w:bottom w:val="single" w:sz="4" w:space="0" w:color="auto"/>
              <w:right w:val="single" w:sz="4" w:space="0" w:color="auto"/>
            </w:tcBorders>
          </w:tcPr>
          <w:p w14:paraId="10275069" w14:textId="77777777" w:rsidR="00CB0958" w:rsidRPr="00446CF3" w:rsidRDefault="00CB0958" w:rsidP="00CB0958">
            <w:pPr>
              <w:bidi w:val="0"/>
              <w:spacing w:after="0" w:line="240" w:lineRule="auto"/>
              <w:jc w:val="center"/>
              <w:rPr>
                <w:rFonts w:asciiTheme="minorBidi" w:hAnsiTheme="minorBidi" w:cstheme="minorBidi"/>
                <w:sz w:val="18"/>
                <w:szCs w:val="18"/>
              </w:rPr>
            </w:pPr>
            <w:r w:rsidRPr="00446CF3">
              <w:rPr>
                <w:rFonts w:asciiTheme="minorBidi" w:hAnsiTheme="minorBidi" w:cstheme="minorBidi"/>
                <w:sz w:val="18"/>
                <w:szCs w:val="18"/>
              </w:rPr>
              <w:t>Decrease</w:t>
            </w:r>
          </w:p>
        </w:tc>
      </w:tr>
    </w:tbl>
    <w:p w14:paraId="13C0D2D7" w14:textId="77777777" w:rsidR="0071415F" w:rsidRPr="00407A95" w:rsidRDefault="0071415F" w:rsidP="0071415F">
      <w:pPr>
        <w:tabs>
          <w:tab w:val="left" w:pos="9072"/>
        </w:tabs>
        <w:bidi w:val="0"/>
        <w:spacing w:after="0" w:line="240" w:lineRule="auto"/>
        <w:rPr>
          <w:rFonts w:ascii="Arial" w:hAnsi="Arial"/>
          <w:i/>
          <w:iCs/>
          <w:sz w:val="18"/>
          <w:szCs w:val="18"/>
        </w:rPr>
      </w:pPr>
      <w:r w:rsidRPr="00407A95">
        <w:rPr>
          <w:rFonts w:ascii="Arial" w:hAnsi="Arial"/>
          <w:i/>
          <w:iCs/>
          <w:sz w:val="18"/>
          <w:szCs w:val="18"/>
        </w:rPr>
        <w:t>*The data represented the average daily wage of wage employees in NIS</w:t>
      </w:r>
    </w:p>
    <w:p w14:paraId="67653774"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tl/>
        </w:rPr>
      </w:pPr>
    </w:p>
    <w:p w14:paraId="310D4392"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DA2024">
        <w:rPr>
          <w:rFonts w:ascii="Times New Roman" w:hAnsi="Times New Roman" w:cs="Times New Roman"/>
          <w:b/>
          <w:bCs/>
          <w:i/>
          <w:iCs/>
          <w:sz w:val="24"/>
          <w:szCs w:val="24"/>
        </w:rPr>
        <w:t>Indicator 8.1.1 Annual growth rate of real GDP per capita</w:t>
      </w:r>
    </w:p>
    <w:p w14:paraId="64E5F720" w14:textId="77777777" w:rsidR="00877949" w:rsidRPr="00DA202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65468494"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Palestine's annual growth rate of real Gross Domestic Product (GDP) per capita stands at 7.1% in 2021</w:t>
      </w:r>
      <w:r w:rsidR="00C83127">
        <w:rPr>
          <w:rFonts w:ascii="Times New Roman" w:hAnsi="Times New Roman" w:cs="Times New Roman"/>
          <w:color w:val="000000" w:themeColor="text1"/>
          <w:sz w:val="24"/>
          <w:szCs w:val="24"/>
        </w:rPr>
        <w:t xml:space="preserve"> with</w:t>
      </w:r>
      <w:r w:rsidRPr="0090647B">
        <w:rPr>
          <w:rFonts w:ascii="Times New Roman" w:hAnsi="Times New Roman" w:cs="Times New Roman"/>
          <w:color w:val="000000" w:themeColor="text1"/>
          <w:sz w:val="24"/>
          <w:szCs w:val="24"/>
        </w:rPr>
        <w:t xml:space="preserve"> 7.8% in the West Bank compared to 3.4% in Gaza Strip. </w:t>
      </w:r>
    </w:p>
    <w:p w14:paraId="5D590891"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The real GDP per capita in Palestine increased in 2021 compared to 2020, reaching USD 3,045.3</w:t>
      </w:r>
      <w:r w:rsidR="00C83127">
        <w:rPr>
          <w:rFonts w:ascii="Times New Roman" w:hAnsi="Times New Roman" w:cs="Times New Roman"/>
          <w:color w:val="000000" w:themeColor="text1"/>
          <w:sz w:val="24"/>
          <w:szCs w:val="24"/>
        </w:rPr>
        <w:t xml:space="preserve">. </w:t>
      </w:r>
      <w:r w:rsidRPr="0090647B">
        <w:rPr>
          <w:rFonts w:ascii="Times New Roman" w:hAnsi="Times New Roman" w:cs="Times New Roman"/>
          <w:color w:val="000000" w:themeColor="text1"/>
          <w:sz w:val="24"/>
          <w:szCs w:val="24"/>
        </w:rPr>
        <w:t xml:space="preserve"> In 2021, the real GDP per capita in the West Bank totaled USD 4,410.5 compared to USD 1,213.4 in </w:t>
      </w:r>
      <w:r w:rsidR="00C83127">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 xml:space="preserve">Gaza Strip. </w:t>
      </w:r>
    </w:p>
    <w:p w14:paraId="3BAA849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17AE17A9" w14:textId="77777777" w:rsidR="00C02000" w:rsidRDefault="00C83127" w:rsidP="002A1D30">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The r</w:t>
      </w:r>
      <w:r w:rsidR="0071415F" w:rsidRPr="00DA2024">
        <w:rPr>
          <w:rFonts w:ascii="Times New Roman" w:hAnsi="Times New Roman" w:cs="Times New Roman"/>
          <w:sz w:val="24"/>
          <w:szCs w:val="24"/>
        </w:rPr>
        <w:t xml:space="preserve">eal GDP per capita decreased </w:t>
      </w:r>
      <w:r>
        <w:rPr>
          <w:rFonts w:ascii="Times New Roman" w:hAnsi="Times New Roman" w:cs="Times New Roman"/>
          <w:sz w:val="24"/>
          <w:szCs w:val="24"/>
        </w:rPr>
        <w:t>in the</w:t>
      </w:r>
      <w:r w:rsidR="0071415F" w:rsidRPr="00DA2024">
        <w:rPr>
          <w:rFonts w:ascii="Times New Roman" w:hAnsi="Times New Roman" w:cs="Times New Roman"/>
          <w:sz w:val="24"/>
          <w:szCs w:val="24"/>
        </w:rPr>
        <w:t xml:space="preserve"> years 2000-2002, moreover the Palestinian economy witnessed a decline </w:t>
      </w:r>
      <w:r>
        <w:rPr>
          <w:rFonts w:ascii="Times New Roman" w:hAnsi="Times New Roman" w:cs="Times New Roman"/>
          <w:sz w:val="24"/>
          <w:szCs w:val="24"/>
        </w:rPr>
        <w:t>in the</w:t>
      </w:r>
      <w:r w:rsidR="0071415F" w:rsidRPr="00DA2024">
        <w:rPr>
          <w:rFonts w:ascii="Times New Roman" w:hAnsi="Times New Roman" w:cs="Times New Roman"/>
          <w:sz w:val="24"/>
          <w:szCs w:val="24"/>
        </w:rPr>
        <w:t xml:space="preserve"> years 2006 and 2014, </w:t>
      </w:r>
      <w:r>
        <w:rPr>
          <w:rFonts w:ascii="Times New Roman" w:hAnsi="Times New Roman" w:cs="Times New Roman"/>
          <w:sz w:val="24"/>
          <w:szCs w:val="24"/>
        </w:rPr>
        <w:t>due to the</w:t>
      </w:r>
      <w:r w:rsidR="0071415F" w:rsidRPr="00DA2024">
        <w:rPr>
          <w:rFonts w:ascii="Times New Roman" w:hAnsi="Times New Roman" w:cs="Times New Roman"/>
          <w:sz w:val="24"/>
          <w:szCs w:val="24"/>
        </w:rPr>
        <w:t xml:space="preserve"> political crisis. </w:t>
      </w:r>
      <w:r w:rsidR="00A7496C">
        <w:rPr>
          <w:rFonts w:ascii="Times New Roman" w:hAnsi="Times New Roman" w:cs="Times New Roman"/>
          <w:sz w:val="24"/>
          <w:szCs w:val="24"/>
        </w:rPr>
        <w:t>R</w:t>
      </w:r>
      <w:r w:rsidR="0071415F" w:rsidRPr="00DA2024">
        <w:rPr>
          <w:rFonts w:ascii="Times New Roman" w:hAnsi="Times New Roman" w:cs="Times New Roman"/>
          <w:sz w:val="24"/>
          <w:szCs w:val="24"/>
        </w:rPr>
        <w:t>esult</w:t>
      </w:r>
      <w:r w:rsidR="00A7496C">
        <w:rPr>
          <w:rFonts w:ascii="Times New Roman" w:hAnsi="Times New Roman" w:cs="Times New Roman"/>
          <w:sz w:val="24"/>
          <w:szCs w:val="24"/>
        </w:rPr>
        <w:t>s</w:t>
      </w:r>
      <w:r w:rsidR="0071415F" w:rsidRPr="00DA2024">
        <w:rPr>
          <w:rFonts w:ascii="Times New Roman" w:hAnsi="Times New Roman" w:cs="Times New Roman"/>
          <w:sz w:val="24"/>
          <w:szCs w:val="24"/>
        </w:rPr>
        <w:t xml:space="preserve"> show a decrease in GDP per capita in 2020 </w:t>
      </w:r>
      <w:r w:rsidR="00A7496C">
        <w:rPr>
          <w:rFonts w:ascii="Times New Roman" w:hAnsi="Times New Roman" w:cs="Times New Roman"/>
          <w:sz w:val="24"/>
          <w:szCs w:val="24"/>
        </w:rPr>
        <w:t>due to the</w:t>
      </w:r>
      <w:r>
        <w:rPr>
          <w:rFonts w:ascii="Times New Roman" w:hAnsi="Times New Roman" w:cs="Times New Roman"/>
          <w:sz w:val="24"/>
          <w:szCs w:val="24"/>
        </w:rPr>
        <w:t>C</w:t>
      </w:r>
      <w:r w:rsidR="0071415F" w:rsidRPr="00DA2024">
        <w:rPr>
          <w:rFonts w:ascii="Times New Roman" w:hAnsi="Times New Roman" w:cs="Times New Roman"/>
          <w:sz w:val="24"/>
          <w:szCs w:val="24"/>
        </w:rPr>
        <w:t>orona pandemic.</w:t>
      </w:r>
    </w:p>
    <w:p w14:paraId="0CCE70B6" w14:textId="77777777" w:rsidR="0071415F" w:rsidRDefault="0071415F" w:rsidP="0071415F">
      <w:pPr>
        <w:tabs>
          <w:tab w:val="left" w:pos="9072"/>
        </w:tabs>
        <w:bidi w:val="0"/>
        <w:spacing w:after="0" w:line="240" w:lineRule="auto"/>
        <w:jc w:val="center"/>
        <w:rPr>
          <w:rFonts w:ascii="Arial" w:hAnsi="Arial"/>
          <w:b/>
          <w:bCs/>
        </w:rPr>
      </w:pPr>
    </w:p>
    <w:p w14:paraId="66C6A013" w14:textId="77777777" w:rsidR="0071415F" w:rsidRPr="0090647B" w:rsidRDefault="0071415F" w:rsidP="00911778">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lastRenderedPageBreak/>
        <w:t xml:space="preserve">Annual Growth Rate* of Real GDP Per Capita, </w:t>
      </w:r>
      <w:r w:rsidR="00911778">
        <w:rPr>
          <w:rFonts w:ascii="Arial" w:hAnsi="Arial"/>
          <w:b/>
          <w:bCs/>
          <w:color w:val="000000" w:themeColor="text1"/>
        </w:rPr>
        <w:t>2015</w:t>
      </w:r>
      <w:r w:rsidRPr="0090647B">
        <w:rPr>
          <w:rFonts w:ascii="Arial" w:hAnsi="Arial"/>
          <w:b/>
          <w:bCs/>
          <w:color w:val="000000" w:themeColor="text1"/>
        </w:rPr>
        <w:t>-2021 (%)</w:t>
      </w: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0"/>
      </w:tblGrid>
      <w:tr w:rsidR="0071415F" w:rsidRPr="0090647B" w14:paraId="7E7E651A" w14:textId="77777777" w:rsidTr="0071415F">
        <w:tc>
          <w:tcPr>
            <w:tcW w:w="9090" w:type="dxa"/>
            <w:shd w:val="clear" w:color="auto" w:fill="auto"/>
          </w:tcPr>
          <w:p w14:paraId="6CF7EE50" w14:textId="77777777" w:rsidR="0071415F" w:rsidRPr="0090647B" w:rsidRDefault="0071415F" w:rsidP="0071415F">
            <w:pPr>
              <w:autoSpaceDE w:val="0"/>
              <w:autoSpaceDN w:val="0"/>
              <w:bidi w:val="0"/>
              <w:adjustRightInd w:val="0"/>
              <w:spacing w:after="0" w:line="240" w:lineRule="auto"/>
              <w:jc w:val="center"/>
              <w:rPr>
                <w:rFonts w:ascii="Times New Roman" w:hAnsi="Times New Roman" w:cs="Times New Roman"/>
                <w:color w:val="000000" w:themeColor="text1"/>
                <w:sz w:val="18"/>
                <w:szCs w:val="18"/>
                <w:lang w:val="it-IT"/>
              </w:rPr>
            </w:pPr>
            <w:r w:rsidRPr="0090647B">
              <w:rPr>
                <w:rFonts w:ascii="Times New Roman" w:hAnsi="Times New Roman" w:cs="Times New Roman"/>
                <w:noProof/>
                <w:color w:val="000000" w:themeColor="text1"/>
                <w:sz w:val="18"/>
                <w:szCs w:val="18"/>
              </w:rPr>
              <w:drawing>
                <wp:inline distT="0" distB="0" distL="0" distR="0" wp14:anchorId="66136E6A" wp14:editId="127FD006">
                  <wp:extent cx="5589905" cy="1914525"/>
                  <wp:effectExtent l="0" t="0" r="0" b="0"/>
                  <wp:docPr id="8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bl>
    <w:p w14:paraId="51F981F7" w14:textId="77777777" w:rsidR="0071415F" w:rsidRPr="0090647B" w:rsidRDefault="0071415F" w:rsidP="00E74AED">
      <w:pPr>
        <w:autoSpaceDE w:val="0"/>
        <w:autoSpaceDN w:val="0"/>
        <w:bidi w:val="0"/>
        <w:adjustRightInd w:val="0"/>
        <w:spacing w:after="0" w:line="240" w:lineRule="auto"/>
        <w:ind w:left="720" w:hanging="720"/>
        <w:rPr>
          <w:rFonts w:ascii="Arial" w:hAnsi="Arial"/>
          <w:color w:val="000000" w:themeColor="text1"/>
          <w:sz w:val="18"/>
          <w:szCs w:val="18"/>
        </w:rPr>
      </w:pPr>
      <w:r w:rsidRPr="0090647B">
        <w:rPr>
          <w:rFonts w:ascii="Arial" w:hAnsi="Arial"/>
          <w:b/>
          <w:bCs/>
          <w:color w:val="000000" w:themeColor="text1"/>
          <w:sz w:val="18"/>
          <w:szCs w:val="18"/>
        </w:rPr>
        <w:t>Source: Palestinian Central Bureau of Statistics,</w:t>
      </w:r>
      <w:r w:rsidRPr="0090647B">
        <w:rPr>
          <w:rFonts w:ascii="Arial" w:hAnsi="Arial"/>
          <w:color w:val="000000" w:themeColor="text1"/>
          <w:sz w:val="18"/>
          <w:szCs w:val="18"/>
        </w:rPr>
        <w:t xml:space="preserve"> National Accounts at Current and Constant Prices, </w:t>
      </w:r>
      <w:r w:rsidR="00A25FCF">
        <w:rPr>
          <w:rFonts w:ascii="Arial" w:hAnsi="Arial"/>
          <w:color w:val="000000" w:themeColor="text1"/>
          <w:sz w:val="18"/>
          <w:szCs w:val="18"/>
        </w:rPr>
        <w:t>2015</w:t>
      </w:r>
      <w:r w:rsidRPr="0090647B">
        <w:rPr>
          <w:rFonts w:ascii="Arial" w:hAnsi="Arial"/>
          <w:color w:val="000000" w:themeColor="text1"/>
          <w:sz w:val="18"/>
          <w:szCs w:val="18"/>
        </w:rPr>
        <w:t>-2021.</w:t>
      </w:r>
      <w:r w:rsidR="00726C53">
        <w:rPr>
          <w:rFonts w:ascii="Arial" w:hAnsi="Arial"/>
          <w:color w:val="000000" w:themeColor="text1"/>
          <w:sz w:val="18"/>
          <w:szCs w:val="18"/>
        </w:rPr>
        <w:t>Ramallah-Palestine.</w:t>
      </w:r>
    </w:p>
    <w:p w14:paraId="6BFBD3BE" w14:textId="77777777" w:rsidR="0071415F" w:rsidRPr="00DA2024" w:rsidRDefault="0071415F" w:rsidP="0071415F">
      <w:pPr>
        <w:autoSpaceDE w:val="0"/>
        <w:autoSpaceDN w:val="0"/>
        <w:bidi w:val="0"/>
        <w:adjustRightInd w:val="0"/>
        <w:spacing w:after="0" w:line="240" w:lineRule="auto"/>
        <w:rPr>
          <w:rFonts w:ascii="Arial" w:hAnsi="Arial"/>
          <w:sz w:val="18"/>
          <w:szCs w:val="18"/>
        </w:rPr>
      </w:pPr>
      <w:r w:rsidRPr="00DA2024">
        <w:rPr>
          <w:rFonts w:ascii="Arial" w:hAnsi="Arial"/>
          <w:sz w:val="18"/>
          <w:szCs w:val="18"/>
        </w:rPr>
        <w:t xml:space="preserve"> *Data excluded parts of Jerusalem annexed by Israeli Occupation in 1967.</w:t>
      </w:r>
    </w:p>
    <w:p w14:paraId="36F71942"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090CEEB"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DA2024">
        <w:rPr>
          <w:rFonts w:ascii="Times New Roman" w:hAnsi="Times New Roman" w:cs="Times New Roman"/>
          <w:b/>
          <w:bCs/>
          <w:i/>
          <w:iCs/>
          <w:sz w:val="24"/>
          <w:szCs w:val="24"/>
        </w:rPr>
        <w:t>Indicator 8.2.1 Annual growth rate of real GDP per employed person</w:t>
      </w:r>
    </w:p>
    <w:p w14:paraId="0E5EF453" w14:textId="77777777" w:rsidR="00877949" w:rsidRPr="00DA202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tl/>
        </w:rPr>
      </w:pPr>
    </w:p>
    <w:p w14:paraId="6BCFDDA8" w14:textId="77777777" w:rsidR="0071415F" w:rsidRDefault="00A7496C"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In Palestine, t</w:t>
      </w:r>
      <w:r w:rsidR="0071415F" w:rsidRPr="00DA2024">
        <w:rPr>
          <w:rFonts w:ascii="Times New Roman" w:hAnsi="Times New Roman" w:cs="Times New Roman"/>
          <w:sz w:val="24"/>
          <w:szCs w:val="24"/>
        </w:rPr>
        <w:t xml:space="preserve">he annual growth rate of real GDP per employed person decreased to reach -1.5% for  2019 compared to 3.5% </w:t>
      </w:r>
      <w:r>
        <w:rPr>
          <w:rFonts w:ascii="Times New Roman" w:hAnsi="Times New Roman" w:cs="Times New Roman"/>
          <w:sz w:val="24"/>
          <w:szCs w:val="24"/>
        </w:rPr>
        <w:t>in</w:t>
      </w:r>
      <w:r w:rsidR="0071415F" w:rsidRPr="00DA2024">
        <w:rPr>
          <w:rFonts w:ascii="Times New Roman" w:hAnsi="Times New Roman" w:cs="Times New Roman"/>
          <w:sz w:val="24"/>
          <w:szCs w:val="24"/>
        </w:rPr>
        <w:t xml:space="preserve"> 2018. The results show that </w:t>
      </w:r>
      <w:r w:rsidR="00C83127">
        <w:rPr>
          <w:rFonts w:ascii="Times New Roman" w:hAnsi="Times New Roman" w:cs="Times New Roman"/>
          <w:sz w:val="24"/>
          <w:szCs w:val="24"/>
        </w:rPr>
        <w:t xml:space="preserve">the </w:t>
      </w:r>
      <w:r w:rsidR="0071415F" w:rsidRPr="00DA2024">
        <w:rPr>
          <w:rFonts w:ascii="Times New Roman" w:hAnsi="Times New Roman" w:cs="Times New Roman"/>
          <w:sz w:val="24"/>
          <w:szCs w:val="24"/>
        </w:rPr>
        <w:t xml:space="preserve">annual growth rate of real Gross Domestic Product per employed person by region was -1.3% for West </w:t>
      </w:r>
      <w:r w:rsidR="0071415F">
        <w:rPr>
          <w:rFonts w:ascii="Times New Roman" w:hAnsi="Times New Roman" w:cs="Times New Roman"/>
          <w:sz w:val="24"/>
          <w:szCs w:val="24"/>
        </w:rPr>
        <w:t>B</w:t>
      </w:r>
      <w:r w:rsidR="0071415F" w:rsidRPr="00DA2024">
        <w:rPr>
          <w:rFonts w:ascii="Times New Roman" w:hAnsi="Times New Roman" w:cs="Times New Roman"/>
          <w:sz w:val="24"/>
          <w:szCs w:val="24"/>
        </w:rPr>
        <w:t xml:space="preserve">ank while in </w:t>
      </w:r>
      <w:r>
        <w:rPr>
          <w:rFonts w:ascii="Times New Roman" w:hAnsi="Times New Roman" w:cs="Times New Roman"/>
          <w:sz w:val="24"/>
          <w:szCs w:val="24"/>
        </w:rPr>
        <w:t xml:space="preserve">the </w:t>
      </w:r>
      <w:r w:rsidR="0071415F" w:rsidRPr="00DA2024">
        <w:rPr>
          <w:rFonts w:ascii="Times New Roman" w:hAnsi="Times New Roman" w:cs="Times New Roman"/>
          <w:sz w:val="24"/>
          <w:szCs w:val="24"/>
        </w:rPr>
        <w:t>Gaza Strip the results show the annual growth rate in real GDP to reach -2.4% for 2019.</w:t>
      </w:r>
    </w:p>
    <w:p w14:paraId="20775724" w14:textId="77777777" w:rsidR="00F3507C" w:rsidRPr="00DA2024" w:rsidRDefault="00F3507C" w:rsidP="00F3507C">
      <w:pPr>
        <w:autoSpaceDE w:val="0"/>
        <w:autoSpaceDN w:val="0"/>
        <w:bidi w:val="0"/>
        <w:adjustRightInd w:val="0"/>
        <w:spacing w:after="0" w:line="240" w:lineRule="auto"/>
        <w:jc w:val="both"/>
        <w:rPr>
          <w:rFonts w:ascii="Times New Roman" w:hAnsi="Times New Roman" w:cs="Times New Roman"/>
          <w:sz w:val="24"/>
          <w:szCs w:val="24"/>
        </w:rPr>
      </w:pPr>
    </w:p>
    <w:p w14:paraId="1D56C324"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2489055C" w14:textId="77777777" w:rsidR="0071415F" w:rsidRPr="00DA2024" w:rsidRDefault="0071415F" w:rsidP="00911778">
      <w:pPr>
        <w:tabs>
          <w:tab w:val="left" w:pos="9072"/>
        </w:tabs>
        <w:bidi w:val="0"/>
        <w:spacing w:after="0" w:line="240" w:lineRule="auto"/>
        <w:jc w:val="center"/>
        <w:rPr>
          <w:rFonts w:ascii="Arial" w:hAnsi="Arial"/>
          <w:b/>
          <w:bCs/>
        </w:rPr>
      </w:pPr>
      <w:r w:rsidRPr="00DA2024">
        <w:rPr>
          <w:rFonts w:ascii="Arial" w:hAnsi="Arial"/>
          <w:b/>
          <w:bCs/>
        </w:rPr>
        <w:t xml:space="preserve">Annual Growth* Rate of Real GDP Per Employed Person, </w:t>
      </w:r>
      <w:r w:rsidR="00911778">
        <w:rPr>
          <w:rFonts w:ascii="Arial" w:hAnsi="Arial"/>
          <w:b/>
          <w:bCs/>
        </w:rPr>
        <w:t>2015</w:t>
      </w:r>
      <w:r w:rsidRPr="00DA2024">
        <w:rPr>
          <w:rFonts w:ascii="Arial" w:hAnsi="Arial"/>
          <w:b/>
          <w:bCs/>
        </w:rPr>
        <w:t>-2019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DA2024" w14:paraId="7930D78C" w14:textId="77777777" w:rsidTr="0071415F">
        <w:tc>
          <w:tcPr>
            <w:tcW w:w="9286" w:type="dxa"/>
            <w:shd w:val="clear" w:color="auto" w:fill="auto"/>
          </w:tcPr>
          <w:p w14:paraId="379F66A0" w14:textId="77777777" w:rsidR="0071415F" w:rsidRPr="00DA2024" w:rsidRDefault="0071415F" w:rsidP="0071415F">
            <w:pPr>
              <w:tabs>
                <w:tab w:val="left" w:pos="9072"/>
              </w:tabs>
              <w:bidi w:val="0"/>
              <w:spacing w:after="0" w:line="240" w:lineRule="auto"/>
              <w:jc w:val="center"/>
              <w:rPr>
                <w:rFonts w:ascii="Arial" w:hAnsi="Arial"/>
                <w:b/>
                <w:bCs/>
                <w:lang w:val="it-IT"/>
              </w:rPr>
            </w:pPr>
            <w:r w:rsidRPr="00DA2024">
              <w:rPr>
                <w:rFonts w:ascii="Simplified Arabic" w:hAnsi="Simplified Arabic" w:cs="Simplified Arabic"/>
                <w:noProof/>
                <w:sz w:val="24"/>
                <w:szCs w:val="24"/>
              </w:rPr>
              <w:drawing>
                <wp:inline distT="0" distB="0" distL="0" distR="0" wp14:anchorId="4C5C1ECA" wp14:editId="05161676">
                  <wp:extent cx="5605780" cy="2679700"/>
                  <wp:effectExtent l="0" t="0" r="0" b="6350"/>
                  <wp:docPr id="8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14:paraId="61CA0460" w14:textId="77777777" w:rsidR="0071415F" w:rsidRPr="00BD3E97" w:rsidRDefault="0071415F" w:rsidP="00E74AED">
      <w:pPr>
        <w:autoSpaceDE w:val="0"/>
        <w:autoSpaceDN w:val="0"/>
        <w:bidi w:val="0"/>
        <w:adjustRightInd w:val="0"/>
        <w:spacing w:after="0" w:line="240" w:lineRule="auto"/>
        <w:ind w:left="720" w:hanging="720"/>
        <w:rPr>
          <w:rFonts w:asciiTheme="minorBidi" w:hAnsiTheme="minorBidi" w:cstheme="minorBidi"/>
          <w:sz w:val="18"/>
          <w:szCs w:val="18"/>
        </w:rPr>
      </w:pPr>
      <w:r w:rsidRPr="00BD3E97">
        <w:rPr>
          <w:rFonts w:asciiTheme="minorBidi" w:hAnsiTheme="minorBidi" w:cstheme="minorBidi"/>
          <w:b/>
          <w:bCs/>
          <w:sz w:val="18"/>
          <w:szCs w:val="18"/>
        </w:rPr>
        <w:t xml:space="preserve">Source: Palestinian Central Bureau of Statistics, </w:t>
      </w:r>
      <w:r w:rsidRPr="00BD3E97">
        <w:rPr>
          <w:rFonts w:asciiTheme="minorBidi" w:hAnsiTheme="minorBidi" w:cstheme="minorBidi"/>
          <w:sz w:val="18"/>
          <w:szCs w:val="18"/>
        </w:rPr>
        <w:t xml:space="preserve">National Accounts at Current and Constant Prices, </w:t>
      </w:r>
      <w:r w:rsidR="00A25FCF" w:rsidRPr="00BD3E97">
        <w:rPr>
          <w:rFonts w:asciiTheme="minorBidi" w:hAnsiTheme="minorBidi" w:cstheme="minorBidi"/>
          <w:sz w:val="18"/>
          <w:szCs w:val="18"/>
        </w:rPr>
        <w:t>2015</w:t>
      </w:r>
      <w:r w:rsidRPr="00BD3E97">
        <w:rPr>
          <w:rFonts w:asciiTheme="minorBidi" w:hAnsiTheme="minorBidi" w:cstheme="minorBidi"/>
          <w:sz w:val="18"/>
          <w:szCs w:val="18"/>
        </w:rPr>
        <w:t>-2019.</w:t>
      </w:r>
      <w:r w:rsidR="00726C53" w:rsidRPr="00BD3E97">
        <w:rPr>
          <w:rFonts w:asciiTheme="minorBidi" w:hAnsiTheme="minorBidi" w:cstheme="minorBidi"/>
          <w:color w:val="000000" w:themeColor="text1"/>
          <w:sz w:val="18"/>
          <w:szCs w:val="18"/>
        </w:rPr>
        <w:t>Ramallah-Palestine.</w:t>
      </w:r>
    </w:p>
    <w:p w14:paraId="1E16D415" w14:textId="77777777" w:rsidR="0071415F" w:rsidRPr="00BD3E97" w:rsidRDefault="0071415F" w:rsidP="0071415F">
      <w:pPr>
        <w:bidi w:val="0"/>
        <w:spacing w:after="0" w:line="240" w:lineRule="auto"/>
        <w:rPr>
          <w:rFonts w:asciiTheme="minorBidi" w:hAnsiTheme="minorBidi" w:cstheme="minorBidi"/>
          <w:sz w:val="18"/>
          <w:szCs w:val="18"/>
          <w:rtl/>
        </w:rPr>
      </w:pPr>
      <w:r w:rsidRPr="00BD3E97">
        <w:rPr>
          <w:rFonts w:asciiTheme="minorBidi" w:hAnsiTheme="minorBidi" w:cstheme="minorBidi"/>
          <w:sz w:val="18"/>
          <w:szCs w:val="18"/>
        </w:rPr>
        <w:t>*Data excluded those parts of Jerusalem which were annexed by Israeli Occupation in 1967.</w:t>
      </w:r>
    </w:p>
    <w:p w14:paraId="6CD2F11C" w14:textId="77777777" w:rsidR="0071415F" w:rsidRPr="00BD3E97" w:rsidRDefault="0071415F" w:rsidP="0071415F">
      <w:pPr>
        <w:autoSpaceDE w:val="0"/>
        <w:autoSpaceDN w:val="0"/>
        <w:bidi w:val="0"/>
        <w:adjustRightInd w:val="0"/>
        <w:spacing w:after="0" w:line="240" w:lineRule="auto"/>
        <w:jc w:val="both"/>
        <w:rPr>
          <w:rFonts w:asciiTheme="minorBidi" w:hAnsiTheme="minorBidi" w:cstheme="minorBidi"/>
          <w:sz w:val="24"/>
          <w:szCs w:val="24"/>
        </w:rPr>
      </w:pPr>
    </w:p>
    <w:p w14:paraId="7378A3F3"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8.3.1 Proportion of informal employment in non-agriculture employment, by sex</w:t>
      </w:r>
    </w:p>
    <w:p w14:paraId="763686F4" w14:textId="77777777" w:rsidR="0005411B" w:rsidRPr="0090647B" w:rsidRDefault="0005411B" w:rsidP="0005411B">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4E42B37" w14:textId="77777777" w:rsidR="0005411B" w:rsidRPr="00446CF3" w:rsidRDefault="0005411B" w:rsidP="0005411B">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446CF3">
        <w:rPr>
          <w:rFonts w:ascii="Times New Roman" w:hAnsi="Times New Roman" w:cs="Times New Roman"/>
          <w:b/>
          <w:bCs/>
          <w:i/>
          <w:iCs/>
          <w:color w:val="000000" w:themeColor="text1"/>
          <w:sz w:val="24"/>
          <w:szCs w:val="24"/>
        </w:rPr>
        <w:t>Indicator 8.3.1.1 Proportion of informal employment in total employment, by sex</w:t>
      </w:r>
    </w:p>
    <w:p w14:paraId="605A9819" w14:textId="77777777" w:rsidR="0005411B" w:rsidRPr="00446CF3" w:rsidRDefault="00BF1D74" w:rsidP="00BF1D74">
      <w:pPr>
        <w:autoSpaceDE w:val="0"/>
        <w:autoSpaceDN w:val="0"/>
        <w:bidi w:val="0"/>
        <w:adjustRightInd w:val="0"/>
        <w:spacing w:after="0" w:line="240" w:lineRule="auto"/>
        <w:jc w:val="both"/>
        <w:rPr>
          <w:rFonts w:ascii="Arial" w:hAnsi="Arial"/>
          <w:b/>
          <w:bCs/>
        </w:rPr>
      </w:pPr>
      <w:r w:rsidRPr="00446CF3">
        <w:rPr>
          <w:rFonts w:ascii="Times New Roman" w:hAnsi="Times New Roman" w:cs="Times New Roman"/>
          <w:color w:val="000000" w:themeColor="text1"/>
          <w:sz w:val="24"/>
          <w:szCs w:val="24"/>
        </w:rPr>
        <w:t>65.2</w:t>
      </w:r>
      <w:r w:rsidR="0005411B" w:rsidRPr="00446CF3">
        <w:rPr>
          <w:rFonts w:ascii="Times New Roman" w:hAnsi="Times New Roman" w:cs="Times New Roman"/>
          <w:color w:val="000000" w:themeColor="text1"/>
          <w:sz w:val="24"/>
          <w:szCs w:val="24"/>
        </w:rPr>
        <w:t>% of the employed individuals were classified as informal</w:t>
      </w:r>
      <w:r w:rsidR="004D27B9" w:rsidRPr="00446CF3">
        <w:rPr>
          <w:rFonts w:ascii="Times New Roman" w:hAnsi="Times New Roman" w:cs="Times New Roman"/>
          <w:color w:val="000000" w:themeColor="text1"/>
          <w:sz w:val="24"/>
          <w:szCs w:val="24"/>
        </w:rPr>
        <w:t>ly</w:t>
      </w:r>
      <w:r w:rsidR="0005411B" w:rsidRPr="00446CF3">
        <w:rPr>
          <w:rFonts w:ascii="Times New Roman" w:hAnsi="Times New Roman" w:cs="Times New Roman"/>
          <w:color w:val="000000" w:themeColor="text1"/>
          <w:sz w:val="24"/>
          <w:szCs w:val="24"/>
        </w:rPr>
        <w:t xml:space="preserve"> employed in all sectors in </w:t>
      </w:r>
      <w:r w:rsidRPr="00446CF3">
        <w:rPr>
          <w:rFonts w:ascii="Times New Roman" w:hAnsi="Times New Roman" w:cs="Times New Roman"/>
          <w:color w:val="000000" w:themeColor="text1"/>
          <w:sz w:val="24"/>
          <w:szCs w:val="24"/>
        </w:rPr>
        <w:t>2022</w:t>
      </w:r>
      <w:r w:rsidR="0005411B" w:rsidRPr="00446CF3">
        <w:rPr>
          <w:rFonts w:ascii="Times New Roman" w:hAnsi="Times New Roman" w:cs="Times New Roman"/>
          <w:color w:val="000000" w:themeColor="text1"/>
          <w:sz w:val="24"/>
          <w:szCs w:val="24"/>
        </w:rPr>
        <w:t xml:space="preserve"> </w:t>
      </w:r>
      <w:r w:rsidR="004A40F1" w:rsidRPr="00446CF3">
        <w:rPr>
          <w:rFonts w:ascii="Times New Roman" w:hAnsi="Times New Roman" w:cs="Times New Roman"/>
          <w:color w:val="000000" w:themeColor="text1"/>
          <w:sz w:val="24"/>
          <w:szCs w:val="24"/>
        </w:rPr>
        <w:t xml:space="preserve">of which </w:t>
      </w:r>
      <w:r w:rsidRPr="00446CF3">
        <w:rPr>
          <w:rFonts w:ascii="Times New Roman" w:hAnsi="Times New Roman" w:cs="Times New Roman"/>
          <w:color w:val="000000" w:themeColor="text1"/>
          <w:sz w:val="24"/>
          <w:szCs w:val="24"/>
        </w:rPr>
        <w:t>69.2</w:t>
      </w:r>
      <w:r w:rsidR="004A40F1" w:rsidRPr="00446CF3">
        <w:rPr>
          <w:rFonts w:ascii="Times New Roman" w:hAnsi="Times New Roman" w:cs="Times New Roman"/>
          <w:color w:val="000000" w:themeColor="text1"/>
          <w:sz w:val="24"/>
          <w:szCs w:val="24"/>
        </w:rPr>
        <w:t xml:space="preserve">% for males and </w:t>
      </w:r>
      <w:r w:rsidRPr="00446CF3">
        <w:rPr>
          <w:rFonts w:ascii="Times New Roman" w:hAnsi="Times New Roman" w:cs="Times New Roman"/>
          <w:color w:val="000000" w:themeColor="text1"/>
          <w:sz w:val="24"/>
          <w:szCs w:val="24"/>
        </w:rPr>
        <w:t>44</w:t>
      </w:r>
      <w:r w:rsidR="004A40F1" w:rsidRPr="00446CF3">
        <w:rPr>
          <w:rFonts w:ascii="Times New Roman" w:hAnsi="Times New Roman" w:cs="Times New Roman"/>
          <w:color w:val="000000" w:themeColor="text1"/>
          <w:sz w:val="24"/>
          <w:szCs w:val="24"/>
        </w:rPr>
        <w:t>% for females, with</w:t>
      </w:r>
      <w:r w:rsidRPr="00446CF3">
        <w:rPr>
          <w:rFonts w:ascii="Times New Roman" w:hAnsi="Times New Roman" w:cs="Times New Roman"/>
          <w:color w:val="000000" w:themeColor="text1"/>
          <w:sz w:val="24"/>
          <w:szCs w:val="24"/>
        </w:rPr>
        <w:t xml:space="preserve"> 66.7</w:t>
      </w:r>
      <w:r w:rsidR="004A40F1" w:rsidRPr="00446CF3">
        <w:rPr>
          <w:rFonts w:ascii="Times New Roman" w:hAnsi="Times New Roman" w:cs="Times New Roman"/>
          <w:color w:val="000000" w:themeColor="text1"/>
          <w:sz w:val="24"/>
          <w:szCs w:val="24"/>
        </w:rPr>
        <w:t xml:space="preserve">% in the West Bank and </w:t>
      </w:r>
      <w:r w:rsidRPr="00446CF3">
        <w:rPr>
          <w:rFonts w:ascii="Times New Roman" w:hAnsi="Times New Roman" w:cs="Times New Roman"/>
          <w:color w:val="000000" w:themeColor="text1"/>
          <w:sz w:val="24"/>
          <w:szCs w:val="24"/>
        </w:rPr>
        <w:t>60.6</w:t>
      </w:r>
      <w:r w:rsidR="004A40F1" w:rsidRPr="00446CF3">
        <w:rPr>
          <w:rFonts w:ascii="Times New Roman" w:hAnsi="Times New Roman" w:cs="Times New Roman"/>
          <w:color w:val="000000" w:themeColor="text1"/>
          <w:sz w:val="24"/>
          <w:szCs w:val="24"/>
        </w:rPr>
        <w:t>% in Gaza Strip</w:t>
      </w:r>
      <w:r w:rsidR="0005411B" w:rsidRPr="00446CF3">
        <w:rPr>
          <w:rFonts w:ascii="Times New Roman" w:hAnsi="Times New Roman" w:cs="Times New Roman"/>
          <w:color w:val="000000" w:themeColor="text1"/>
          <w:sz w:val="24"/>
          <w:szCs w:val="24"/>
        </w:rPr>
        <w:t>.</w:t>
      </w:r>
    </w:p>
    <w:p w14:paraId="0E89DCFD" w14:textId="77777777" w:rsidR="00D20890" w:rsidRDefault="00D20890" w:rsidP="00D20890">
      <w:pPr>
        <w:autoSpaceDE w:val="0"/>
        <w:autoSpaceDN w:val="0"/>
        <w:bidi w:val="0"/>
        <w:adjustRightInd w:val="0"/>
        <w:spacing w:after="0" w:line="240" w:lineRule="auto"/>
        <w:jc w:val="both"/>
        <w:rPr>
          <w:rFonts w:ascii="Arial" w:hAnsi="Arial"/>
          <w:b/>
          <w:bCs/>
        </w:rPr>
      </w:pPr>
    </w:p>
    <w:p w14:paraId="59EF8A95" w14:textId="77777777" w:rsidR="00446CF3" w:rsidRPr="00446CF3" w:rsidRDefault="00446CF3" w:rsidP="00446CF3">
      <w:pPr>
        <w:autoSpaceDE w:val="0"/>
        <w:autoSpaceDN w:val="0"/>
        <w:bidi w:val="0"/>
        <w:adjustRightInd w:val="0"/>
        <w:spacing w:after="0" w:line="240" w:lineRule="auto"/>
        <w:jc w:val="both"/>
        <w:rPr>
          <w:rFonts w:ascii="Arial" w:hAnsi="Arial"/>
          <w:b/>
          <w:bCs/>
        </w:rPr>
      </w:pPr>
    </w:p>
    <w:p w14:paraId="55A46A91" w14:textId="77777777" w:rsidR="0071415F" w:rsidRPr="00446CF3" w:rsidRDefault="0071415F" w:rsidP="0005411B">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446CF3">
        <w:rPr>
          <w:rFonts w:ascii="Times New Roman" w:hAnsi="Times New Roman" w:cs="Times New Roman"/>
          <w:b/>
          <w:bCs/>
          <w:i/>
          <w:iCs/>
          <w:color w:val="000000" w:themeColor="text1"/>
          <w:sz w:val="24"/>
          <w:szCs w:val="24"/>
        </w:rPr>
        <w:lastRenderedPageBreak/>
        <w:t>Indicator 8.3.1</w:t>
      </w:r>
      <w:r w:rsidR="00E556A2" w:rsidRPr="00446CF3">
        <w:rPr>
          <w:rFonts w:ascii="Times New Roman" w:hAnsi="Times New Roman" w:cs="Times New Roman"/>
          <w:b/>
          <w:bCs/>
          <w:i/>
          <w:iCs/>
          <w:color w:val="000000" w:themeColor="text1"/>
          <w:sz w:val="24"/>
          <w:szCs w:val="24"/>
        </w:rPr>
        <w:t>.2</w:t>
      </w:r>
      <w:r w:rsidRPr="00446CF3">
        <w:rPr>
          <w:rFonts w:ascii="Times New Roman" w:hAnsi="Times New Roman" w:cs="Times New Roman"/>
          <w:b/>
          <w:bCs/>
          <w:i/>
          <w:iCs/>
          <w:color w:val="000000" w:themeColor="text1"/>
          <w:sz w:val="24"/>
          <w:szCs w:val="24"/>
        </w:rPr>
        <w:t xml:space="preserve"> Proportion of informal employment in non-agriculture employment, by sex</w:t>
      </w:r>
    </w:p>
    <w:p w14:paraId="1F9920DB" w14:textId="77777777" w:rsidR="00877949" w:rsidRPr="00446CF3"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08E45C7" w14:textId="77777777" w:rsidR="0071415F" w:rsidRPr="00446CF3" w:rsidRDefault="004D27B9" w:rsidP="00BF1D74">
      <w:pPr>
        <w:autoSpaceDE w:val="0"/>
        <w:autoSpaceDN w:val="0"/>
        <w:bidi w:val="0"/>
        <w:adjustRightInd w:val="0"/>
        <w:spacing w:after="0" w:line="240" w:lineRule="auto"/>
        <w:jc w:val="both"/>
        <w:rPr>
          <w:rFonts w:ascii="Arial" w:hAnsi="Arial"/>
          <w:b/>
          <w:bCs/>
        </w:rPr>
      </w:pPr>
      <w:r w:rsidRPr="00446CF3">
        <w:rPr>
          <w:rFonts w:ascii="Times New Roman" w:hAnsi="Times New Roman" w:cs="Times New Roman"/>
          <w:color w:val="000000" w:themeColor="text1"/>
          <w:sz w:val="24"/>
          <w:szCs w:val="24"/>
        </w:rPr>
        <w:t xml:space="preserve">Approximately </w:t>
      </w:r>
      <w:r w:rsidR="002B01C3" w:rsidRPr="00446CF3">
        <w:rPr>
          <w:rFonts w:ascii="Times New Roman" w:hAnsi="Times New Roman" w:cs="Times New Roman" w:hint="cs"/>
          <w:color w:val="000000" w:themeColor="text1"/>
          <w:sz w:val="24"/>
          <w:szCs w:val="24"/>
          <w:rtl/>
        </w:rPr>
        <w:t>63.1</w:t>
      </w:r>
      <w:r w:rsidR="0071415F" w:rsidRPr="00446CF3">
        <w:rPr>
          <w:rFonts w:ascii="Times New Roman" w:hAnsi="Times New Roman" w:cs="Times New Roman"/>
          <w:color w:val="000000" w:themeColor="text1"/>
          <w:sz w:val="24"/>
          <w:szCs w:val="24"/>
        </w:rPr>
        <w:t>% of the employed individuals were classified as informal</w:t>
      </w:r>
      <w:r w:rsidRPr="00446CF3">
        <w:rPr>
          <w:rFonts w:ascii="Times New Roman" w:hAnsi="Times New Roman" w:cs="Times New Roman"/>
          <w:color w:val="000000" w:themeColor="text1"/>
          <w:sz w:val="24"/>
          <w:szCs w:val="24"/>
        </w:rPr>
        <w:t>ly</w:t>
      </w:r>
      <w:r w:rsidR="0071415F" w:rsidRPr="00446CF3">
        <w:rPr>
          <w:rFonts w:ascii="Times New Roman" w:hAnsi="Times New Roman" w:cs="Times New Roman"/>
          <w:color w:val="000000" w:themeColor="text1"/>
          <w:sz w:val="24"/>
          <w:szCs w:val="24"/>
        </w:rPr>
        <w:t xml:space="preserve"> employed in the non-agriculture sector in </w:t>
      </w:r>
      <w:r w:rsidR="002B01C3" w:rsidRPr="00446CF3">
        <w:rPr>
          <w:rFonts w:ascii="Times New Roman" w:hAnsi="Times New Roman" w:cs="Times New Roman" w:hint="cs"/>
          <w:color w:val="000000" w:themeColor="text1"/>
          <w:sz w:val="24"/>
          <w:szCs w:val="24"/>
          <w:rtl/>
        </w:rPr>
        <w:t>2022</w:t>
      </w:r>
      <w:r w:rsidR="002B01C3" w:rsidRPr="00446CF3">
        <w:rPr>
          <w:rFonts w:ascii="Times New Roman" w:hAnsi="Times New Roman" w:cs="Times New Roman"/>
          <w:color w:val="000000" w:themeColor="text1"/>
          <w:sz w:val="24"/>
          <w:szCs w:val="24"/>
        </w:rPr>
        <w:t xml:space="preserve"> </w:t>
      </w:r>
      <w:r w:rsidRPr="00446CF3">
        <w:rPr>
          <w:rFonts w:ascii="Times New Roman" w:hAnsi="Times New Roman" w:cs="Times New Roman"/>
          <w:color w:val="000000" w:themeColor="text1"/>
          <w:sz w:val="24"/>
          <w:szCs w:val="24"/>
        </w:rPr>
        <w:t>including</w:t>
      </w:r>
      <w:r w:rsidR="0071415F" w:rsidRPr="00446CF3">
        <w:rPr>
          <w:rFonts w:ascii="Times New Roman" w:hAnsi="Times New Roman" w:cs="Times New Roman"/>
          <w:color w:val="000000" w:themeColor="text1"/>
          <w:sz w:val="24"/>
          <w:szCs w:val="24"/>
        </w:rPr>
        <w:t xml:space="preserve"> </w:t>
      </w:r>
      <w:r w:rsidR="00BF1D74" w:rsidRPr="00446CF3">
        <w:rPr>
          <w:rFonts w:ascii="Times New Roman" w:hAnsi="Times New Roman" w:cs="Times New Roman"/>
          <w:color w:val="000000" w:themeColor="text1"/>
          <w:sz w:val="24"/>
          <w:szCs w:val="24"/>
        </w:rPr>
        <w:t>67.5</w:t>
      </w:r>
      <w:r w:rsidR="004A40F1" w:rsidRPr="00446CF3">
        <w:rPr>
          <w:rFonts w:ascii="Times New Roman" w:hAnsi="Times New Roman" w:cs="Times New Roman"/>
          <w:color w:val="000000" w:themeColor="text1"/>
          <w:sz w:val="24"/>
          <w:szCs w:val="24"/>
        </w:rPr>
        <w:t xml:space="preserve">% males and </w:t>
      </w:r>
      <w:r w:rsidR="00BF1D74" w:rsidRPr="00446CF3">
        <w:rPr>
          <w:rFonts w:ascii="Times New Roman" w:hAnsi="Times New Roman" w:cs="Times New Roman"/>
          <w:color w:val="000000" w:themeColor="text1"/>
          <w:sz w:val="24"/>
          <w:szCs w:val="24"/>
        </w:rPr>
        <w:t>40.6</w:t>
      </w:r>
      <w:r w:rsidR="004A40F1" w:rsidRPr="00446CF3">
        <w:rPr>
          <w:rFonts w:ascii="Times New Roman" w:hAnsi="Times New Roman" w:cs="Times New Roman"/>
          <w:color w:val="000000" w:themeColor="text1"/>
          <w:sz w:val="24"/>
          <w:szCs w:val="24"/>
        </w:rPr>
        <w:t xml:space="preserve">% for females, while </w:t>
      </w:r>
      <w:r w:rsidR="00BF1D74" w:rsidRPr="00446CF3">
        <w:rPr>
          <w:rFonts w:ascii="Times New Roman" w:hAnsi="Times New Roman" w:cs="Times New Roman"/>
          <w:color w:val="000000" w:themeColor="text1"/>
          <w:sz w:val="24"/>
          <w:szCs w:val="24"/>
        </w:rPr>
        <w:t>64.9</w:t>
      </w:r>
      <w:r w:rsidR="004A40F1" w:rsidRPr="00446CF3">
        <w:rPr>
          <w:rFonts w:ascii="Times New Roman" w:hAnsi="Times New Roman" w:cs="Times New Roman"/>
          <w:color w:val="000000" w:themeColor="text1"/>
          <w:sz w:val="24"/>
          <w:szCs w:val="24"/>
        </w:rPr>
        <w:t xml:space="preserve">% in the West Bank and </w:t>
      </w:r>
      <w:r w:rsidR="00BF1D74" w:rsidRPr="00446CF3">
        <w:rPr>
          <w:rFonts w:ascii="Times New Roman" w:hAnsi="Times New Roman" w:cs="Times New Roman"/>
          <w:color w:val="000000" w:themeColor="text1"/>
          <w:sz w:val="24"/>
          <w:szCs w:val="24"/>
        </w:rPr>
        <w:t>57.9</w:t>
      </w:r>
      <w:r w:rsidR="004A40F1" w:rsidRPr="00446CF3">
        <w:rPr>
          <w:rFonts w:ascii="Times New Roman" w:hAnsi="Times New Roman" w:cs="Times New Roman"/>
          <w:color w:val="000000" w:themeColor="text1"/>
          <w:sz w:val="24"/>
          <w:szCs w:val="24"/>
        </w:rPr>
        <w:t>% in Gaza Strip.</w:t>
      </w:r>
    </w:p>
    <w:p w14:paraId="7D17C36C" w14:textId="77777777" w:rsidR="0086098A" w:rsidRPr="00446CF3" w:rsidRDefault="0086098A" w:rsidP="0086098A">
      <w:pPr>
        <w:autoSpaceDE w:val="0"/>
        <w:autoSpaceDN w:val="0"/>
        <w:bidi w:val="0"/>
        <w:adjustRightInd w:val="0"/>
        <w:spacing w:after="0" w:line="240" w:lineRule="auto"/>
        <w:jc w:val="both"/>
        <w:rPr>
          <w:rFonts w:ascii="Arial" w:hAnsi="Arial"/>
          <w:b/>
          <w:bCs/>
        </w:rPr>
      </w:pPr>
    </w:p>
    <w:p w14:paraId="13B1082A" w14:textId="77777777" w:rsidR="0071415F" w:rsidRPr="0090647B" w:rsidRDefault="004A40F1" w:rsidP="002B01C3">
      <w:pPr>
        <w:tabs>
          <w:tab w:val="left" w:pos="9072"/>
        </w:tabs>
        <w:bidi w:val="0"/>
        <w:spacing w:after="0" w:line="240" w:lineRule="auto"/>
        <w:jc w:val="center"/>
        <w:rPr>
          <w:rFonts w:ascii="Arial" w:hAnsi="Arial"/>
          <w:b/>
          <w:bCs/>
          <w:color w:val="000000" w:themeColor="text1"/>
        </w:rPr>
      </w:pPr>
      <w:r w:rsidRPr="00446CF3">
        <w:rPr>
          <w:rFonts w:ascii="Arial" w:hAnsi="Arial"/>
          <w:b/>
          <w:bCs/>
          <w:color w:val="000000" w:themeColor="text1"/>
        </w:rPr>
        <w:t>Proportion of Informal Employment in Non-Agriculture Employment, 2015-</w:t>
      </w:r>
      <w:r w:rsidRPr="00446CF3">
        <w:rPr>
          <w:rFonts w:ascii="Arial" w:hAnsi="Arial"/>
          <w:b/>
          <w:bCs/>
          <w:color w:val="000000" w:themeColor="text1"/>
          <w:rtl/>
        </w:rPr>
        <w:t>2022</w:t>
      </w:r>
      <w:r w:rsidRPr="00446CF3">
        <w:rPr>
          <w:rFonts w:ascii="Arial" w:hAnsi="Arial"/>
          <w:b/>
          <w:bCs/>
          <w:color w:val="000000" w:themeColor="text1"/>
        </w:rPr>
        <w:t>(%)</w:t>
      </w:r>
    </w:p>
    <w:tbl>
      <w:tblPr>
        <w:tblpPr w:leftFromText="180" w:rightFromText="180" w:vertAnchor="text" w:horzAnchor="margin" w:tblpY="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637C8E09" w14:textId="77777777" w:rsidTr="0071415F">
        <w:trPr>
          <w:trHeight w:val="2960"/>
        </w:trPr>
        <w:tc>
          <w:tcPr>
            <w:tcW w:w="9256" w:type="dxa"/>
            <w:shd w:val="clear" w:color="auto" w:fill="auto"/>
          </w:tcPr>
          <w:p w14:paraId="0992E58A" w14:textId="77777777" w:rsidR="0071415F" w:rsidRPr="0090647B" w:rsidRDefault="00FB3B78" w:rsidP="0071415F">
            <w:pPr>
              <w:tabs>
                <w:tab w:val="left" w:pos="9072"/>
              </w:tabs>
              <w:bidi w:val="0"/>
              <w:spacing w:after="0" w:line="240" w:lineRule="auto"/>
              <w:jc w:val="center"/>
              <w:rPr>
                <w:rFonts w:ascii="Arial" w:hAnsi="Arial"/>
                <w:b/>
                <w:bCs/>
                <w:color w:val="000000" w:themeColor="text1"/>
                <w:lang w:val="it-IT"/>
              </w:rPr>
            </w:pPr>
            <w:r w:rsidRPr="001465EE">
              <w:rPr>
                <w:b/>
                <w:bCs/>
                <w:noProof/>
              </w:rPr>
              <w:drawing>
                <wp:inline distT="0" distB="0" distL="0" distR="0" wp14:anchorId="3B684FA2" wp14:editId="2BC3DE7B">
                  <wp:extent cx="5311665" cy="2019300"/>
                  <wp:effectExtent l="0" t="0" r="3810" b="0"/>
                  <wp:docPr id="25" name="Chart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bl>
    <w:p w14:paraId="3C61E43C" w14:textId="77777777" w:rsidR="0071415F" w:rsidRPr="0090647B" w:rsidRDefault="0071415F" w:rsidP="00FB3B78">
      <w:pPr>
        <w:tabs>
          <w:tab w:val="left" w:pos="690"/>
        </w:tabs>
        <w:bidi w:val="0"/>
        <w:spacing w:after="0" w:line="240" w:lineRule="auto"/>
        <w:ind w:left="720" w:hanging="720"/>
        <w:rPr>
          <w:rFonts w:ascii="Arial" w:hAnsi="Arial"/>
          <w:color w:val="000000" w:themeColor="text1"/>
          <w:sz w:val="18"/>
          <w:szCs w:val="18"/>
        </w:rPr>
      </w:pPr>
      <w:r w:rsidRPr="0090647B">
        <w:rPr>
          <w:rFonts w:ascii="Arial" w:hAnsi="Arial"/>
          <w:b/>
          <w:bCs/>
          <w:color w:val="000000" w:themeColor="text1"/>
          <w:sz w:val="18"/>
          <w:szCs w:val="18"/>
        </w:rPr>
        <w:t>Source: Palestinian Central Bureau of Statistics,</w:t>
      </w:r>
      <w:r w:rsidRPr="0090647B">
        <w:rPr>
          <w:rFonts w:ascii="Arial" w:hAnsi="Arial"/>
          <w:color w:val="000000" w:themeColor="text1"/>
          <w:sz w:val="18"/>
          <w:szCs w:val="18"/>
        </w:rPr>
        <w:t xml:space="preserve">Labour Force Survey </w:t>
      </w:r>
      <w:r w:rsidR="004D27B9">
        <w:rPr>
          <w:rFonts w:ascii="Arial" w:hAnsi="Arial"/>
          <w:color w:val="000000" w:themeColor="text1"/>
          <w:sz w:val="18"/>
          <w:szCs w:val="18"/>
        </w:rPr>
        <w:t>D</w:t>
      </w:r>
      <w:r w:rsidRPr="0090647B">
        <w:rPr>
          <w:rFonts w:ascii="Arial" w:hAnsi="Arial"/>
          <w:color w:val="000000" w:themeColor="text1"/>
          <w:sz w:val="18"/>
          <w:szCs w:val="18"/>
        </w:rPr>
        <w:t xml:space="preserve">atabase, </w:t>
      </w:r>
      <w:r w:rsidR="00A25FCF">
        <w:rPr>
          <w:rFonts w:ascii="Arial" w:hAnsi="Arial"/>
          <w:color w:val="000000" w:themeColor="text1"/>
          <w:sz w:val="18"/>
          <w:szCs w:val="18"/>
        </w:rPr>
        <w:t>2015</w:t>
      </w:r>
      <w:r w:rsidRPr="0090647B">
        <w:rPr>
          <w:rFonts w:ascii="Arial" w:hAnsi="Arial"/>
          <w:color w:val="000000" w:themeColor="text1"/>
          <w:sz w:val="18"/>
          <w:szCs w:val="18"/>
        </w:rPr>
        <w:t xml:space="preserve">- </w:t>
      </w:r>
      <w:r w:rsidRPr="0090647B">
        <w:rPr>
          <w:rFonts w:ascii="Arial" w:hAnsi="Arial" w:hint="cs"/>
          <w:color w:val="000000" w:themeColor="text1"/>
          <w:sz w:val="18"/>
          <w:szCs w:val="18"/>
          <w:rtl/>
        </w:rPr>
        <w:t>202</w:t>
      </w:r>
      <w:r w:rsidR="00FB3B78">
        <w:rPr>
          <w:rFonts w:ascii="Arial" w:hAnsi="Arial"/>
          <w:color w:val="000000" w:themeColor="text1"/>
          <w:sz w:val="18"/>
          <w:szCs w:val="18"/>
        </w:rPr>
        <w:t>2</w:t>
      </w:r>
      <w:r w:rsidRPr="0090647B">
        <w:rPr>
          <w:rFonts w:ascii="Arial" w:hAnsi="Arial"/>
          <w:color w:val="000000" w:themeColor="text1"/>
          <w:sz w:val="18"/>
          <w:szCs w:val="18"/>
        </w:rPr>
        <w:t>.  Ramallah - Palestine.</w:t>
      </w:r>
    </w:p>
    <w:p w14:paraId="127D9A08" w14:textId="77777777" w:rsidR="0071415F" w:rsidRPr="00E6392C" w:rsidRDefault="0071415F" w:rsidP="0071415F">
      <w:pPr>
        <w:autoSpaceDE w:val="0"/>
        <w:autoSpaceDN w:val="0"/>
        <w:bidi w:val="0"/>
        <w:adjustRightInd w:val="0"/>
        <w:spacing w:after="0" w:line="240" w:lineRule="auto"/>
        <w:jc w:val="both"/>
        <w:rPr>
          <w:rFonts w:ascii="Arial" w:hAnsi="Arial"/>
          <w:b/>
        </w:rPr>
      </w:pPr>
    </w:p>
    <w:p w14:paraId="778ADC46" w14:textId="77777777" w:rsidR="00F61E98" w:rsidRDefault="00F61E98" w:rsidP="00F61E98">
      <w:pPr>
        <w:autoSpaceDE w:val="0"/>
        <w:autoSpaceDN w:val="0"/>
        <w:bidi w:val="0"/>
        <w:adjustRightInd w:val="0"/>
        <w:spacing w:after="0" w:line="240" w:lineRule="auto"/>
        <w:jc w:val="both"/>
        <w:rPr>
          <w:rFonts w:ascii="Arial" w:hAnsi="Arial"/>
          <w:b/>
          <w:bCs/>
        </w:rPr>
      </w:pPr>
    </w:p>
    <w:p w14:paraId="2531728D" w14:textId="77777777" w:rsidR="00F61E98" w:rsidRPr="00446CF3" w:rsidRDefault="00F61E98" w:rsidP="00135E7C">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446CF3">
        <w:rPr>
          <w:rFonts w:ascii="Times New Roman" w:hAnsi="Times New Roman" w:cs="Times New Roman"/>
          <w:b/>
          <w:bCs/>
          <w:i/>
          <w:iCs/>
          <w:color w:val="000000" w:themeColor="text1"/>
          <w:sz w:val="24"/>
          <w:szCs w:val="24"/>
        </w:rPr>
        <w:t xml:space="preserve">Indicator 8.3.1.3 Proportion of informal employment in </w:t>
      </w:r>
      <w:r w:rsidR="00135E7C" w:rsidRPr="00446CF3">
        <w:rPr>
          <w:rFonts w:ascii="Times New Roman" w:hAnsi="Times New Roman" w:cs="Times New Roman"/>
          <w:b/>
          <w:bCs/>
          <w:i/>
          <w:iCs/>
          <w:color w:val="000000" w:themeColor="text1"/>
          <w:sz w:val="24"/>
          <w:szCs w:val="24"/>
        </w:rPr>
        <w:t>agriculture</w:t>
      </w:r>
      <w:r w:rsidRPr="00446CF3">
        <w:rPr>
          <w:rFonts w:ascii="Times New Roman" w:hAnsi="Times New Roman" w:cs="Times New Roman"/>
          <w:b/>
          <w:bCs/>
          <w:i/>
          <w:iCs/>
          <w:color w:val="000000" w:themeColor="text1"/>
          <w:sz w:val="24"/>
          <w:szCs w:val="24"/>
        </w:rPr>
        <w:t xml:space="preserve"> employment, by sex</w:t>
      </w:r>
    </w:p>
    <w:p w14:paraId="75044E48" w14:textId="77777777" w:rsidR="00877949" w:rsidRPr="00446CF3"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13C0FCD" w14:textId="77777777" w:rsidR="00F61E98" w:rsidRPr="00446CF3" w:rsidRDefault="004D27B9" w:rsidP="00BF1D74">
      <w:pPr>
        <w:autoSpaceDE w:val="0"/>
        <w:autoSpaceDN w:val="0"/>
        <w:bidi w:val="0"/>
        <w:adjustRightInd w:val="0"/>
        <w:spacing w:after="0" w:line="240" w:lineRule="auto"/>
        <w:jc w:val="both"/>
        <w:rPr>
          <w:rFonts w:ascii="Arial" w:hAnsi="Arial"/>
          <w:b/>
          <w:bCs/>
        </w:rPr>
      </w:pPr>
      <w:r w:rsidRPr="00446CF3">
        <w:rPr>
          <w:rFonts w:ascii="Times New Roman" w:hAnsi="Times New Roman" w:cs="Times New Roman"/>
          <w:color w:val="000000" w:themeColor="text1"/>
          <w:sz w:val="24"/>
          <w:szCs w:val="24"/>
        </w:rPr>
        <w:t xml:space="preserve">Approximately </w:t>
      </w:r>
      <w:r w:rsidR="00BF1D74" w:rsidRPr="00446CF3">
        <w:rPr>
          <w:rFonts w:ascii="Times New Roman" w:hAnsi="Times New Roman" w:cs="Times New Roman" w:hint="cs"/>
          <w:color w:val="000000" w:themeColor="text1"/>
          <w:sz w:val="24"/>
          <w:szCs w:val="24"/>
          <w:rtl/>
        </w:rPr>
        <w:t>96</w:t>
      </w:r>
      <w:r w:rsidR="00F61E98" w:rsidRPr="00446CF3">
        <w:rPr>
          <w:rFonts w:ascii="Times New Roman" w:hAnsi="Times New Roman" w:cs="Times New Roman"/>
          <w:color w:val="000000" w:themeColor="text1"/>
          <w:sz w:val="24"/>
          <w:szCs w:val="24"/>
        </w:rPr>
        <w:t>% of the employed individuals were classified as informal</w:t>
      </w:r>
      <w:r w:rsidRPr="00446CF3">
        <w:rPr>
          <w:rFonts w:ascii="Times New Roman" w:hAnsi="Times New Roman" w:cs="Times New Roman"/>
          <w:color w:val="000000" w:themeColor="text1"/>
          <w:sz w:val="24"/>
          <w:szCs w:val="24"/>
        </w:rPr>
        <w:t>ly</w:t>
      </w:r>
      <w:r w:rsidR="00F61E98" w:rsidRPr="00446CF3">
        <w:rPr>
          <w:rFonts w:ascii="Times New Roman" w:hAnsi="Times New Roman" w:cs="Times New Roman"/>
          <w:color w:val="000000" w:themeColor="text1"/>
          <w:sz w:val="24"/>
          <w:szCs w:val="24"/>
        </w:rPr>
        <w:t xml:space="preserve"> employed in </w:t>
      </w:r>
      <w:r w:rsidRPr="00446CF3">
        <w:rPr>
          <w:rFonts w:ascii="Times New Roman" w:hAnsi="Times New Roman" w:cs="Times New Roman"/>
          <w:color w:val="000000" w:themeColor="text1"/>
          <w:sz w:val="24"/>
          <w:szCs w:val="24"/>
        </w:rPr>
        <w:t xml:space="preserve">the </w:t>
      </w:r>
      <w:r w:rsidR="00135E7C" w:rsidRPr="00446CF3">
        <w:rPr>
          <w:rFonts w:ascii="Times New Roman" w:hAnsi="Times New Roman" w:cs="Times New Roman"/>
          <w:color w:val="000000" w:themeColor="text1"/>
          <w:sz w:val="24"/>
          <w:szCs w:val="24"/>
        </w:rPr>
        <w:t>agriculture</w:t>
      </w:r>
      <w:r w:rsidR="00F61E98" w:rsidRPr="00446CF3">
        <w:rPr>
          <w:rFonts w:ascii="Times New Roman" w:hAnsi="Times New Roman" w:cs="Times New Roman"/>
          <w:color w:val="000000" w:themeColor="text1"/>
          <w:sz w:val="24"/>
          <w:szCs w:val="24"/>
        </w:rPr>
        <w:t xml:space="preserve"> sectors in </w:t>
      </w:r>
      <w:r w:rsidR="00BF1D74" w:rsidRPr="00446CF3">
        <w:rPr>
          <w:rFonts w:ascii="Times New Roman" w:hAnsi="Times New Roman" w:cs="Times New Roman" w:hint="cs"/>
          <w:color w:val="000000" w:themeColor="text1"/>
          <w:sz w:val="24"/>
          <w:szCs w:val="24"/>
          <w:rtl/>
        </w:rPr>
        <w:t>2022</w:t>
      </w:r>
      <w:r w:rsidR="00F61E98" w:rsidRPr="00446CF3">
        <w:rPr>
          <w:rFonts w:ascii="Times New Roman" w:hAnsi="Times New Roman" w:cs="Times New Roman"/>
          <w:color w:val="000000" w:themeColor="text1"/>
          <w:sz w:val="24"/>
          <w:szCs w:val="24"/>
        </w:rPr>
        <w:t xml:space="preserve"> of which </w:t>
      </w:r>
      <w:r w:rsidR="00BF1D74" w:rsidRPr="00446CF3">
        <w:rPr>
          <w:rFonts w:ascii="Times New Roman" w:hAnsi="Times New Roman" w:cs="Times New Roman"/>
          <w:color w:val="000000" w:themeColor="text1"/>
          <w:sz w:val="24"/>
          <w:szCs w:val="24"/>
        </w:rPr>
        <w:t>96.1</w:t>
      </w:r>
      <w:r w:rsidR="00F61E98" w:rsidRPr="00446CF3">
        <w:rPr>
          <w:rFonts w:ascii="Times New Roman" w:hAnsi="Times New Roman" w:cs="Times New Roman"/>
          <w:color w:val="000000" w:themeColor="text1"/>
          <w:sz w:val="24"/>
          <w:szCs w:val="24"/>
        </w:rPr>
        <w:t xml:space="preserve">% </w:t>
      </w:r>
      <w:r w:rsidRPr="00446CF3">
        <w:rPr>
          <w:rFonts w:ascii="Times New Roman" w:hAnsi="Times New Roman" w:cs="Times New Roman"/>
          <w:color w:val="000000" w:themeColor="text1"/>
          <w:sz w:val="24"/>
          <w:szCs w:val="24"/>
        </w:rPr>
        <w:t>were</w:t>
      </w:r>
      <w:r w:rsidR="00F61E98" w:rsidRPr="00446CF3">
        <w:rPr>
          <w:rFonts w:ascii="Times New Roman" w:hAnsi="Times New Roman" w:cs="Times New Roman"/>
          <w:color w:val="000000" w:themeColor="text1"/>
          <w:sz w:val="24"/>
          <w:szCs w:val="24"/>
        </w:rPr>
        <w:t xml:space="preserve"> male and </w:t>
      </w:r>
      <w:r w:rsidR="00BF1D74" w:rsidRPr="00446CF3">
        <w:rPr>
          <w:rFonts w:ascii="Times New Roman" w:hAnsi="Times New Roman" w:cs="Times New Roman"/>
          <w:color w:val="000000" w:themeColor="text1"/>
          <w:sz w:val="24"/>
          <w:szCs w:val="24"/>
        </w:rPr>
        <w:t>95.6</w:t>
      </w:r>
      <w:r w:rsidR="00F61E98" w:rsidRPr="00446CF3">
        <w:rPr>
          <w:rFonts w:ascii="Times New Roman" w:hAnsi="Times New Roman" w:cs="Times New Roman"/>
          <w:color w:val="000000" w:themeColor="text1"/>
          <w:sz w:val="24"/>
          <w:szCs w:val="24"/>
        </w:rPr>
        <w:t xml:space="preserve">% </w:t>
      </w:r>
      <w:r w:rsidRPr="00446CF3">
        <w:rPr>
          <w:rFonts w:ascii="Times New Roman" w:hAnsi="Times New Roman" w:cs="Times New Roman"/>
          <w:color w:val="000000" w:themeColor="text1"/>
          <w:sz w:val="24"/>
          <w:szCs w:val="24"/>
        </w:rPr>
        <w:t>were</w:t>
      </w:r>
      <w:r w:rsidR="00F61E98" w:rsidRPr="00446CF3">
        <w:rPr>
          <w:rFonts w:ascii="Times New Roman" w:hAnsi="Times New Roman" w:cs="Times New Roman"/>
          <w:color w:val="000000" w:themeColor="text1"/>
          <w:sz w:val="24"/>
          <w:szCs w:val="24"/>
        </w:rPr>
        <w:t xml:space="preserve"> female w</w:t>
      </w:r>
      <w:r w:rsidRPr="00446CF3">
        <w:rPr>
          <w:rFonts w:ascii="Times New Roman" w:hAnsi="Times New Roman" w:cs="Times New Roman"/>
          <w:color w:val="000000" w:themeColor="text1"/>
          <w:sz w:val="24"/>
          <w:szCs w:val="24"/>
        </w:rPr>
        <w:t>ith</w:t>
      </w:r>
      <w:r w:rsidR="00BF1D74" w:rsidRPr="00446CF3">
        <w:rPr>
          <w:rFonts w:ascii="Times New Roman" w:hAnsi="Times New Roman" w:cs="Times New Roman"/>
          <w:color w:val="000000" w:themeColor="text1"/>
          <w:sz w:val="24"/>
          <w:szCs w:val="24"/>
        </w:rPr>
        <w:t xml:space="preserve"> </w:t>
      </w:r>
      <w:r w:rsidR="00135E7C" w:rsidRPr="00446CF3">
        <w:rPr>
          <w:rFonts w:ascii="Times New Roman" w:hAnsi="Times New Roman" w:cs="Times New Roman"/>
          <w:color w:val="000000" w:themeColor="text1"/>
          <w:sz w:val="24"/>
          <w:szCs w:val="24"/>
        </w:rPr>
        <w:t>95.</w:t>
      </w:r>
      <w:r w:rsidR="00BF1D74" w:rsidRPr="00446CF3">
        <w:rPr>
          <w:rFonts w:ascii="Times New Roman" w:hAnsi="Times New Roman" w:cs="Times New Roman"/>
          <w:color w:val="000000" w:themeColor="text1"/>
          <w:sz w:val="24"/>
          <w:szCs w:val="24"/>
        </w:rPr>
        <w:t>6</w:t>
      </w:r>
      <w:r w:rsidR="00F61E98" w:rsidRPr="00446CF3">
        <w:rPr>
          <w:rFonts w:ascii="Times New Roman" w:hAnsi="Times New Roman" w:cs="Times New Roman"/>
          <w:color w:val="000000" w:themeColor="text1"/>
          <w:sz w:val="24"/>
          <w:szCs w:val="24"/>
        </w:rPr>
        <w:t xml:space="preserve">% in the West Bank and </w:t>
      </w:r>
      <w:r w:rsidR="00BF1D74" w:rsidRPr="00446CF3">
        <w:rPr>
          <w:rFonts w:ascii="Times New Roman" w:hAnsi="Times New Roman" w:cs="Times New Roman"/>
          <w:color w:val="000000" w:themeColor="text1"/>
          <w:sz w:val="24"/>
          <w:szCs w:val="24"/>
        </w:rPr>
        <w:t>96.9</w:t>
      </w:r>
      <w:r w:rsidR="00F61E98" w:rsidRPr="00446CF3">
        <w:rPr>
          <w:rFonts w:ascii="Times New Roman" w:hAnsi="Times New Roman" w:cs="Times New Roman"/>
          <w:color w:val="000000" w:themeColor="text1"/>
          <w:sz w:val="24"/>
          <w:szCs w:val="24"/>
        </w:rPr>
        <w:t xml:space="preserve">% in </w:t>
      </w:r>
      <w:r w:rsidRPr="00446CF3">
        <w:rPr>
          <w:rFonts w:ascii="Times New Roman" w:hAnsi="Times New Roman" w:cs="Times New Roman"/>
          <w:color w:val="000000" w:themeColor="text1"/>
          <w:sz w:val="24"/>
          <w:szCs w:val="24"/>
        </w:rPr>
        <w:t xml:space="preserve">the </w:t>
      </w:r>
      <w:r w:rsidR="00F61E98" w:rsidRPr="00446CF3">
        <w:rPr>
          <w:rFonts w:ascii="Times New Roman" w:hAnsi="Times New Roman" w:cs="Times New Roman"/>
          <w:color w:val="000000" w:themeColor="text1"/>
          <w:sz w:val="24"/>
          <w:szCs w:val="24"/>
        </w:rPr>
        <w:t>Gaza Strip.</w:t>
      </w:r>
    </w:p>
    <w:p w14:paraId="3836F7D3" w14:textId="77777777" w:rsidR="0086098A" w:rsidRPr="00446CF3" w:rsidRDefault="0086098A" w:rsidP="0086098A">
      <w:pPr>
        <w:autoSpaceDE w:val="0"/>
        <w:autoSpaceDN w:val="0"/>
        <w:bidi w:val="0"/>
        <w:adjustRightInd w:val="0"/>
        <w:spacing w:after="0" w:line="240" w:lineRule="auto"/>
        <w:jc w:val="both"/>
        <w:rPr>
          <w:rFonts w:ascii="Arial" w:hAnsi="Arial"/>
          <w:b/>
          <w:bCs/>
        </w:rPr>
      </w:pPr>
    </w:p>
    <w:p w14:paraId="2FCE3704" w14:textId="77777777" w:rsidR="0071415F" w:rsidRPr="00446CF3" w:rsidRDefault="004A40F1"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446CF3">
        <w:rPr>
          <w:rFonts w:ascii="Times New Roman" w:hAnsi="Times New Roman" w:cs="Times New Roman"/>
          <w:b/>
          <w:bCs/>
          <w:i/>
          <w:iCs/>
          <w:color w:val="000000" w:themeColor="text1"/>
          <w:sz w:val="24"/>
          <w:szCs w:val="24"/>
        </w:rPr>
        <w:t>Indicator 8.5.1 Average hourly earnings of female and male employees, by occupation and age</w:t>
      </w:r>
    </w:p>
    <w:p w14:paraId="1521545F" w14:textId="77777777" w:rsidR="00877949" w:rsidRPr="00446CF3"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AAE71AA" w14:textId="77777777" w:rsidR="00360DB2" w:rsidRPr="00446CF3" w:rsidRDefault="00360DB2" w:rsidP="00360DB2">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The average daily wage of employees in Palestine amounted to 143.8 NIS in 2022, of which 171.1 NIS is the wage for the West Bank and 57.8 NIS in Gaza Strip. Moreover, this wage reached 105.9 NIS for females compared with 150.6 NIS for males. Employees receive the highest salaries when their occupation is a legislators, senior officials and managers with an average wage of 187.9 NIS per day, followed</w:t>
      </w:r>
      <w:r w:rsidRPr="00446CF3" w:rsidDel="00DB5E75">
        <w:rPr>
          <w:rFonts w:ascii="Times New Roman" w:hAnsi="Times New Roman" w:cs="Times New Roman"/>
          <w:color w:val="000000" w:themeColor="text1"/>
          <w:sz w:val="24"/>
          <w:szCs w:val="24"/>
        </w:rPr>
        <w:t xml:space="preserve"> </w:t>
      </w:r>
      <w:r w:rsidRPr="00446CF3">
        <w:rPr>
          <w:rFonts w:ascii="Times New Roman" w:hAnsi="Times New Roman" w:cs="Times New Roman"/>
          <w:color w:val="000000" w:themeColor="text1"/>
          <w:sz w:val="24"/>
          <w:szCs w:val="24"/>
        </w:rPr>
        <w:t xml:space="preserve">by skilled workers in agriculture and fishing, with an average daily wage of 140.3 shekels, while the lowest average daily wage was among workers in the services, shops, and market worker occupations (NIS 91.5 per day).. </w:t>
      </w:r>
    </w:p>
    <w:p w14:paraId="514B6697" w14:textId="77777777" w:rsidR="00360DB2" w:rsidRPr="00446CF3" w:rsidRDefault="00360DB2" w:rsidP="00360DB2">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4AB94E8"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57C7141"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446CF3">
        <w:rPr>
          <w:rFonts w:ascii="Times New Roman" w:hAnsi="Times New Roman"/>
          <w:b/>
          <w:i/>
          <w:color w:val="000000" w:themeColor="text1"/>
          <w:sz w:val="24"/>
        </w:rPr>
        <w:t xml:space="preserve">Indicator </w:t>
      </w:r>
      <w:r w:rsidRPr="00446CF3">
        <w:rPr>
          <w:rFonts w:ascii="Times New Roman" w:hAnsi="Times New Roman" w:cs="Times New Roman"/>
          <w:b/>
          <w:bCs/>
          <w:i/>
          <w:iCs/>
          <w:color w:val="000000" w:themeColor="text1"/>
          <w:sz w:val="24"/>
          <w:szCs w:val="24"/>
          <w:rtl/>
        </w:rPr>
        <w:t>8.5.2</w:t>
      </w:r>
      <w:r w:rsidRPr="00446CF3">
        <w:rPr>
          <w:rFonts w:ascii="Times New Roman" w:hAnsi="Times New Roman"/>
          <w:b/>
          <w:i/>
          <w:color w:val="000000" w:themeColor="text1"/>
          <w:sz w:val="24"/>
        </w:rPr>
        <w:t xml:space="preserve"> Unemployment rate, by sex</w:t>
      </w:r>
      <w:r w:rsidR="000C23C6" w:rsidRPr="00446CF3">
        <w:rPr>
          <w:rFonts w:ascii="Times New Roman" w:hAnsi="Times New Roman" w:cs="Times New Roman"/>
          <w:b/>
          <w:bCs/>
          <w:i/>
          <w:iCs/>
          <w:color w:val="000000" w:themeColor="text1"/>
          <w:sz w:val="24"/>
          <w:szCs w:val="24"/>
        </w:rPr>
        <w:t xml:space="preserve">, </w:t>
      </w:r>
      <w:r w:rsidRPr="00446CF3">
        <w:rPr>
          <w:rFonts w:ascii="Times New Roman" w:hAnsi="Times New Roman" w:cs="Times New Roman"/>
          <w:b/>
          <w:bCs/>
          <w:i/>
          <w:iCs/>
          <w:color w:val="000000" w:themeColor="text1"/>
          <w:sz w:val="24"/>
          <w:szCs w:val="24"/>
        </w:rPr>
        <w:t>age</w:t>
      </w:r>
      <w:r w:rsidR="000C23C6" w:rsidRPr="00446CF3">
        <w:rPr>
          <w:rFonts w:ascii="Times New Roman" w:hAnsi="Times New Roman" w:cs="Times New Roman"/>
          <w:b/>
          <w:bCs/>
          <w:i/>
          <w:iCs/>
          <w:color w:val="000000" w:themeColor="text1"/>
          <w:sz w:val="24"/>
          <w:szCs w:val="24"/>
        </w:rPr>
        <w:t>,</w:t>
      </w:r>
      <w:r w:rsidRPr="00446CF3">
        <w:rPr>
          <w:rFonts w:ascii="Times New Roman" w:hAnsi="Times New Roman"/>
          <w:b/>
          <w:i/>
          <w:color w:val="000000" w:themeColor="text1"/>
          <w:sz w:val="24"/>
        </w:rPr>
        <w:t xml:space="preserve"> and </w:t>
      </w:r>
      <w:r w:rsidR="000C23C6" w:rsidRPr="00446CF3">
        <w:rPr>
          <w:rFonts w:ascii="Times New Roman" w:hAnsi="Times New Roman" w:cs="Times New Roman"/>
          <w:b/>
          <w:bCs/>
          <w:i/>
          <w:iCs/>
          <w:color w:val="000000" w:themeColor="text1"/>
          <w:sz w:val="24"/>
          <w:szCs w:val="24"/>
        </w:rPr>
        <w:t>person with disabilities</w:t>
      </w:r>
    </w:p>
    <w:p w14:paraId="2211B6D0" w14:textId="77777777" w:rsidR="00877949" w:rsidRPr="00446CF3" w:rsidRDefault="00877949" w:rsidP="00877949">
      <w:pPr>
        <w:autoSpaceDE w:val="0"/>
        <w:autoSpaceDN w:val="0"/>
        <w:bidi w:val="0"/>
        <w:adjustRightInd w:val="0"/>
        <w:spacing w:after="0" w:line="240" w:lineRule="auto"/>
        <w:jc w:val="both"/>
        <w:rPr>
          <w:rFonts w:ascii="Times New Roman" w:hAnsi="Times New Roman"/>
          <w:b/>
          <w:i/>
          <w:color w:val="000000" w:themeColor="text1"/>
          <w:sz w:val="24"/>
        </w:rPr>
      </w:pPr>
    </w:p>
    <w:p w14:paraId="1C9F0821" w14:textId="77777777" w:rsidR="0071415F" w:rsidRDefault="0071415F" w:rsidP="006D67AE">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Unemployment is characterized by </w:t>
      </w:r>
      <w:r w:rsidR="00897847" w:rsidRPr="00446CF3">
        <w:rPr>
          <w:rFonts w:ascii="Times New Roman" w:hAnsi="Times New Roman" w:cs="Times New Roman"/>
          <w:color w:val="000000" w:themeColor="text1"/>
          <w:sz w:val="24"/>
          <w:szCs w:val="24"/>
        </w:rPr>
        <w:t xml:space="preserve">a </w:t>
      </w:r>
      <w:r w:rsidRPr="00446CF3">
        <w:rPr>
          <w:rFonts w:ascii="Times New Roman" w:hAnsi="Times New Roman" w:cs="Times New Roman"/>
          <w:color w:val="000000" w:themeColor="text1"/>
          <w:sz w:val="24"/>
          <w:szCs w:val="24"/>
        </w:rPr>
        <w:t xml:space="preserve">fluctuating nature as it rises and falls according to the socio-economic conditions. The unemployment rate </w:t>
      </w:r>
      <w:r w:rsidR="002B01C3" w:rsidRPr="00446CF3">
        <w:rPr>
          <w:rFonts w:ascii="Times New Roman" w:hAnsi="Times New Roman" w:cs="Times New Roman"/>
          <w:color w:val="000000" w:themeColor="text1"/>
          <w:sz w:val="24"/>
          <w:szCs w:val="24"/>
        </w:rPr>
        <w:t xml:space="preserve">decreased </w:t>
      </w:r>
      <w:r w:rsidRPr="00446CF3">
        <w:rPr>
          <w:rFonts w:ascii="Times New Roman" w:hAnsi="Times New Roman" w:cs="Times New Roman"/>
          <w:color w:val="000000" w:themeColor="text1"/>
          <w:sz w:val="24"/>
          <w:szCs w:val="24"/>
        </w:rPr>
        <w:t xml:space="preserve">from </w:t>
      </w:r>
      <w:r w:rsidR="00320733" w:rsidRPr="00446CF3">
        <w:rPr>
          <w:rFonts w:ascii="Times New Roman" w:hAnsi="Times New Roman" w:cs="Times New Roman"/>
          <w:color w:val="000000" w:themeColor="text1"/>
          <w:sz w:val="24"/>
          <w:szCs w:val="24"/>
        </w:rPr>
        <w:t>26</w:t>
      </w:r>
      <w:r w:rsidR="000C23C6" w:rsidRPr="00446CF3">
        <w:rPr>
          <w:rFonts w:ascii="Times New Roman" w:hAnsi="Times New Roman" w:cs="Times New Roman"/>
          <w:color w:val="000000" w:themeColor="text1"/>
          <w:sz w:val="24"/>
          <w:szCs w:val="24"/>
        </w:rPr>
        <w:t>.0</w:t>
      </w:r>
      <w:r w:rsidRPr="00446CF3">
        <w:rPr>
          <w:rFonts w:ascii="Times New Roman" w:hAnsi="Times New Roman" w:cs="Times New Roman"/>
          <w:color w:val="000000" w:themeColor="text1"/>
          <w:sz w:val="24"/>
          <w:szCs w:val="24"/>
        </w:rPr>
        <w:t xml:space="preserve">% in </w:t>
      </w:r>
      <w:r w:rsidR="00C35AF1" w:rsidRPr="00446CF3">
        <w:rPr>
          <w:rFonts w:ascii="Times New Roman" w:hAnsi="Times New Roman" w:cs="Times New Roman"/>
          <w:color w:val="000000" w:themeColor="text1"/>
          <w:sz w:val="24"/>
          <w:szCs w:val="24"/>
        </w:rPr>
        <w:t>2015</w:t>
      </w:r>
      <w:r w:rsidRPr="00446CF3">
        <w:rPr>
          <w:rFonts w:ascii="Times New Roman" w:hAnsi="Times New Roman" w:cs="Times New Roman"/>
          <w:color w:val="000000" w:themeColor="text1"/>
          <w:sz w:val="24"/>
          <w:szCs w:val="24"/>
        </w:rPr>
        <w:t xml:space="preserve"> to </w:t>
      </w:r>
      <w:r w:rsidR="002B01C3" w:rsidRPr="00446CF3">
        <w:rPr>
          <w:rFonts w:ascii="Times New Roman" w:hAnsi="Times New Roman" w:cs="Times New Roman"/>
          <w:color w:val="000000" w:themeColor="text1"/>
          <w:sz w:val="24"/>
          <w:szCs w:val="24"/>
        </w:rPr>
        <w:t>24</w:t>
      </w:r>
      <w:r w:rsidRPr="00446CF3">
        <w:rPr>
          <w:rFonts w:ascii="Times New Roman" w:hAnsi="Times New Roman" w:cs="Times New Roman"/>
          <w:color w:val="000000" w:themeColor="text1"/>
          <w:sz w:val="24"/>
          <w:szCs w:val="24"/>
        </w:rPr>
        <w:t xml:space="preserve">.4% in </w:t>
      </w:r>
      <w:r w:rsidR="002B01C3" w:rsidRPr="00446CF3">
        <w:rPr>
          <w:rFonts w:ascii="Times New Roman" w:hAnsi="Times New Roman" w:cs="Times New Roman"/>
          <w:color w:val="000000" w:themeColor="text1"/>
          <w:sz w:val="24"/>
          <w:szCs w:val="24"/>
        </w:rPr>
        <w:t>2022</w:t>
      </w:r>
      <w:r w:rsidR="00897847" w:rsidRPr="00446CF3">
        <w:rPr>
          <w:rFonts w:ascii="Times New Roman" w:hAnsi="Times New Roman" w:cs="Times New Roman"/>
          <w:color w:val="000000" w:themeColor="text1"/>
          <w:sz w:val="24"/>
          <w:szCs w:val="24"/>
        </w:rPr>
        <w:t xml:space="preserve">. </w:t>
      </w:r>
      <w:r w:rsidR="004A40F1" w:rsidRPr="00446CF3">
        <w:rPr>
          <w:rFonts w:ascii="Times New Roman" w:hAnsi="Times New Roman" w:cs="Times New Roman"/>
          <w:color w:val="000000" w:themeColor="text1"/>
          <w:sz w:val="24"/>
          <w:szCs w:val="24"/>
        </w:rPr>
        <w:t xml:space="preserve">In the West Bank umemploymentdecreased from 17.1% to </w:t>
      </w:r>
      <w:r w:rsidR="006D67AE" w:rsidRPr="00446CF3">
        <w:rPr>
          <w:rFonts w:ascii="Times New Roman" w:hAnsi="Times New Roman" w:cs="Times New Roman"/>
          <w:color w:val="000000" w:themeColor="text1"/>
          <w:sz w:val="24"/>
          <w:szCs w:val="24"/>
        </w:rPr>
        <w:t>13.1</w:t>
      </w:r>
      <w:r w:rsidR="004A40F1" w:rsidRPr="00446CF3">
        <w:rPr>
          <w:rFonts w:ascii="Times New Roman" w:hAnsi="Times New Roman" w:cs="Times New Roman"/>
          <w:color w:val="000000" w:themeColor="text1"/>
          <w:sz w:val="24"/>
          <w:szCs w:val="24"/>
        </w:rPr>
        <w:t xml:space="preserve">% for the same period, and it increased in the Gaza Strip from 41.0% to </w:t>
      </w:r>
      <w:r w:rsidR="006D67AE" w:rsidRPr="00446CF3">
        <w:rPr>
          <w:rFonts w:ascii="Times New Roman" w:hAnsi="Times New Roman" w:cs="Times New Roman"/>
          <w:color w:val="000000" w:themeColor="text1"/>
          <w:sz w:val="24"/>
          <w:szCs w:val="24"/>
        </w:rPr>
        <w:t>45.3</w:t>
      </w:r>
      <w:r w:rsidR="004A40F1" w:rsidRPr="00446CF3">
        <w:rPr>
          <w:rFonts w:ascii="Times New Roman" w:hAnsi="Times New Roman" w:cs="Times New Roman"/>
          <w:color w:val="000000" w:themeColor="text1"/>
          <w:sz w:val="24"/>
          <w:szCs w:val="24"/>
        </w:rPr>
        <w:t>%.</w:t>
      </w:r>
      <w:r w:rsidRPr="00446CF3">
        <w:rPr>
          <w:rFonts w:ascii="Times New Roman" w:hAnsi="Times New Roman" w:cs="Times New Roman"/>
          <w:color w:val="000000" w:themeColor="text1"/>
          <w:sz w:val="24"/>
          <w:szCs w:val="24"/>
        </w:rPr>
        <w:t xml:space="preserve"> </w:t>
      </w:r>
    </w:p>
    <w:p w14:paraId="1C07A72B" w14:textId="77777777" w:rsidR="00446CF3" w:rsidRDefault="00446CF3" w:rsidP="00446CF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CA4D38B" w14:textId="77777777" w:rsidR="00446CF3" w:rsidRDefault="00446CF3" w:rsidP="00446CF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A545ACF" w14:textId="77777777" w:rsidR="00446CF3" w:rsidRDefault="00446CF3" w:rsidP="00446CF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12C6C79" w14:textId="77777777" w:rsidR="00446CF3" w:rsidRPr="00446CF3" w:rsidRDefault="00446CF3" w:rsidP="00446CF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04A3D6B" w14:textId="77777777" w:rsidR="0071415F" w:rsidRPr="0090647B" w:rsidRDefault="004A40F1" w:rsidP="002B01C3">
      <w:pPr>
        <w:tabs>
          <w:tab w:val="left" w:pos="9072"/>
        </w:tabs>
        <w:bidi w:val="0"/>
        <w:spacing w:after="0" w:line="240" w:lineRule="auto"/>
        <w:jc w:val="center"/>
        <w:rPr>
          <w:rFonts w:ascii="Arial" w:hAnsi="Arial"/>
          <w:b/>
          <w:bCs/>
          <w:color w:val="000000" w:themeColor="text1"/>
        </w:rPr>
      </w:pPr>
      <w:r w:rsidRPr="00446CF3">
        <w:rPr>
          <w:rFonts w:ascii="Arial" w:hAnsi="Arial"/>
          <w:b/>
          <w:bCs/>
          <w:color w:val="000000" w:themeColor="text1"/>
        </w:rPr>
        <w:lastRenderedPageBreak/>
        <w:t>Unemployment Rate AmongLabour Force Participants Ages 15 Years and Above by Region2015-2022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DA2024" w14:paraId="4720FDD9" w14:textId="77777777" w:rsidTr="0071415F">
        <w:tc>
          <w:tcPr>
            <w:tcW w:w="9286" w:type="dxa"/>
            <w:shd w:val="clear" w:color="auto" w:fill="auto"/>
          </w:tcPr>
          <w:p w14:paraId="3B22F515" w14:textId="77777777" w:rsidR="0071415F" w:rsidRPr="00DA2024" w:rsidRDefault="0071415F" w:rsidP="0071415F">
            <w:pPr>
              <w:tabs>
                <w:tab w:val="left" w:pos="9072"/>
              </w:tabs>
              <w:bidi w:val="0"/>
              <w:spacing w:after="0" w:line="240" w:lineRule="auto"/>
              <w:jc w:val="center"/>
              <w:rPr>
                <w:rFonts w:ascii="Arial" w:hAnsi="Arial"/>
                <w:b/>
                <w:bCs/>
                <w:lang w:val="it-IT"/>
              </w:rPr>
            </w:pPr>
            <w:r w:rsidRPr="00DA2024">
              <w:rPr>
                <w:rFonts w:ascii="Simplified Arabic" w:hAnsi="Simplified Arabic" w:cs="Simplified Arabic"/>
                <w:b/>
                <w:bCs/>
                <w:noProof/>
              </w:rPr>
              <w:drawing>
                <wp:inline distT="0" distB="0" distL="0" distR="0" wp14:anchorId="143AEC5A" wp14:editId="338A001A">
                  <wp:extent cx="5685155" cy="2131060"/>
                  <wp:effectExtent l="0" t="0" r="0" b="0"/>
                  <wp:docPr id="86" name="Chart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14:paraId="57B7402D" w14:textId="77777777" w:rsidR="0071415F" w:rsidRPr="0090647B" w:rsidRDefault="0071415F" w:rsidP="002B01C3">
      <w:pPr>
        <w:bidi w:val="0"/>
        <w:spacing w:after="0" w:line="240" w:lineRule="auto"/>
        <w:ind w:left="720" w:hanging="720"/>
        <w:jc w:val="both"/>
        <w:rPr>
          <w:rFonts w:ascii="Arial" w:hAnsi="Arial"/>
          <w:color w:val="000000" w:themeColor="text1"/>
          <w:sz w:val="18"/>
          <w:szCs w:val="18"/>
        </w:rPr>
      </w:pPr>
      <w:r w:rsidRPr="0090647B">
        <w:rPr>
          <w:rFonts w:ascii="Arial" w:hAnsi="Arial"/>
          <w:b/>
          <w:bCs/>
          <w:color w:val="000000" w:themeColor="text1"/>
          <w:sz w:val="18"/>
          <w:szCs w:val="18"/>
        </w:rPr>
        <w:t>Source: Palestinian Central Bureau of Statistics,</w:t>
      </w:r>
      <w:r w:rsidRPr="0090647B">
        <w:rPr>
          <w:rFonts w:ascii="Arial" w:hAnsi="Arial"/>
          <w:color w:val="000000" w:themeColor="text1"/>
          <w:sz w:val="18"/>
          <w:szCs w:val="18"/>
        </w:rPr>
        <w:t xml:space="preserve">Labour Force Survey database, </w:t>
      </w:r>
      <w:r w:rsidR="00A25FCF">
        <w:rPr>
          <w:rFonts w:ascii="Arial" w:hAnsi="Arial"/>
          <w:color w:val="000000" w:themeColor="text1"/>
          <w:sz w:val="18"/>
          <w:szCs w:val="18"/>
        </w:rPr>
        <w:t>2015</w:t>
      </w:r>
      <w:r w:rsidRPr="0090647B">
        <w:rPr>
          <w:rFonts w:ascii="Arial" w:hAnsi="Arial"/>
          <w:color w:val="000000" w:themeColor="text1"/>
          <w:sz w:val="18"/>
          <w:szCs w:val="18"/>
        </w:rPr>
        <w:t xml:space="preserve">- </w:t>
      </w:r>
      <w:r w:rsidR="002B01C3">
        <w:rPr>
          <w:rFonts w:ascii="Arial" w:hAnsi="Arial"/>
          <w:color w:val="000000" w:themeColor="text1"/>
          <w:sz w:val="18"/>
          <w:szCs w:val="18"/>
        </w:rPr>
        <w:t>2022</w:t>
      </w:r>
      <w:r w:rsidRPr="0090647B">
        <w:rPr>
          <w:rFonts w:ascii="Arial" w:hAnsi="Arial"/>
          <w:color w:val="000000" w:themeColor="text1"/>
          <w:sz w:val="18"/>
          <w:szCs w:val="18"/>
        </w:rPr>
        <w:t>.  Ramallah - Palestine.</w:t>
      </w:r>
    </w:p>
    <w:p w14:paraId="2C25F017"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67871DB" w14:textId="77777777" w:rsidR="0071415F" w:rsidRPr="00446CF3" w:rsidRDefault="004A40F1" w:rsidP="006D67AE">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There is a high unemployment rate among women compared to men: </w:t>
      </w:r>
      <w:r w:rsidR="006D67AE" w:rsidRPr="00446CF3">
        <w:rPr>
          <w:rFonts w:ascii="Times New Roman" w:hAnsi="Times New Roman" w:cs="Times New Roman"/>
          <w:color w:val="000000" w:themeColor="text1"/>
          <w:sz w:val="24"/>
          <w:szCs w:val="24"/>
        </w:rPr>
        <w:t>40.4</w:t>
      </w:r>
      <w:r w:rsidRPr="00446CF3">
        <w:rPr>
          <w:rFonts w:ascii="Times New Roman" w:hAnsi="Times New Roman" w:cs="Times New Roman"/>
          <w:color w:val="000000" w:themeColor="text1"/>
          <w:sz w:val="24"/>
          <w:szCs w:val="24"/>
        </w:rPr>
        <w:t xml:space="preserve">% for women compared to </w:t>
      </w:r>
      <w:r w:rsidR="006D67AE" w:rsidRPr="00446CF3">
        <w:rPr>
          <w:rFonts w:ascii="Times New Roman" w:hAnsi="Times New Roman" w:cs="Times New Roman"/>
          <w:color w:val="000000" w:themeColor="text1"/>
          <w:sz w:val="24"/>
          <w:szCs w:val="24"/>
        </w:rPr>
        <w:t>20.3</w:t>
      </w:r>
      <w:r w:rsidRPr="00446CF3">
        <w:rPr>
          <w:rFonts w:ascii="Times New Roman" w:hAnsi="Times New Roman" w:cs="Times New Roman"/>
          <w:color w:val="000000" w:themeColor="text1"/>
          <w:sz w:val="24"/>
          <w:szCs w:val="24"/>
        </w:rPr>
        <w:t xml:space="preserve">% for men in </w:t>
      </w:r>
      <w:r w:rsidR="006D67AE" w:rsidRPr="00446CF3">
        <w:rPr>
          <w:rFonts w:ascii="Times New Roman" w:hAnsi="Times New Roman" w:cs="Times New Roman"/>
          <w:color w:val="000000" w:themeColor="text1"/>
          <w:sz w:val="24"/>
          <w:szCs w:val="24"/>
        </w:rPr>
        <w:t>2022</w:t>
      </w:r>
      <w:r w:rsidRPr="00446CF3">
        <w:rPr>
          <w:rFonts w:ascii="Times New Roman" w:hAnsi="Times New Roman" w:cs="Times New Roman"/>
          <w:color w:val="000000" w:themeColor="text1"/>
          <w:sz w:val="24"/>
          <w:szCs w:val="24"/>
        </w:rPr>
        <w:t>.</w:t>
      </w:r>
      <w:r w:rsidR="0071415F" w:rsidRPr="00446CF3">
        <w:rPr>
          <w:rFonts w:ascii="Times New Roman" w:hAnsi="Times New Roman" w:cs="Times New Roman"/>
          <w:color w:val="000000" w:themeColor="text1"/>
          <w:sz w:val="24"/>
          <w:szCs w:val="24"/>
        </w:rPr>
        <w:t xml:space="preserve"> </w:t>
      </w:r>
    </w:p>
    <w:p w14:paraId="15B4ADB0"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4F77E538" w14:textId="77777777" w:rsidR="0071415F" w:rsidRPr="0090647B" w:rsidRDefault="0071415F" w:rsidP="002B01C3">
      <w:pPr>
        <w:tabs>
          <w:tab w:val="left" w:pos="9072"/>
        </w:tabs>
        <w:bidi w:val="0"/>
        <w:spacing w:after="0" w:line="240" w:lineRule="auto"/>
        <w:jc w:val="center"/>
        <w:rPr>
          <w:rFonts w:ascii="Arial" w:hAnsi="Arial"/>
          <w:b/>
          <w:bCs/>
          <w:color w:val="000000" w:themeColor="text1"/>
        </w:rPr>
      </w:pPr>
      <w:r w:rsidRPr="00446CF3">
        <w:rPr>
          <w:rFonts w:ascii="Arial" w:hAnsi="Arial"/>
          <w:b/>
          <w:bCs/>
          <w:color w:val="000000" w:themeColor="text1"/>
        </w:rPr>
        <w:t xml:space="preserve">Unemployment Rate </w:t>
      </w:r>
      <w:r w:rsidR="00897847" w:rsidRPr="00446CF3">
        <w:rPr>
          <w:rFonts w:ascii="Arial" w:hAnsi="Arial"/>
          <w:b/>
          <w:bCs/>
          <w:color w:val="000000" w:themeColor="text1"/>
        </w:rPr>
        <w:t>A</w:t>
      </w:r>
      <w:r w:rsidRPr="00446CF3">
        <w:rPr>
          <w:rFonts w:ascii="Arial" w:hAnsi="Arial"/>
          <w:b/>
          <w:bCs/>
          <w:color w:val="000000" w:themeColor="text1"/>
        </w:rPr>
        <w:t>mong Individuals Age</w:t>
      </w:r>
      <w:r w:rsidR="00897847" w:rsidRPr="00446CF3">
        <w:rPr>
          <w:rFonts w:ascii="Arial" w:hAnsi="Arial"/>
          <w:b/>
          <w:bCs/>
          <w:color w:val="000000" w:themeColor="text1"/>
        </w:rPr>
        <w:t>s</w:t>
      </w:r>
      <w:r w:rsidRPr="00446CF3">
        <w:rPr>
          <w:rFonts w:ascii="Arial" w:hAnsi="Arial"/>
          <w:b/>
          <w:bCs/>
          <w:color w:val="000000" w:themeColor="text1"/>
        </w:rPr>
        <w:t xml:space="preserve"> 15 Years and Above by Sex, </w:t>
      </w:r>
      <w:r w:rsidR="00A04B2D" w:rsidRPr="00446CF3">
        <w:rPr>
          <w:rFonts w:ascii="Arial" w:hAnsi="Arial"/>
          <w:b/>
          <w:bCs/>
          <w:color w:val="000000" w:themeColor="text1"/>
        </w:rPr>
        <w:t>2015</w:t>
      </w:r>
      <w:r w:rsidRPr="00446CF3">
        <w:rPr>
          <w:rFonts w:ascii="Arial" w:hAnsi="Arial"/>
          <w:b/>
          <w:bCs/>
          <w:color w:val="000000" w:themeColor="text1"/>
        </w:rPr>
        <w:t>-</w:t>
      </w:r>
      <w:r w:rsidR="002B01C3" w:rsidRPr="00446CF3">
        <w:rPr>
          <w:rFonts w:ascii="Arial" w:hAnsi="Arial"/>
          <w:b/>
          <w:bCs/>
          <w:color w:val="000000" w:themeColor="text1"/>
        </w:rPr>
        <w:t xml:space="preserve">2022 </w:t>
      </w:r>
      <w:r w:rsidRPr="00446CF3">
        <w:rPr>
          <w:rFonts w:ascii="Arial" w:hAnsi="Arial"/>
          <w:b/>
          <w:bCs/>
          <w:color w:val="000000" w:themeColor="text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5F35B898" w14:textId="77777777" w:rsidTr="0071415F">
        <w:trPr>
          <w:trHeight w:val="3574"/>
        </w:trPr>
        <w:tc>
          <w:tcPr>
            <w:tcW w:w="9286" w:type="dxa"/>
            <w:shd w:val="clear" w:color="auto" w:fill="auto"/>
          </w:tcPr>
          <w:p w14:paraId="45A17C98" w14:textId="77777777" w:rsidR="0071415F" w:rsidRPr="0090647B" w:rsidRDefault="0071415F" w:rsidP="0071415F">
            <w:pPr>
              <w:tabs>
                <w:tab w:val="left" w:pos="9072"/>
              </w:tabs>
              <w:bidi w:val="0"/>
              <w:spacing w:after="0" w:line="240" w:lineRule="auto"/>
              <w:jc w:val="center"/>
              <w:rPr>
                <w:rFonts w:ascii="Arial" w:hAnsi="Arial"/>
                <w:b/>
                <w:bCs/>
                <w:color w:val="000000" w:themeColor="text1"/>
              </w:rPr>
            </w:pPr>
            <w:r w:rsidRPr="0090647B">
              <w:rPr>
                <w:rFonts w:ascii="Simplified Arabic" w:hAnsi="Simplified Arabic" w:cs="Simplified Arabic"/>
                <w:b/>
                <w:bCs/>
                <w:noProof/>
                <w:color w:val="000000" w:themeColor="text1"/>
                <w:sz w:val="24"/>
                <w:szCs w:val="24"/>
              </w:rPr>
              <w:drawing>
                <wp:inline distT="0" distB="0" distL="0" distR="0" wp14:anchorId="5032C341" wp14:editId="46797E56">
                  <wp:extent cx="5931535" cy="2246244"/>
                  <wp:effectExtent l="0" t="0" r="0" b="1905"/>
                  <wp:docPr id="84"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bl>
    <w:p w14:paraId="2AF79635" w14:textId="77777777" w:rsidR="0071415F" w:rsidRPr="0090647B" w:rsidRDefault="0071415F" w:rsidP="006D67AE">
      <w:pPr>
        <w:bidi w:val="0"/>
        <w:spacing w:after="0" w:line="240" w:lineRule="auto"/>
        <w:ind w:left="720" w:hanging="720"/>
        <w:jc w:val="both"/>
        <w:rPr>
          <w:rFonts w:ascii="Arial" w:hAnsi="Arial"/>
          <w:color w:val="000000" w:themeColor="text1"/>
          <w:sz w:val="18"/>
          <w:szCs w:val="18"/>
        </w:rPr>
      </w:pPr>
      <w:r w:rsidRPr="0090647B">
        <w:rPr>
          <w:rFonts w:ascii="Arial" w:hAnsi="Arial"/>
          <w:b/>
          <w:bCs/>
          <w:color w:val="000000" w:themeColor="text1"/>
          <w:sz w:val="18"/>
          <w:szCs w:val="18"/>
        </w:rPr>
        <w:t xml:space="preserve">Source: Palestinian Central Bureau of Statistics, </w:t>
      </w:r>
      <w:r w:rsidRPr="0090647B">
        <w:rPr>
          <w:rFonts w:ascii="Arial" w:hAnsi="Arial" w:hint="cs"/>
          <w:b/>
          <w:bCs/>
          <w:color w:val="000000" w:themeColor="text1"/>
          <w:sz w:val="18"/>
          <w:szCs w:val="18"/>
          <w:rtl/>
        </w:rPr>
        <w:t>202</w:t>
      </w:r>
      <w:r w:rsidR="006D67AE">
        <w:rPr>
          <w:rFonts w:ascii="Arial" w:hAnsi="Arial"/>
          <w:b/>
          <w:bCs/>
          <w:color w:val="000000" w:themeColor="text1"/>
          <w:sz w:val="18"/>
          <w:szCs w:val="18"/>
        </w:rPr>
        <w:t>2</w:t>
      </w:r>
      <w:r w:rsidRPr="0090647B">
        <w:rPr>
          <w:rFonts w:ascii="Arial" w:hAnsi="Arial"/>
          <w:b/>
          <w:bCs/>
          <w:color w:val="000000" w:themeColor="text1"/>
          <w:sz w:val="18"/>
          <w:szCs w:val="18"/>
        </w:rPr>
        <w:t>.</w:t>
      </w:r>
      <w:r w:rsidR="006D67AE">
        <w:rPr>
          <w:rFonts w:ascii="Arial" w:hAnsi="Arial"/>
          <w:b/>
          <w:bCs/>
          <w:color w:val="000000" w:themeColor="text1"/>
          <w:sz w:val="18"/>
          <w:szCs w:val="18"/>
        </w:rPr>
        <w:t xml:space="preserve"> </w:t>
      </w:r>
      <w:r w:rsidRPr="0090647B">
        <w:rPr>
          <w:rFonts w:ascii="Arial" w:hAnsi="Arial"/>
          <w:color w:val="000000" w:themeColor="text1"/>
          <w:sz w:val="18"/>
          <w:szCs w:val="18"/>
        </w:rPr>
        <w:t xml:space="preserve">Labour Force Survey database, </w:t>
      </w:r>
      <w:r w:rsidR="00A25FCF">
        <w:rPr>
          <w:rFonts w:ascii="Arial" w:hAnsi="Arial"/>
          <w:color w:val="000000" w:themeColor="text1"/>
          <w:sz w:val="18"/>
          <w:szCs w:val="18"/>
        </w:rPr>
        <w:t>2015</w:t>
      </w:r>
      <w:r w:rsidRPr="0090647B">
        <w:rPr>
          <w:rFonts w:ascii="Arial" w:hAnsi="Arial"/>
          <w:color w:val="000000" w:themeColor="text1"/>
          <w:sz w:val="18"/>
          <w:szCs w:val="18"/>
        </w:rPr>
        <w:t xml:space="preserve">- </w:t>
      </w:r>
      <w:r w:rsidRPr="0090647B">
        <w:rPr>
          <w:rFonts w:ascii="Arial" w:hAnsi="Arial" w:hint="cs"/>
          <w:color w:val="000000" w:themeColor="text1"/>
          <w:sz w:val="18"/>
          <w:szCs w:val="18"/>
          <w:rtl/>
        </w:rPr>
        <w:t>202</w:t>
      </w:r>
      <w:r w:rsidR="006D67AE">
        <w:rPr>
          <w:rFonts w:ascii="Arial" w:hAnsi="Arial"/>
          <w:color w:val="000000" w:themeColor="text1"/>
          <w:sz w:val="18"/>
          <w:szCs w:val="18"/>
        </w:rPr>
        <w:t>2</w:t>
      </w:r>
      <w:r w:rsidRPr="0090647B">
        <w:rPr>
          <w:rFonts w:ascii="Arial" w:hAnsi="Arial"/>
          <w:color w:val="000000" w:themeColor="text1"/>
          <w:sz w:val="18"/>
          <w:szCs w:val="18"/>
        </w:rPr>
        <w:t>.  Ramallah - Palestine.</w:t>
      </w:r>
    </w:p>
    <w:p w14:paraId="774A33CF" w14:textId="77777777" w:rsidR="0071415F" w:rsidRPr="009E4880"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0"/>
          <w:szCs w:val="10"/>
        </w:rPr>
      </w:pPr>
    </w:p>
    <w:p w14:paraId="74B2941E" w14:textId="77777777" w:rsidR="0071415F" w:rsidRPr="00446CF3" w:rsidRDefault="004A40F1" w:rsidP="0075464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The unemployment rate in Palestine increased significantly among the various youth groups reaching </w:t>
      </w:r>
      <w:r w:rsidR="0075464F" w:rsidRPr="00446CF3">
        <w:rPr>
          <w:rFonts w:ascii="Times New Roman" w:hAnsi="Times New Roman" w:cs="Times New Roman"/>
          <w:color w:val="000000" w:themeColor="text1"/>
          <w:sz w:val="24"/>
          <w:szCs w:val="24"/>
        </w:rPr>
        <w:t>36.5</w:t>
      </w:r>
      <w:r w:rsidRPr="00446CF3">
        <w:rPr>
          <w:rFonts w:ascii="Times New Roman" w:hAnsi="Times New Roman" w:cs="Times New Roman"/>
          <w:color w:val="000000" w:themeColor="text1"/>
          <w:sz w:val="24"/>
          <w:szCs w:val="24"/>
        </w:rPr>
        <w:t xml:space="preserve">% and </w:t>
      </w:r>
      <w:r w:rsidR="0075464F" w:rsidRPr="00446CF3">
        <w:rPr>
          <w:rFonts w:ascii="Times New Roman" w:hAnsi="Times New Roman" w:cs="Times New Roman"/>
          <w:color w:val="000000" w:themeColor="text1"/>
          <w:sz w:val="24"/>
          <w:szCs w:val="24"/>
        </w:rPr>
        <w:t>35.2</w:t>
      </w:r>
      <w:r w:rsidRPr="00446CF3">
        <w:rPr>
          <w:rFonts w:ascii="Times New Roman" w:hAnsi="Times New Roman" w:cs="Times New Roman"/>
          <w:color w:val="000000" w:themeColor="text1"/>
          <w:sz w:val="24"/>
          <w:szCs w:val="24"/>
        </w:rPr>
        <w:t xml:space="preserve">% among the 18-19 age group and 20-29 age groups respectively in </w:t>
      </w:r>
      <w:r w:rsidR="0075464F" w:rsidRPr="00446CF3">
        <w:rPr>
          <w:rFonts w:ascii="Times New Roman" w:hAnsi="Times New Roman" w:cs="Times New Roman"/>
          <w:color w:val="000000" w:themeColor="text1"/>
          <w:sz w:val="24"/>
          <w:szCs w:val="24"/>
        </w:rPr>
        <w:t>2022</w:t>
      </w:r>
      <w:r w:rsidRPr="00446CF3">
        <w:rPr>
          <w:rFonts w:ascii="Times New Roman" w:hAnsi="Times New Roman" w:cs="Times New Roman"/>
          <w:color w:val="000000" w:themeColor="text1"/>
          <w:sz w:val="24"/>
          <w:szCs w:val="24"/>
        </w:rPr>
        <w:t>.</w:t>
      </w:r>
    </w:p>
    <w:p w14:paraId="01E92FEC" w14:textId="77777777" w:rsidR="00A7496C" w:rsidRPr="00446CF3" w:rsidRDefault="00A7496C" w:rsidP="00A7496C">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9E02F4C" w14:textId="77777777" w:rsidR="0071415F" w:rsidRPr="00446CF3" w:rsidRDefault="004A40F1" w:rsidP="0075464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The unemployment rate among persons who completed 13 years of schooling or above was  the highest at </w:t>
      </w:r>
      <w:r w:rsidR="0075464F" w:rsidRPr="00446CF3">
        <w:rPr>
          <w:rFonts w:ascii="Times New Roman" w:hAnsi="Times New Roman" w:cs="Times New Roman"/>
          <w:color w:val="000000" w:themeColor="text1"/>
          <w:sz w:val="24"/>
          <w:szCs w:val="24"/>
        </w:rPr>
        <w:t>29.1</w:t>
      </w:r>
      <w:r w:rsidRPr="00446CF3">
        <w:rPr>
          <w:rFonts w:ascii="Times New Roman" w:hAnsi="Times New Roman" w:cs="Times New Roman"/>
          <w:color w:val="000000" w:themeColor="text1"/>
          <w:sz w:val="24"/>
          <w:szCs w:val="24"/>
        </w:rPr>
        <w:t xml:space="preserve">% of which </w:t>
      </w:r>
      <w:r w:rsidR="0075464F" w:rsidRPr="00446CF3">
        <w:rPr>
          <w:rFonts w:ascii="Times New Roman" w:hAnsi="Times New Roman" w:cs="Times New Roman"/>
          <w:color w:val="000000" w:themeColor="text1"/>
          <w:sz w:val="24"/>
          <w:szCs w:val="24"/>
        </w:rPr>
        <w:t>18.3</w:t>
      </w:r>
      <w:r w:rsidRPr="00446CF3">
        <w:rPr>
          <w:rFonts w:ascii="Times New Roman" w:hAnsi="Times New Roman" w:cs="Times New Roman"/>
          <w:color w:val="000000" w:themeColor="text1"/>
          <w:sz w:val="24"/>
          <w:szCs w:val="24"/>
        </w:rPr>
        <w:t xml:space="preserve">% is the rate for males and </w:t>
      </w:r>
      <w:r w:rsidR="0075464F" w:rsidRPr="00446CF3">
        <w:rPr>
          <w:rFonts w:ascii="Times New Roman" w:hAnsi="Times New Roman" w:cs="Times New Roman"/>
          <w:color w:val="000000" w:themeColor="text1"/>
          <w:sz w:val="24"/>
          <w:szCs w:val="24"/>
        </w:rPr>
        <w:t>45.9</w:t>
      </w:r>
      <w:r w:rsidRPr="00446CF3">
        <w:rPr>
          <w:rFonts w:ascii="Times New Roman" w:hAnsi="Times New Roman" w:cs="Times New Roman"/>
          <w:color w:val="000000" w:themeColor="text1"/>
          <w:sz w:val="24"/>
          <w:szCs w:val="24"/>
        </w:rPr>
        <w:t xml:space="preserve">% for females in </w:t>
      </w:r>
      <w:r w:rsidR="0075464F" w:rsidRPr="00446CF3">
        <w:rPr>
          <w:rFonts w:ascii="Times New Roman" w:hAnsi="Times New Roman" w:cs="Times New Roman"/>
          <w:color w:val="000000" w:themeColor="text1"/>
          <w:sz w:val="24"/>
          <w:szCs w:val="24"/>
        </w:rPr>
        <w:t>2022</w:t>
      </w:r>
      <w:r w:rsidRPr="00446CF3">
        <w:rPr>
          <w:rFonts w:ascii="Times New Roman" w:hAnsi="Times New Roman" w:cs="Times New Roman"/>
          <w:color w:val="000000" w:themeColor="text1"/>
          <w:sz w:val="24"/>
          <w:szCs w:val="24"/>
        </w:rPr>
        <w:t>.</w:t>
      </w:r>
      <w:r w:rsidR="0071415F" w:rsidRPr="00446CF3">
        <w:rPr>
          <w:rFonts w:ascii="Times New Roman" w:hAnsi="Times New Roman" w:cs="Times New Roman"/>
          <w:color w:val="000000" w:themeColor="text1"/>
          <w:sz w:val="24"/>
          <w:szCs w:val="24"/>
        </w:rPr>
        <w:t xml:space="preserve">  </w:t>
      </w:r>
    </w:p>
    <w:p w14:paraId="58836A26" w14:textId="77777777" w:rsidR="00CF3F40" w:rsidRPr="00446CF3"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48C2818"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b/>
          <w:bCs/>
          <w:i/>
          <w:iCs/>
          <w:sz w:val="8"/>
          <w:szCs w:val="8"/>
        </w:rPr>
      </w:pPr>
    </w:p>
    <w:p w14:paraId="4FEAF6F6"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446CF3">
        <w:rPr>
          <w:rFonts w:ascii="Times New Roman" w:hAnsi="Times New Roman" w:cs="Times New Roman"/>
          <w:b/>
          <w:bCs/>
          <w:i/>
          <w:iCs/>
          <w:sz w:val="24"/>
          <w:szCs w:val="24"/>
        </w:rPr>
        <w:t>Indicator 8.6.1 Proportion of youth (age</w:t>
      </w:r>
      <w:r w:rsidR="009B19E7" w:rsidRPr="00446CF3">
        <w:rPr>
          <w:rFonts w:ascii="Times New Roman" w:hAnsi="Times New Roman" w:cs="Times New Roman"/>
          <w:b/>
          <w:bCs/>
          <w:i/>
          <w:iCs/>
          <w:sz w:val="24"/>
          <w:szCs w:val="24"/>
        </w:rPr>
        <w:t>s</w:t>
      </w:r>
      <w:r w:rsidRPr="00446CF3">
        <w:rPr>
          <w:rFonts w:ascii="Times New Roman" w:hAnsi="Times New Roman" w:cs="Times New Roman"/>
          <w:b/>
          <w:bCs/>
          <w:i/>
          <w:iCs/>
          <w:sz w:val="24"/>
          <w:szCs w:val="24"/>
        </w:rPr>
        <w:t xml:space="preserve"> 15-24 years) not in education, employment or training (NEET)</w:t>
      </w:r>
    </w:p>
    <w:p w14:paraId="041117D5" w14:textId="77777777" w:rsidR="00877949" w:rsidRPr="00446CF3"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ECBFF67" w14:textId="77777777" w:rsidR="0071415F" w:rsidRPr="00446CF3" w:rsidRDefault="009B19E7" w:rsidP="0075464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About </w:t>
      </w:r>
      <w:r w:rsidR="002B01C3" w:rsidRPr="00446CF3">
        <w:rPr>
          <w:rFonts w:ascii="Times New Roman" w:hAnsi="Times New Roman" w:cs="Times New Roman"/>
          <w:color w:val="000000" w:themeColor="text1"/>
          <w:sz w:val="24"/>
          <w:szCs w:val="24"/>
        </w:rPr>
        <w:t>29.1</w:t>
      </w:r>
      <w:r w:rsidR="0071415F" w:rsidRPr="00446CF3">
        <w:rPr>
          <w:rFonts w:ascii="Times New Roman" w:hAnsi="Times New Roman" w:cs="Times New Roman"/>
          <w:color w:val="000000" w:themeColor="text1"/>
          <w:sz w:val="24"/>
          <w:szCs w:val="24"/>
        </w:rPr>
        <w:t xml:space="preserve">% of youth were neither in education, employment or training NEET in </w:t>
      </w:r>
      <w:r w:rsidR="005B6FB5" w:rsidRPr="00446CF3">
        <w:rPr>
          <w:rFonts w:ascii="Times New Roman" w:hAnsi="Times New Roman" w:cs="Times New Roman"/>
          <w:color w:val="000000" w:themeColor="text1"/>
          <w:sz w:val="24"/>
          <w:szCs w:val="24"/>
        </w:rPr>
        <w:t xml:space="preserve">2022 </w:t>
      </w:r>
      <w:r w:rsidR="0071415F" w:rsidRPr="00446CF3">
        <w:rPr>
          <w:rFonts w:ascii="Times New Roman" w:hAnsi="Times New Roman" w:cs="Times New Roman"/>
          <w:color w:val="000000" w:themeColor="text1"/>
          <w:sz w:val="24"/>
          <w:szCs w:val="24"/>
        </w:rPr>
        <w:t xml:space="preserve">compared to </w:t>
      </w:r>
      <w:r w:rsidR="005B6FB5" w:rsidRPr="00446CF3">
        <w:rPr>
          <w:rFonts w:ascii="Times New Roman" w:hAnsi="Times New Roman" w:cs="Times New Roman"/>
          <w:color w:val="000000" w:themeColor="text1"/>
          <w:sz w:val="24"/>
          <w:szCs w:val="24"/>
        </w:rPr>
        <w:t>31.5</w:t>
      </w:r>
      <w:r w:rsidR="0071415F" w:rsidRPr="00446CF3">
        <w:rPr>
          <w:rFonts w:ascii="Times New Roman" w:hAnsi="Times New Roman" w:cs="Times New Roman"/>
          <w:color w:val="000000" w:themeColor="text1"/>
          <w:sz w:val="24"/>
          <w:szCs w:val="24"/>
        </w:rPr>
        <w:t xml:space="preserve">% in </w:t>
      </w:r>
      <w:r w:rsidR="005B6FB5" w:rsidRPr="00446CF3">
        <w:rPr>
          <w:rFonts w:ascii="Times New Roman" w:hAnsi="Times New Roman" w:cs="Times New Roman"/>
          <w:color w:val="000000" w:themeColor="text1"/>
          <w:sz w:val="24"/>
          <w:szCs w:val="24"/>
        </w:rPr>
        <w:t>2021</w:t>
      </w:r>
      <w:r w:rsidR="0071415F" w:rsidRPr="00446CF3">
        <w:rPr>
          <w:rFonts w:ascii="Times New Roman" w:hAnsi="Times New Roman" w:cs="Times New Roman"/>
          <w:color w:val="000000" w:themeColor="text1"/>
          <w:sz w:val="24"/>
          <w:szCs w:val="24"/>
        </w:rPr>
        <w:t xml:space="preserve">; </w:t>
      </w:r>
      <w:r w:rsidR="004A40F1" w:rsidRPr="00446CF3">
        <w:rPr>
          <w:rFonts w:ascii="Times New Roman" w:hAnsi="Times New Roman" w:cs="Times New Roman"/>
          <w:color w:val="000000" w:themeColor="text1"/>
          <w:sz w:val="24"/>
          <w:szCs w:val="24"/>
        </w:rPr>
        <w:t xml:space="preserve">this percentage decreased in the West Bank from 32.3% in 2000 to </w:t>
      </w:r>
      <w:r w:rsidR="0075464F" w:rsidRPr="00446CF3">
        <w:rPr>
          <w:rFonts w:ascii="Times New Roman" w:hAnsi="Times New Roman" w:cs="Times New Roman"/>
          <w:color w:val="000000" w:themeColor="text1"/>
          <w:sz w:val="24"/>
          <w:szCs w:val="24"/>
        </w:rPr>
        <w:t>24.3</w:t>
      </w:r>
      <w:r w:rsidR="004A40F1" w:rsidRPr="00446CF3">
        <w:rPr>
          <w:rFonts w:ascii="Times New Roman" w:hAnsi="Times New Roman" w:cs="Times New Roman"/>
          <w:color w:val="000000" w:themeColor="text1"/>
          <w:sz w:val="24"/>
          <w:szCs w:val="24"/>
        </w:rPr>
        <w:t xml:space="preserve">% while it increased in the Gaza Strip from 34.8% to </w:t>
      </w:r>
      <w:r w:rsidR="0075464F" w:rsidRPr="00446CF3">
        <w:rPr>
          <w:rFonts w:ascii="Times New Roman" w:hAnsi="Times New Roman" w:cs="Times New Roman"/>
          <w:color w:val="000000" w:themeColor="text1"/>
          <w:sz w:val="24"/>
          <w:szCs w:val="24"/>
        </w:rPr>
        <w:t>36.4</w:t>
      </w:r>
      <w:r w:rsidR="004A40F1" w:rsidRPr="00446CF3">
        <w:rPr>
          <w:rFonts w:ascii="Times New Roman" w:hAnsi="Times New Roman" w:cs="Times New Roman"/>
          <w:color w:val="000000" w:themeColor="text1"/>
          <w:sz w:val="24"/>
          <w:szCs w:val="24"/>
        </w:rPr>
        <w:t xml:space="preserve">% in the same period. For </w:t>
      </w:r>
      <w:r w:rsidR="004A40F1" w:rsidRPr="00446CF3">
        <w:rPr>
          <w:rFonts w:ascii="Times New Roman" w:hAnsi="Times New Roman" w:cs="Times New Roman"/>
          <w:color w:val="000000" w:themeColor="text1"/>
          <w:sz w:val="24"/>
          <w:szCs w:val="24"/>
        </w:rPr>
        <w:lastRenderedPageBreak/>
        <w:t xml:space="preserve">females, it reached </w:t>
      </w:r>
      <w:r w:rsidR="0075464F" w:rsidRPr="00446CF3">
        <w:rPr>
          <w:rFonts w:ascii="Times New Roman" w:hAnsi="Times New Roman" w:cs="Times New Roman"/>
          <w:color w:val="000000" w:themeColor="text1"/>
          <w:sz w:val="24"/>
          <w:szCs w:val="24"/>
        </w:rPr>
        <w:t>34.2</w:t>
      </w:r>
      <w:r w:rsidR="004A40F1" w:rsidRPr="00446CF3">
        <w:rPr>
          <w:rFonts w:ascii="Times New Roman" w:hAnsi="Times New Roman" w:cs="Times New Roman"/>
          <w:color w:val="000000" w:themeColor="text1"/>
          <w:sz w:val="24"/>
          <w:szCs w:val="24"/>
        </w:rPr>
        <w:t xml:space="preserve">% compared to 47.2% in 2000 while it reached </w:t>
      </w:r>
      <w:r w:rsidR="0075464F" w:rsidRPr="00446CF3">
        <w:rPr>
          <w:rFonts w:ascii="Times New Roman" w:hAnsi="Times New Roman" w:cs="Times New Roman"/>
          <w:color w:val="000000" w:themeColor="text1"/>
          <w:sz w:val="24"/>
          <w:szCs w:val="24"/>
        </w:rPr>
        <w:t>24.3</w:t>
      </w:r>
      <w:r w:rsidR="004A40F1" w:rsidRPr="00446CF3">
        <w:rPr>
          <w:rFonts w:ascii="Times New Roman" w:hAnsi="Times New Roman" w:cs="Times New Roman"/>
          <w:color w:val="000000" w:themeColor="text1"/>
          <w:sz w:val="24"/>
          <w:szCs w:val="24"/>
        </w:rPr>
        <w:t>% for males compared to 19.7% in 2000.</w:t>
      </w:r>
    </w:p>
    <w:p w14:paraId="1311CEAA"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sz w:val="8"/>
          <w:szCs w:val="8"/>
        </w:rPr>
      </w:pPr>
    </w:p>
    <w:p w14:paraId="2D3204BC"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446CF3">
        <w:rPr>
          <w:rFonts w:ascii="Times New Roman" w:hAnsi="Times New Roman" w:cs="Times New Roman"/>
          <w:b/>
          <w:bCs/>
          <w:i/>
          <w:iCs/>
          <w:sz w:val="24"/>
          <w:szCs w:val="24"/>
        </w:rPr>
        <w:t xml:space="preserve">Indicator 8.7.1 Proportion and number of children </w:t>
      </w:r>
      <w:r w:rsidR="000C23C6" w:rsidRPr="00446CF3">
        <w:rPr>
          <w:rFonts w:ascii="Times New Roman" w:hAnsi="Times New Roman" w:cs="Times New Roman"/>
          <w:b/>
          <w:bCs/>
          <w:i/>
          <w:iCs/>
          <w:sz w:val="24"/>
          <w:szCs w:val="24"/>
        </w:rPr>
        <w:t>(</w:t>
      </w:r>
      <w:r w:rsidRPr="00446CF3">
        <w:rPr>
          <w:rFonts w:ascii="Times New Roman" w:hAnsi="Times New Roman" w:cs="Times New Roman"/>
          <w:b/>
          <w:bCs/>
          <w:i/>
          <w:iCs/>
          <w:sz w:val="24"/>
          <w:szCs w:val="24"/>
        </w:rPr>
        <w:t>age</w:t>
      </w:r>
      <w:r w:rsidR="009B19E7" w:rsidRPr="00446CF3">
        <w:rPr>
          <w:rFonts w:ascii="Times New Roman" w:hAnsi="Times New Roman" w:cs="Times New Roman"/>
          <w:b/>
          <w:bCs/>
          <w:i/>
          <w:iCs/>
          <w:sz w:val="24"/>
          <w:szCs w:val="24"/>
        </w:rPr>
        <w:t>s</w:t>
      </w:r>
      <w:r w:rsidRPr="00446CF3">
        <w:rPr>
          <w:rFonts w:ascii="Times New Roman" w:hAnsi="Times New Roman" w:cs="Times New Roman"/>
          <w:b/>
          <w:bCs/>
          <w:i/>
          <w:iCs/>
          <w:sz w:val="24"/>
          <w:szCs w:val="24"/>
        </w:rPr>
        <w:t xml:space="preserve"> 5-17</w:t>
      </w:r>
      <w:r w:rsidR="000C23C6" w:rsidRPr="00446CF3">
        <w:rPr>
          <w:rFonts w:ascii="Times New Roman" w:hAnsi="Times New Roman" w:cs="Times New Roman"/>
          <w:b/>
          <w:bCs/>
          <w:i/>
          <w:iCs/>
          <w:sz w:val="24"/>
          <w:szCs w:val="24"/>
        </w:rPr>
        <w:t>)</w:t>
      </w:r>
      <w:r w:rsidRPr="00446CF3">
        <w:rPr>
          <w:rFonts w:ascii="Times New Roman" w:hAnsi="Times New Roman" w:cs="Times New Roman"/>
          <w:b/>
          <w:bCs/>
          <w:i/>
          <w:iCs/>
          <w:sz w:val="24"/>
          <w:szCs w:val="24"/>
        </w:rPr>
        <w:t xml:space="preserve"> engaged in child labour, by sex and age</w:t>
      </w:r>
    </w:p>
    <w:p w14:paraId="72EC63E1" w14:textId="77777777" w:rsidR="00877949" w:rsidRPr="00446CF3"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71C0A8CB" w14:textId="2B230BBE" w:rsidR="0071415F" w:rsidRPr="00446CF3" w:rsidRDefault="0071415F" w:rsidP="003832DB">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The percentage of employed children age</w:t>
      </w:r>
      <w:r w:rsidR="009B19E7" w:rsidRPr="00446CF3">
        <w:rPr>
          <w:rFonts w:ascii="Times New Roman" w:hAnsi="Times New Roman" w:cs="Times New Roman"/>
          <w:color w:val="000000" w:themeColor="text1"/>
          <w:sz w:val="24"/>
          <w:szCs w:val="24"/>
        </w:rPr>
        <w:t>s</w:t>
      </w:r>
      <w:r w:rsidRPr="00446CF3">
        <w:rPr>
          <w:rFonts w:ascii="Times New Roman" w:hAnsi="Times New Roman" w:cs="Times New Roman"/>
          <w:color w:val="000000" w:themeColor="text1"/>
          <w:sz w:val="24"/>
          <w:szCs w:val="24"/>
        </w:rPr>
        <w:t xml:space="preserve"> (10-17), whether paid or unpaid, decrease</w:t>
      </w:r>
      <w:r w:rsidR="009B19E7" w:rsidRPr="00446CF3">
        <w:rPr>
          <w:rFonts w:ascii="Times New Roman" w:hAnsi="Times New Roman" w:cs="Times New Roman"/>
          <w:color w:val="000000" w:themeColor="text1"/>
          <w:sz w:val="24"/>
          <w:szCs w:val="24"/>
        </w:rPr>
        <w:t>d</w:t>
      </w:r>
      <w:r w:rsidRPr="00446CF3">
        <w:rPr>
          <w:rFonts w:ascii="Times New Roman" w:hAnsi="Times New Roman" w:cs="Times New Roman"/>
          <w:color w:val="000000" w:themeColor="text1"/>
          <w:sz w:val="24"/>
          <w:szCs w:val="24"/>
        </w:rPr>
        <w:t xml:space="preserve"> from 4.</w:t>
      </w:r>
      <w:r w:rsidR="00320733" w:rsidRPr="00446CF3">
        <w:rPr>
          <w:rFonts w:ascii="Times New Roman" w:hAnsi="Times New Roman" w:cs="Times New Roman"/>
          <w:color w:val="000000" w:themeColor="text1"/>
          <w:sz w:val="24"/>
          <w:szCs w:val="24"/>
        </w:rPr>
        <w:t>5</w:t>
      </w:r>
      <w:r w:rsidRPr="00446CF3">
        <w:rPr>
          <w:rFonts w:ascii="Times New Roman" w:hAnsi="Times New Roman" w:cs="Times New Roman"/>
          <w:color w:val="000000" w:themeColor="text1"/>
          <w:sz w:val="24"/>
          <w:szCs w:val="24"/>
        </w:rPr>
        <w:t xml:space="preserve">% in </w:t>
      </w:r>
      <w:r w:rsidR="00320733" w:rsidRPr="00446CF3">
        <w:rPr>
          <w:rFonts w:ascii="Times New Roman" w:hAnsi="Times New Roman" w:cs="Times New Roman"/>
          <w:color w:val="000000" w:themeColor="text1"/>
          <w:sz w:val="24"/>
          <w:szCs w:val="24"/>
        </w:rPr>
        <w:t>2015</w:t>
      </w:r>
      <w:r w:rsidRPr="00446CF3">
        <w:rPr>
          <w:rFonts w:ascii="Times New Roman" w:hAnsi="Times New Roman" w:cs="Times New Roman"/>
          <w:color w:val="000000" w:themeColor="text1"/>
          <w:sz w:val="24"/>
          <w:szCs w:val="24"/>
        </w:rPr>
        <w:t xml:space="preserve"> to </w:t>
      </w:r>
      <w:r w:rsidR="005B6FB5" w:rsidRPr="00446CF3">
        <w:rPr>
          <w:rFonts w:ascii="Times New Roman" w:hAnsi="Times New Roman" w:cs="Times New Roman"/>
          <w:color w:val="000000" w:themeColor="text1"/>
          <w:sz w:val="24"/>
          <w:szCs w:val="24"/>
        </w:rPr>
        <w:t>3.2</w:t>
      </w:r>
      <w:r w:rsidRPr="00446CF3">
        <w:rPr>
          <w:rFonts w:ascii="Times New Roman" w:hAnsi="Times New Roman" w:cs="Times New Roman"/>
          <w:color w:val="000000" w:themeColor="text1"/>
          <w:sz w:val="24"/>
          <w:szCs w:val="24"/>
        </w:rPr>
        <w:t xml:space="preserve">% in </w:t>
      </w:r>
      <w:r w:rsidR="005B6FB5" w:rsidRPr="00446CF3">
        <w:rPr>
          <w:rFonts w:ascii="Times New Roman" w:hAnsi="Times New Roman" w:cs="Times New Roman"/>
          <w:color w:val="000000" w:themeColor="text1"/>
          <w:sz w:val="24"/>
          <w:szCs w:val="24"/>
        </w:rPr>
        <w:t>2022</w:t>
      </w:r>
      <w:r w:rsidRPr="00446CF3">
        <w:rPr>
          <w:rFonts w:ascii="Times New Roman" w:hAnsi="Times New Roman" w:cs="Times New Roman"/>
          <w:color w:val="000000" w:themeColor="text1"/>
          <w:sz w:val="24"/>
          <w:szCs w:val="24"/>
        </w:rPr>
        <w:t xml:space="preserve">. </w:t>
      </w:r>
      <w:r w:rsidR="004A40F1" w:rsidRPr="00446CF3">
        <w:rPr>
          <w:rFonts w:ascii="Times New Roman" w:hAnsi="Times New Roman" w:cs="Times New Roman"/>
          <w:color w:val="000000" w:themeColor="text1"/>
          <w:sz w:val="24"/>
          <w:szCs w:val="24"/>
        </w:rPr>
        <w:t xml:space="preserve">The percentage of male working children is much higher than females: </w:t>
      </w:r>
      <w:r w:rsidR="003832DB" w:rsidRPr="00446CF3">
        <w:rPr>
          <w:rFonts w:ascii="Times New Roman" w:hAnsi="Times New Roman" w:cs="Times New Roman"/>
          <w:color w:val="000000" w:themeColor="text1"/>
          <w:sz w:val="24"/>
          <w:szCs w:val="24"/>
        </w:rPr>
        <w:t>6.0</w:t>
      </w:r>
      <w:r w:rsidR="004A40F1" w:rsidRPr="00446CF3">
        <w:rPr>
          <w:rFonts w:ascii="Times New Roman" w:hAnsi="Times New Roman" w:cs="Times New Roman"/>
          <w:color w:val="000000" w:themeColor="text1"/>
          <w:sz w:val="24"/>
          <w:szCs w:val="24"/>
        </w:rPr>
        <w:t>% for males compared to 0.</w:t>
      </w:r>
      <w:r w:rsidR="003832DB" w:rsidRPr="00446CF3">
        <w:rPr>
          <w:rFonts w:ascii="Times New Roman" w:hAnsi="Times New Roman" w:cs="Times New Roman"/>
          <w:color w:val="000000" w:themeColor="text1"/>
          <w:sz w:val="24"/>
          <w:szCs w:val="24"/>
        </w:rPr>
        <w:t>3</w:t>
      </w:r>
      <w:r w:rsidR="004A40F1" w:rsidRPr="00446CF3">
        <w:rPr>
          <w:rFonts w:ascii="Times New Roman" w:hAnsi="Times New Roman" w:cs="Times New Roman"/>
          <w:color w:val="000000" w:themeColor="text1"/>
          <w:sz w:val="24"/>
          <w:szCs w:val="24"/>
        </w:rPr>
        <w:t>% for females.  The working children (10-14 years) is lower than among them in the age group (15-17 years); it reached 1.</w:t>
      </w:r>
      <w:r w:rsidR="003832DB" w:rsidRPr="00446CF3">
        <w:rPr>
          <w:rFonts w:ascii="Times New Roman" w:hAnsi="Times New Roman" w:cs="Times New Roman"/>
          <w:color w:val="000000" w:themeColor="text1"/>
          <w:sz w:val="24"/>
          <w:szCs w:val="24"/>
        </w:rPr>
        <w:t>2</w:t>
      </w:r>
      <w:r w:rsidR="004A40F1" w:rsidRPr="00446CF3">
        <w:rPr>
          <w:rFonts w:ascii="Times New Roman" w:hAnsi="Times New Roman" w:cs="Times New Roman"/>
          <w:color w:val="000000" w:themeColor="text1"/>
          <w:sz w:val="24"/>
          <w:szCs w:val="24"/>
        </w:rPr>
        <w:t xml:space="preserve">% for (10-14 years) compared to </w:t>
      </w:r>
      <w:r w:rsidR="003832DB" w:rsidRPr="00446CF3">
        <w:rPr>
          <w:rFonts w:ascii="Times New Roman" w:hAnsi="Times New Roman" w:cs="Times New Roman"/>
          <w:color w:val="000000" w:themeColor="text1"/>
          <w:sz w:val="24"/>
          <w:szCs w:val="24"/>
        </w:rPr>
        <w:t>6.8</w:t>
      </w:r>
      <w:r w:rsidR="004A40F1" w:rsidRPr="00446CF3">
        <w:rPr>
          <w:rFonts w:ascii="Times New Roman" w:hAnsi="Times New Roman" w:cs="Times New Roman"/>
          <w:color w:val="000000" w:themeColor="text1"/>
          <w:sz w:val="24"/>
          <w:szCs w:val="24"/>
        </w:rPr>
        <w:t>% for (1</w:t>
      </w:r>
      <w:r w:rsidR="002C2444">
        <w:rPr>
          <w:rFonts w:ascii="Times New Roman" w:hAnsi="Times New Roman" w:cs="Times New Roman"/>
          <w:color w:val="000000" w:themeColor="text1"/>
          <w:sz w:val="24"/>
          <w:szCs w:val="24"/>
        </w:rPr>
        <w:t>5</w:t>
      </w:r>
      <w:r w:rsidR="004A40F1" w:rsidRPr="00446CF3">
        <w:rPr>
          <w:rFonts w:ascii="Times New Roman" w:hAnsi="Times New Roman" w:cs="Times New Roman"/>
          <w:color w:val="000000" w:themeColor="text1"/>
          <w:sz w:val="24"/>
          <w:szCs w:val="24"/>
        </w:rPr>
        <w:t>-17 years).</w:t>
      </w:r>
    </w:p>
    <w:p w14:paraId="07186FE8" w14:textId="77777777" w:rsidR="0071415F" w:rsidRPr="00446CF3" w:rsidRDefault="0071415F" w:rsidP="0071415F">
      <w:pPr>
        <w:autoSpaceDE w:val="0"/>
        <w:autoSpaceDN w:val="0"/>
        <w:bidi w:val="0"/>
        <w:adjustRightInd w:val="0"/>
        <w:spacing w:after="0" w:line="240" w:lineRule="auto"/>
        <w:jc w:val="both"/>
        <w:rPr>
          <w:rFonts w:ascii="Times New Roman" w:hAnsi="Times New Roman"/>
          <w:color w:val="000000" w:themeColor="text1"/>
          <w:sz w:val="24"/>
        </w:rPr>
      </w:pPr>
    </w:p>
    <w:p w14:paraId="4F89CA02"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74178770" w14:textId="77777777" w:rsidR="0071415F" w:rsidRPr="0090647B" w:rsidRDefault="004A40F1" w:rsidP="005B6FB5">
      <w:pPr>
        <w:tabs>
          <w:tab w:val="left" w:pos="9072"/>
        </w:tabs>
        <w:bidi w:val="0"/>
        <w:spacing w:after="0" w:line="240" w:lineRule="auto"/>
        <w:jc w:val="center"/>
        <w:rPr>
          <w:rFonts w:ascii="Arial" w:hAnsi="Arial"/>
          <w:b/>
          <w:bCs/>
          <w:color w:val="000000" w:themeColor="text1"/>
        </w:rPr>
      </w:pPr>
      <w:r w:rsidRPr="00446CF3">
        <w:rPr>
          <w:rFonts w:ascii="Arial" w:hAnsi="Arial"/>
          <w:b/>
          <w:bCs/>
          <w:color w:val="000000" w:themeColor="text1"/>
        </w:rPr>
        <w:t>Percentage of Employed Children (10-17 Years) by Region, 2015-</w:t>
      </w:r>
      <w:r w:rsidR="005B6FB5" w:rsidRPr="00446CF3">
        <w:rPr>
          <w:rFonts w:ascii="Arial" w:hAnsi="Arial"/>
          <w:b/>
          <w:bCs/>
          <w:color w:val="000000" w:themeColor="text1"/>
        </w:rPr>
        <w:t>2022</w:t>
      </w:r>
      <w:r w:rsidRPr="00446CF3">
        <w:rPr>
          <w:rFonts w:ascii="Arial" w:hAnsi="Arial"/>
          <w:b/>
          <w:bCs/>
          <w:color w:val="000000" w:themeColor="text1"/>
        </w:rPr>
        <w:t xml:space="preserve"> (%)</w:t>
      </w:r>
    </w:p>
    <w:tbl>
      <w:tblPr>
        <w:tblW w:w="9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9"/>
      </w:tblGrid>
      <w:tr w:rsidR="0071415F" w:rsidRPr="0090647B" w14:paraId="1F309F70" w14:textId="77777777" w:rsidTr="00536909">
        <w:trPr>
          <w:trHeight w:val="2864"/>
        </w:trPr>
        <w:tc>
          <w:tcPr>
            <w:tcW w:w="9119" w:type="dxa"/>
            <w:shd w:val="clear" w:color="auto" w:fill="auto"/>
            <w:vAlign w:val="center"/>
          </w:tcPr>
          <w:p w14:paraId="45B3D64A" w14:textId="77777777" w:rsidR="0071415F" w:rsidRPr="0090647B" w:rsidRDefault="0071415F" w:rsidP="009E4880">
            <w:pPr>
              <w:tabs>
                <w:tab w:val="left" w:pos="9072"/>
              </w:tabs>
              <w:bidi w:val="0"/>
              <w:spacing w:after="0" w:line="240" w:lineRule="auto"/>
              <w:jc w:val="center"/>
              <w:rPr>
                <w:rFonts w:ascii="Arial" w:hAnsi="Arial"/>
                <w:b/>
                <w:bCs/>
                <w:color w:val="000000" w:themeColor="text1"/>
                <w:lang w:val="it-IT"/>
              </w:rPr>
            </w:pPr>
            <w:r w:rsidRPr="0090647B">
              <w:rPr>
                <w:rFonts w:ascii="Simplified Arabic" w:hAnsi="Simplified Arabic" w:cs="Simplified Arabic"/>
                <w:b/>
                <w:bCs/>
                <w:noProof/>
                <w:color w:val="000000" w:themeColor="text1"/>
                <w:sz w:val="24"/>
                <w:szCs w:val="24"/>
              </w:rPr>
              <w:drawing>
                <wp:inline distT="0" distB="0" distL="0" distR="0" wp14:anchorId="3DF08E65" wp14:editId="50939AC6">
                  <wp:extent cx="5601335" cy="1749287"/>
                  <wp:effectExtent l="0" t="0" r="0" b="3810"/>
                  <wp:docPr id="85"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bl>
    <w:p w14:paraId="27615B43" w14:textId="77777777" w:rsidR="0071415F" w:rsidRPr="00E6392C" w:rsidRDefault="0071415F" w:rsidP="003832DB">
      <w:pPr>
        <w:autoSpaceDE w:val="0"/>
        <w:autoSpaceDN w:val="0"/>
        <w:bidi w:val="0"/>
        <w:adjustRightInd w:val="0"/>
        <w:spacing w:after="0" w:line="240" w:lineRule="auto"/>
        <w:ind w:left="720" w:hanging="720"/>
        <w:jc w:val="both"/>
        <w:rPr>
          <w:rFonts w:ascii="Arial" w:hAnsi="Arial"/>
          <w:color w:val="000000" w:themeColor="text1"/>
          <w:sz w:val="18"/>
        </w:rPr>
      </w:pPr>
      <w:r w:rsidRPr="0090647B">
        <w:rPr>
          <w:rFonts w:ascii="Arial" w:hAnsi="Arial"/>
          <w:b/>
          <w:bCs/>
          <w:color w:val="000000" w:themeColor="text1"/>
          <w:sz w:val="18"/>
          <w:szCs w:val="18"/>
        </w:rPr>
        <w:t>Source: Palestinian Central Bureau of Statistics,</w:t>
      </w:r>
      <w:r w:rsidRPr="0090647B">
        <w:rPr>
          <w:rFonts w:ascii="Arial" w:hAnsi="Arial"/>
          <w:color w:val="000000" w:themeColor="text1"/>
          <w:sz w:val="18"/>
          <w:szCs w:val="18"/>
        </w:rPr>
        <w:t xml:space="preserve">Labour Force Survey database, </w:t>
      </w:r>
      <w:r w:rsidR="00A25FCF">
        <w:rPr>
          <w:rFonts w:ascii="Arial" w:hAnsi="Arial" w:hint="cs"/>
          <w:color w:val="000000" w:themeColor="text1"/>
          <w:sz w:val="18"/>
          <w:szCs w:val="18"/>
          <w:rtl/>
        </w:rPr>
        <w:t>2015</w:t>
      </w:r>
      <w:r w:rsidRPr="0090647B">
        <w:rPr>
          <w:rFonts w:ascii="Arial" w:hAnsi="Arial"/>
          <w:color w:val="000000" w:themeColor="text1"/>
          <w:sz w:val="18"/>
          <w:szCs w:val="18"/>
        </w:rPr>
        <w:t xml:space="preserve">- </w:t>
      </w:r>
      <w:r w:rsidRPr="0090647B">
        <w:rPr>
          <w:rFonts w:ascii="Arial" w:hAnsi="Arial" w:hint="cs"/>
          <w:color w:val="000000" w:themeColor="text1"/>
          <w:sz w:val="18"/>
          <w:szCs w:val="18"/>
          <w:rtl/>
        </w:rPr>
        <w:t>202</w:t>
      </w:r>
      <w:r w:rsidR="003832DB">
        <w:rPr>
          <w:rFonts w:ascii="Arial" w:hAnsi="Arial"/>
          <w:color w:val="000000" w:themeColor="text1"/>
          <w:sz w:val="18"/>
          <w:szCs w:val="18"/>
        </w:rPr>
        <w:t>2</w:t>
      </w:r>
      <w:r w:rsidRPr="0090647B">
        <w:rPr>
          <w:rFonts w:ascii="Arial" w:hAnsi="Arial"/>
          <w:color w:val="000000" w:themeColor="text1"/>
          <w:sz w:val="18"/>
          <w:szCs w:val="18"/>
        </w:rPr>
        <w:t xml:space="preserve">. Ramallah - </w:t>
      </w:r>
      <w:r w:rsidRPr="00E6392C">
        <w:rPr>
          <w:rFonts w:ascii="Arial" w:hAnsi="Arial"/>
          <w:color w:val="000000" w:themeColor="text1"/>
          <w:sz w:val="18"/>
        </w:rPr>
        <w:t>Palestine</w:t>
      </w:r>
      <w:r w:rsidRPr="0090647B">
        <w:rPr>
          <w:rFonts w:ascii="Arial" w:hAnsi="Arial"/>
          <w:color w:val="000000" w:themeColor="text1"/>
          <w:sz w:val="18"/>
          <w:szCs w:val="18"/>
        </w:rPr>
        <w:t>.</w:t>
      </w:r>
    </w:p>
    <w:p w14:paraId="5CF6EF6E" w14:textId="77777777" w:rsidR="0071415F" w:rsidRPr="00E6392C" w:rsidRDefault="0071415F" w:rsidP="0071415F">
      <w:pPr>
        <w:autoSpaceDE w:val="0"/>
        <w:autoSpaceDN w:val="0"/>
        <w:bidi w:val="0"/>
        <w:adjustRightInd w:val="0"/>
        <w:spacing w:after="0" w:line="240" w:lineRule="auto"/>
        <w:jc w:val="both"/>
        <w:rPr>
          <w:rFonts w:ascii="Arial" w:hAnsi="Arial"/>
          <w:color w:val="000000" w:themeColor="text1"/>
          <w:sz w:val="18"/>
        </w:rPr>
      </w:pPr>
    </w:p>
    <w:p w14:paraId="084C43DA"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446CF3">
        <w:rPr>
          <w:rFonts w:ascii="Times New Roman" w:hAnsi="Times New Roman" w:cs="Times New Roman"/>
          <w:b/>
          <w:bCs/>
          <w:i/>
          <w:iCs/>
          <w:sz w:val="24"/>
          <w:szCs w:val="24"/>
        </w:rPr>
        <w:t>Indicator 8.9.1 Tourism direct GDP as a proportion of total GDP and in growth rate</w:t>
      </w:r>
    </w:p>
    <w:p w14:paraId="70D3C375" w14:textId="77777777" w:rsidR="00877949" w:rsidRPr="00446CF3"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06FE415D" w14:textId="77777777" w:rsidR="0071415F" w:rsidRPr="00446CF3" w:rsidRDefault="0071415F" w:rsidP="003832DB">
      <w:pPr>
        <w:autoSpaceDE w:val="0"/>
        <w:autoSpaceDN w:val="0"/>
        <w:bidi w:val="0"/>
        <w:adjustRightInd w:val="0"/>
        <w:spacing w:after="0" w:line="240" w:lineRule="auto"/>
        <w:jc w:val="both"/>
        <w:rPr>
          <w:rFonts w:ascii="Times New Roman" w:hAnsi="Times New Roman" w:cs="Times New Roman"/>
          <w:sz w:val="24"/>
          <w:szCs w:val="24"/>
        </w:rPr>
      </w:pPr>
      <w:r w:rsidRPr="00446CF3">
        <w:rPr>
          <w:rFonts w:ascii="Times New Roman" w:hAnsi="Times New Roman" w:cs="Times New Roman"/>
          <w:sz w:val="24"/>
          <w:szCs w:val="24"/>
        </w:rPr>
        <w:t xml:space="preserve">The value added for </w:t>
      </w:r>
      <w:r w:rsidR="009B19E7" w:rsidRPr="00446CF3">
        <w:rPr>
          <w:rFonts w:ascii="Times New Roman" w:hAnsi="Times New Roman" w:cs="Times New Roman"/>
          <w:sz w:val="24"/>
          <w:szCs w:val="24"/>
        </w:rPr>
        <w:t>t</w:t>
      </w:r>
      <w:r w:rsidRPr="00446CF3">
        <w:rPr>
          <w:rFonts w:ascii="Times New Roman" w:hAnsi="Times New Roman" w:cs="Times New Roman"/>
          <w:sz w:val="24"/>
          <w:szCs w:val="24"/>
        </w:rPr>
        <w:t>ourism enterprises as a proportion of total GDP in Palestine, recorded a</w:t>
      </w:r>
      <w:r w:rsidR="005B6FB5" w:rsidRPr="00446CF3">
        <w:rPr>
          <w:rFonts w:ascii="Times New Roman" w:hAnsi="Times New Roman" w:cs="Times New Roman"/>
          <w:sz w:val="24"/>
          <w:szCs w:val="24"/>
        </w:rPr>
        <w:t xml:space="preserve">decrease </w:t>
      </w:r>
      <w:r w:rsidRPr="00446CF3">
        <w:rPr>
          <w:rFonts w:ascii="Times New Roman" w:hAnsi="Times New Roman" w:cs="Times New Roman"/>
          <w:sz w:val="24"/>
          <w:szCs w:val="24"/>
        </w:rPr>
        <w:t xml:space="preserve">in </w:t>
      </w:r>
      <w:r w:rsidR="005B6FB5" w:rsidRPr="00446CF3">
        <w:rPr>
          <w:rFonts w:ascii="Times New Roman" w:hAnsi="Times New Roman" w:cs="Times New Roman"/>
          <w:sz w:val="24"/>
          <w:szCs w:val="24"/>
        </w:rPr>
        <w:t xml:space="preserve">2021 </w:t>
      </w:r>
      <w:r w:rsidRPr="00446CF3">
        <w:rPr>
          <w:rFonts w:ascii="Times New Roman" w:hAnsi="Times New Roman" w:cs="Times New Roman"/>
          <w:sz w:val="24"/>
          <w:szCs w:val="24"/>
        </w:rPr>
        <w:t xml:space="preserve">compared to </w:t>
      </w:r>
      <w:r w:rsidR="005B6FB5" w:rsidRPr="00446CF3">
        <w:rPr>
          <w:rFonts w:ascii="Times New Roman" w:hAnsi="Times New Roman" w:cs="Times New Roman"/>
          <w:sz w:val="24"/>
          <w:szCs w:val="24"/>
        </w:rPr>
        <w:t>2019</w:t>
      </w:r>
      <w:r w:rsidRPr="00446CF3">
        <w:rPr>
          <w:rFonts w:ascii="Times New Roman" w:hAnsi="Times New Roman" w:cs="Times New Roman"/>
          <w:sz w:val="24"/>
          <w:szCs w:val="24"/>
        </w:rPr>
        <w:t xml:space="preserve">, reaching </w:t>
      </w:r>
      <w:r w:rsidR="005B6FB5" w:rsidRPr="00446CF3">
        <w:rPr>
          <w:rFonts w:ascii="Times New Roman" w:hAnsi="Times New Roman" w:cs="Times New Roman"/>
          <w:sz w:val="24"/>
          <w:szCs w:val="24"/>
        </w:rPr>
        <w:t>0.</w:t>
      </w:r>
      <w:r w:rsidR="003832DB" w:rsidRPr="00446CF3">
        <w:rPr>
          <w:rFonts w:ascii="Times New Roman" w:hAnsi="Times New Roman" w:cs="Times New Roman"/>
          <w:sz w:val="24"/>
          <w:szCs w:val="24"/>
        </w:rPr>
        <w:t>7</w:t>
      </w:r>
      <w:r w:rsidRPr="00446CF3">
        <w:rPr>
          <w:rFonts w:ascii="Times New Roman" w:hAnsi="Times New Roman" w:cs="Times New Roman"/>
          <w:sz w:val="24"/>
          <w:szCs w:val="24"/>
        </w:rPr>
        <w:t xml:space="preserve">% of </w:t>
      </w:r>
      <w:r w:rsidR="009B19E7" w:rsidRPr="00446CF3">
        <w:rPr>
          <w:rFonts w:ascii="Times New Roman" w:hAnsi="Times New Roman" w:cs="Times New Roman"/>
          <w:sz w:val="24"/>
          <w:szCs w:val="24"/>
        </w:rPr>
        <w:t xml:space="preserve">the </w:t>
      </w:r>
      <w:r w:rsidRPr="00446CF3">
        <w:rPr>
          <w:rFonts w:ascii="Times New Roman" w:hAnsi="Times New Roman" w:cs="Times New Roman"/>
          <w:sz w:val="24"/>
          <w:szCs w:val="24"/>
        </w:rPr>
        <w:t xml:space="preserve">total GDP in </w:t>
      </w:r>
      <w:r w:rsidR="005B6FB5" w:rsidRPr="00446CF3">
        <w:rPr>
          <w:rFonts w:ascii="Times New Roman" w:hAnsi="Times New Roman" w:cs="Times New Roman"/>
          <w:sz w:val="24"/>
          <w:szCs w:val="24"/>
        </w:rPr>
        <w:t>2021 compared to 2.9</w:t>
      </w:r>
      <w:r w:rsidR="003832DB" w:rsidRPr="00446CF3">
        <w:rPr>
          <w:rFonts w:ascii="Times New Roman" w:hAnsi="Times New Roman" w:cs="Times New Roman"/>
          <w:sz w:val="24"/>
          <w:szCs w:val="24"/>
        </w:rPr>
        <w:t>%</w:t>
      </w:r>
      <w:r w:rsidR="005B6FB5" w:rsidRPr="00446CF3">
        <w:rPr>
          <w:rFonts w:ascii="Times New Roman" w:hAnsi="Times New Roman" w:cs="Times New Roman"/>
          <w:sz w:val="24"/>
          <w:szCs w:val="24"/>
        </w:rPr>
        <w:t xml:space="preserve"> in the year 2019</w:t>
      </w:r>
      <w:r w:rsidRPr="00446CF3">
        <w:rPr>
          <w:rFonts w:ascii="Times New Roman" w:hAnsi="Times New Roman" w:cs="Times New Roman"/>
          <w:sz w:val="24"/>
          <w:szCs w:val="24"/>
        </w:rPr>
        <w:t>.</w:t>
      </w:r>
    </w:p>
    <w:p w14:paraId="631E48F3"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sz w:val="16"/>
          <w:szCs w:val="16"/>
          <w:rtl/>
        </w:rPr>
      </w:pPr>
    </w:p>
    <w:p w14:paraId="1BE18D03" w14:textId="77777777" w:rsidR="0071415F" w:rsidRDefault="0071415F" w:rsidP="005B6FB5">
      <w:pPr>
        <w:tabs>
          <w:tab w:val="left" w:pos="9072"/>
        </w:tabs>
        <w:bidi w:val="0"/>
        <w:spacing w:after="0" w:line="240" w:lineRule="auto"/>
        <w:jc w:val="center"/>
        <w:rPr>
          <w:rFonts w:ascii="Arial" w:hAnsi="Arial"/>
          <w:b/>
          <w:bCs/>
          <w:rtl/>
        </w:rPr>
      </w:pPr>
      <w:r w:rsidRPr="00446CF3">
        <w:rPr>
          <w:rFonts w:ascii="Arial" w:hAnsi="Arial"/>
          <w:b/>
          <w:bCs/>
        </w:rPr>
        <w:t xml:space="preserve">Tourism Direct GDP as A Proportion of Total GDP for Years </w:t>
      </w:r>
      <w:r w:rsidR="00E93DD8" w:rsidRPr="00446CF3">
        <w:rPr>
          <w:rFonts w:ascii="Arial" w:hAnsi="Arial"/>
          <w:b/>
          <w:bCs/>
        </w:rPr>
        <w:t>2015</w:t>
      </w:r>
      <w:r w:rsidRPr="00446CF3">
        <w:rPr>
          <w:rFonts w:ascii="Arial" w:hAnsi="Arial"/>
          <w:b/>
          <w:bCs/>
        </w:rPr>
        <w:t>-</w:t>
      </w:r>
      <w:r w:rsidR="005B6FB5" w:rsidRPr="00446CF3">
        <w:rPr>
          <w:rFonts w:ascii="Arial" w:hAnsi="Arial"/>
          <w:b/>
          <w:bCs/>
        </w:rPr>
        <w:t xml:space="preserve">2021 </w:t>
      </w:r>
      <w:r w:rsidRPr="00446CF3">
        <w:rPr>
          <w:rFonts w:ascii="Arial" w:hAnsi="Arial"/>
          <w:b/>
          <w:bCs/>
        </w:rPr>
        <w:t>(%)</w:t>
      </w:r>
    </w:p>
    <w:p w14:paraId="36EB73CC" w14:textId="77777777" w:rsidR="004E7FDA" w:rsidRPr="00DA2024" w:rsidRDefault="009B6D43" w:rsidP="004E7FDA">
      <w:pPr>
        <w:tabs>
          <w:tab w:val="left" w:pos="9072"/>
        </w:tabs>
        <w:bidi w:val="0"/>
        <w:spacing w:after="0" w:line="240" w:lineRule="auto"/>
        <w:jc w:val="center"/>
        <w:rPr>
          <w:rFonts w:ascii="Arial" w:hAnsi="Arial"/>
          <w:b/>
          <w:bCs/>
        </w:rPr>
      </w:pPr>
      <w:r>
        <w:rPr>
          <w:rFonts w:ascii="Simplified Arabic" w:hAnsi="Simplified Arabic" w:cs="Simplified Arabic"/>
          <w:noProof/>
          <w:sz w:val="20"/>
          <w:szCs w:val="24"/>
        </w:rPr>
        <w:drawing>
          <wp:inline distT="0" distB="0" distL="0" distR="0" wp14:anchorId="49A56EDA" wp14:editId="6A9A81A0">
            <wp:extent cx="5648325" cy="1933575"/>
            <wp:effectExtent l="0" t="0" r="9525" b="9525"/>
            <wp:docPr id="22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01C62C6F" w14:textId="77777777" w:rsidR="0071415F" w:rsidRPr="00BD3E97" w:rsidRDefault="0071415F" w:rsidP="005B6FB5">
      <w:pPr>
        <w:autoSpaceDE w:val="0"/>
        <w:autoSpaceDN w:val="0"/>
        <w:bidi w:val="0"/>
        <w:adjustRightInd w:val="0"/>
        <w:spacing w:after="0" w:line="240" w:lineRule="auto"/>
        <w:ind w:left="720" w:hanging="720"/>
        <w:jc w:val="both"/>
        <w:rPr>
          <w:rFonts w:asciiTheme="minorBidi" w:hAnsiTheme="minorBidi" w:cstheme="minorBidi"/>
          <w:sz w:val="18"/>
          <w:szCs w:val="18"/>
        </w:rPr>
      </w:pPr>
      <w:r w:rsidRPr="00BD3E97">
        <w:rPr>
          <w:rFonts w:asciiTheme="minorBidi" w:hAnsiTheme="minorBidi" w:cstheme="minorBidi"/>
          <w:b/>
          <w:bCs/>
          <w:sz w:val="18"/>
          <w:szCs w:val="18"/>
        </w:rPr>
        <w:t>Source: Palestinian Central Bureau of Statistics,</w:t>
      </w:r>
      <w:r w:rsidRPr="00BD3E97">
        <w:rPr>
          <w:rFonts w:asciiTheme="minorBidi" w:hAnsiTheme="minorBidi" w:cstheme="minorBidi"/>
          <w:sz w:val="18"/>
          <w:szCs w:val="18"/>
        </w:rPr>
        <w:t xml:space="preserve">Economic Surveys Series </w:t>
      </w:r>
      <w:r w:rsidR="00A25FCF" w:rsidRPr="00BD3E97">
        <w:rPr>
          <w:rFonts w:asciiTheme="minorBidi" w:hAnsiTheme="minorBidi" w:cstheme="minorBidi"/>
          <w:sz w:val="18"/>
          <w:szCs w:val="18"/>
        </w:rPr>
        <w:t>2015</w:t>
      </w:r>
      <w:r w:rsidRPr="00BD3E97">
        <w:rPr>
          <w:rFonts w:asciiTheme="minorBidi" w:hAnsiTheme="minorBidi" w:cstheme="minorBidi"/>
          <w:sz w:val="18"/>
          <w:szCs w:val="18"/>
        </w:rPr>
        <w:t>-</w:t>
      </w:r>
      <w:r w:rsidR="005B6FB5">
        <w:rPr>
          <w:rFonts w:asciiTheme="minorBidi" w:hAnsiTheme="minorBidi" w:cstheme="minorBidi"/>
          <w:sz w:val="18"/>
          <w:szCs w:val="18"/>
        </w:rPr>
        <w:t>2021</w:t>
      </w:r>
      <w:r w:rsidRPr="00BD3E97">
        <w:rPr>
          <w:rFonts w:asciiTheme="minorBidi" w:hAnsiTheme="minorBidi" w:cstheme="minorBidi"/>
          <w:sz w:val="18"/>
          <w:szCs w:val="18"/>
        </w:rPr>
        <w:t>: Main Results. Ramallah- Palestine.</w:t>
      </w:r>
    </w:p>
    <w:p w14:paraId="2AA35134"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566EF82E" w14:textId="77777777"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7A33E7B5" w14:textId="77777777"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344CF348" w14:textId="77777777" w:rsidR="006E49BE" w:rsidRPr="00DA2024"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071DD39F"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DA2024">
        <w:rPr>
          <w:rFonts w:ascii="Times New Roman" w:hAnsi="Times New Roman" w:cs="Times New Roman"/>
          <w:b/>
          <w:bCs/>
          <w:i/>
          <w:iCs/>
          <w:sz w:val="24"/>
          <w:szCs w:val="24"/>
        </w:rPr>
        <w:lastRenderedPageBreak/>
        <w:t>Indicator 8.10.1 Number of commercial bank branches per 100,000 adults and number of automated teller machines (ATMs) per 100,000 adults </w:t>
      </w:r>
    </w:p>
    <w:p w14:paraId="1E4C32A9" w14:textId="77777777" w:rsidR="00877949" w:rsidRPr="00DA202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6C404433"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The number of commercial bank branches per 100,000 adults was 13 commercial bank branches per 100,000 adults for year 2021, while the number of automated teller machines (ATMs) per 100,000 adults </w:t>
      </w:r>
      <w:r w:rsidR="009B19E7">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24 automated teller machines per 100,000 adults for 2021.</w:t>
      </w:r>
    </w:p>
    <w:p w14:paraId="78854B50" w14:textId="77777777" w:rsidR="0071415F" w:rsidRPr="0090647B" w:rsidRDefault="0071415F" w:rsidP="00F3507C">
      <w:pPr>
        <w:tabs>
          <w:tab w:val="left" w:pos="9072"/>
        </w:tabs>
        <w:bidi w:val="0"/>
        <w:spacing w:after="0" w:line="240" w:lineRule="auto"/>
        <w:rPr>
          <w:rFonts w:ascii="Arial" w:hAnsi="Arial"/>
          <w:b/>
          <w:bCs/>
          <w:color w:val="000000" w:themeColor="text1"/>
        </w:rPr>
      </w:pPr>
    </w:p>
    <w:p w14:paraId="2CA746C2" w14:textId="77777777" w:rsidR="0071415F" w:rsidRPr="0090647B" w:rsidRDefault="0071415F" w:rsidP="00E93DD8">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t>Number of Commercial Bank Branches</w:t>
      </w:r>
      <w:r w:rsidR="005024EB" w:rsidRPr="0090647B">
        <w:rPr>
          <w:rFonts w:ascii="Arial" w:hAnsi="Arial"/>
          <w:b/>
          <w:bCs/>
          <w:color w:val="000000" w:themeColor="text1"/>
        </w:rPr>
        <w:t>(Per 100,000 Adults)</w:t>
      </w:r>
      <w:r w:rsidRPr="0090647B">
        <w:rPr>
          <w:rFonts w:ascii="Arial" w:hAnsi="Arial"/>
          <w:b/>
          <w:bCs/>
          <w:color w:val="000000" w:themeColor="text1"/>
        </w:rPr>
        <w:t xml:space="preserve"> for Years </w:t>
      </w:r>
      <w:r w:rsidR="00E93DD8">
        <w:rPr>
          <w:rFonts w:ascii="Arial" w:hAnsi="Arial"/>
          <w:b/>
          <w:bCs/>
          <w:color w:val="000000" w:themeColor="text1"/>
        </w:rPr>
        <w:t>2015</w:t>
      </w:r>
      <w:r w:rsidRPr="0090647B">
        <w:rPr>
          <w:rFonts w:ascii="Arial" w:hAnsi="Arial"/>
          <w:b/>
          <w:bCs/>
          <w:color w:val="000000" w:themeColor="text1"/>
        </w:rPr>
        <w:t xml:space="preserve">-2021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75E1DAD3" w14:textId="77777777" w:rsidTr="009E4880">
        <w:tc>
          <w:tcPr>
            <w:tcW w:w="9286" w:type="dxa"/>
            <w:shd w:val="clear" w:color="auto" w:fill="auto"/>
            <w:vAlign w:val="center"/>
          </w:tcPr>
          <w:p w14:paraId="28523C59" w14:textId="77777777" w:rsidR="0071415F" w:rsidRPr="0090647B" w:rsidRDefault="0071415F" w:rsidP="009E4880">
            <w:pPr>
              <w:tabs>
                <w:tab w:val="left" w:pos="9072"/>
              </w:tabs>
              <w:bidi w:val="0"/>
              <w:spacing w:after="0" w:line="240" w:lineRule="auto"/>
              <w:jc w:val="center"/>
              <w:rPr>
                <w:rFonts w:ascii="Arial" w:hAnsi="Arial"/>
                <w:b/>
                <w:bCs/>
                <w:color w:val="000000" w:themeColor="text1"/>
                <w:lang w:val="it-IT"/>
              </w:rPr>
            </w:pPr>
            <w:r w:rsidRPr="0090647B">
              <w:rPr>
                <w:rFonts w:ascii="Times New Roman" w:hAnsi="Times New Roman" w:cs="Times New Roman"/>
                <w:b/>
                <w:bCs/>
                <w:noProof/>
                <w:color w:val="000000" w:themeColor="text1"/>
                <w:sz w:val="24"/>
                <w:szCs w:val="24"/>
              </w:rPr>
              <w:drawing>
                <wp:inline distT="0" distB="0" distL="0" distR="0" wp14:anchorId="446BCE90" wp14:editId="76E03251">
                  <wp:extent cx="5558155" cy="2136913"/>
                  <wp:effectExtent l="0" t="0" r="4445" b="0"/>
                  <wp:docPr id="203"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bl>
    <w:p w14:paraId="7494CF34" w14:textId="77777777" w:rsidR="0071415F" w:rsidRPr="00E74AED" w:rsidRDefault="0071415F" w:rsidP="0071415F">
      <w:pPr>
        <w:autoSpaceDE w:val="0"/>
        <w:autoSpaceDN w:val="0"/>
        <w:bidi w:val="0"/>
        <w:adjustRightInd w:val="0"/>
        <w:spacing w:after="0" w:line="240" w:lineRule="auto"/>
        <w:jc w:val="both"/>
        <w:rPr>
          <w:rFonts w:asciiTheme="minorBidi" w:hAnsiTheme="minorBidi" w:cstheme="minorBidi"/>
          <w:b/>
          <w:bCs/>
          <w:color w:val="000000" w:themeColor="text1"/>
          <w:sz w:val="18"/>
          <w:szCs w:val="18"/>
        </w:rPr>
      </w:pPr>
      <w:r w:rsidRPr="00E74AED">
        <w:rPr>
          <w:rFonts w:asciiTheme="minorBidi" w:hAnsiTheme="minorBidi" w:cstheme="minorBidi"/>
          <w:b/>
          <w:bCs/>
          <w:color w:val="000000" w:themeColor="text1"/>
          <w:sz w:val="18"/>
          <w:szCs w:val="18"/>
        </w:rPr>
        <w:t>Source:</w:t>
      </w:r>
      <w:hyperlink r:id="rId126" w:history="1">
        <w:r w:rsidRPr="00E74AED">
          <w:rPr>
            <w:rStyle w:val="Hyperlink"/>
            <w:rFonts w:asciiTheme="minorBidi" w:hAnsiTheme="minorBidi" w:cstheme="minorBidi"/>
            <w:b/>
            <w:bCs/>
            <w:color w:val="000000" w:themeColor="text1"/>
            <w:sz w:val="18"/>
            <w:szCs w:val="18"/>
          </w:rPr>
          <w:t>https://unstats.un.org/sdgs/indicators/database/</w:t>
        </w:r>
      </w:hyperlink>
    </w:p>
    <w:p w14:paraId="0BDDF627"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D38FE2C"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 xml:space="preserve">Indicator 8.10.2 Proportion of adults (15 years and above) with an account at a bank or other </w:t>
      </w:r>
      <w:r w:rsidRPr="00446CF3">
        <w:rPr>
          <w:rFonts w:ascii="Times New Roman" w:hAnsi="Times New Roman" w:cs="Times New Roman"/>
          <w:b/>
          <w:bCs/>
          <w:i/>
          <w:iCs/>
          <w:color w:val="000000" w:themeColor="text1"/>
          <w:sz w:val="24"/>
          <w:szCs w:val="24"/>
        </w:rPr>
        <w:t>financial institution or with a mobile-money-service provider </w:t>
      </w:r>
    </w:p>
    <w:p w14:paraId="6E7BCD2D" w14:textId="77777777" w:rsidR="00877949" w:rsidRPr="00446CF3"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E7B2678" w14:textId="77777777" w:rsidR="0071415F" w:rsidRPr="00446CF3" w:rsidRDefault="0071415F" w:rsidP="001002AA">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The proportion of adults (15 years and above) with an account at a bank or other financial institution or with a mobile-money-service provider reach </w:t>
      </w:r>
      <w:r w:rsidR="001002AA" w:rsidRPr="00446CF3">
        <w:rPr>
          <w:rFonts w:ascii="Times New Roman" w:hAnsi="Times New Roman" w:cs="Times New Roman"/>
          <w:color w:val="000000" w:themeColor="text1"/>
          <w:sz w:val="24"/>
          <w:szCs w:val="24"/>
        </w:rPr>
        <w:t>50</w:t>
      </w:r>
      <w:r w:rsidRPr="00446CF3">
        <w:rPr>
          <w:rFonts w:ascii="Times New Roman" w:hAnsi="Times New Roman" w:cs="Times New Roman"/>
          <w:color w:val="000000" w:themeColor="text1"/>
          <w:sz w:val="24"/>
          <w:szCs w:val="24"/>
        </w:rPr>
        <w:t>.0% in Palestine for year 202</w:t>
      </w:r>
      <w:r w:rsidR="001002AA" w:rsidRPr="00446CF3">
        <w:rPr>
          <w:rFonts w:ascii="Times New Roman" w:hAnsi="Times New Roman" w:cs="Times New Roman"/>
          <w:color w:val="000000" w:themeColor="text1"/>
          <w:sz w:val="24"/>
          <w:szCs w:val="24"/>
        </w:rPr>
        <w:t>2</w:t>
      </w:r>
      <w:r w:rsidR="009B19E7" w:rsidRPr="00446CF3">
        <w:rPr>
          <w:rFonts w:ascii="Times New Roman" w:hAnsi="Times New Roman" w:cs="Times New Roman"/>
          <w:color w:val="000000" w:themeColor="text1"/>
          <w:sz w:val="24"/>
          <w:szCs w:val="24"/>
        </w:rPr>
        <w:t xml:space="preserve">, </w:t>
      </w:r>
      <w:r w:rsidRPr="00446CF3">
        <w:rPr>
          <w:rFonts w:ascii="Times New Roman" w:hAnsi="Times New Roman" w:cs="Times New Roman"/>
          <w:color w:val="000000" w:themeColor="text1"/>
          <w:sz w:val="24"/>
          <w:szCs w:val="24"/>
        </w:rPr>
        <w:t>record</w:t>
      </w:r>
      <w:r w:rsidR="009B19E7" w:rsidRPr="00446CF3">
        <w:rPr>
          <w:rFonts w:ascii="Times New Roman" w:hAnsi="Times New Roman" w:cs="Times New Roman"/>
          <w:color w:val="000000" w:themeColor="text1"/>
          <w:sz w:val="24"/>
          <w:szCs w:val="24"/>
        </w:rPr>
        <w:t>ing</w:t>
      </w:r>
      <w:r w:rsidRPr="00446CF3">
        <w:rPr>
          <w:rFonts w:ascii="Times New Roman" w:hAnsi="Times New Roman" w:cs="Times New Roman"/>
          <w:color w:val="000000" w:themeColor="text1"/>
          <w:sz w:val="24"/>
          <w:szCs w:val="24"/>
        </w:rPr>
        <w:t xml:space="preserve"> an increase </w:t>
      </w:r>
      <w:r w:rsidR="009B19E7" w:rsidRPr="00446CF3">
        <w:rPr>
          <w:rFonts w:ascii="Times New Roman" w:hAnsi="Times New Roman" w:cs="Times New Roman"/>
          <w:color w:val="000000" w:themeColor="text1"/>
          <w:sz w:val="24"/>
          <w:szCs w:val="24"/>
        </w:rPr>
        <w:t>of</w:t>
      </w:r>
      <w:r w:rsidRPr="00446CF3">
        <w:rPr>
          <w:rFonts w:ascii="Times New Roman" w:hAnsi="Times New Roman" w:cs="Times New Roman"/>
          <w:color w:val="000000" w:themeColor="text1"/>
          <w:sz w:val="24"/>
          <w:szCs w:val="24"/>
        </w:rPr>
        <w:t xml:space="preserve"> </w:t>
      </w:r>
      <w:r w:rsidR="001002AA" w:rsidRPr="00446CF3">
        <w:rPr>
          <w:rFonts w:ascii="Times New Roman" w:hAnsi="Times New Roman" w:cs="Times New Roman"/>
          <w:color w:val="000000" w:themeColor="text1"/>
          <w:sz w:val="24"/>
          <w:szCs w:val="24"/>
        </w:rPr>
        <w:t>8.7</w:t>
      </w:r>
      <w:r w:rsidRPr="00446CF3">
        <w:rPr>
          <w:rFonts w:ascii="Times New Roman" w:hAnsi="Times New Roman" w:cs="Times New Roman"/>
          <w:color w:val="000000" w:themeColor="text1"/>
          <w:sz w:val="24"/>
          <w:szCs w:val="24"/>
        </w:rPr>
        <w:t>% compared to 202</w:t>
      </w:r>
      <w:r w:rsidR="001002AA" w:rsidRPr="00446CF3">
        <w:rPr>
          <w:rFonts w:ascii="Times New Roman" w:hAnsi="Times New Roman" w:cs="Times New Roman"/>
          <w:color w:val="000000" w:themeColor="text1"/>
          <w:sz w:val="24"/>
          <w:szCs w:val="24"/>
        </w:rPr>
        <w:t>1</w:t>
      </w:r>
      <w:r w:rsidRPr="00446CF3">
        <w:rPr>
          <w:rFonts w:ascii="Times New Roman" w:hAnsi="Times New Roman" w:cs="Times New Roman"/>
          <w:color w:val="000000" w:themeColor="text1"/>
          <w:sz w:val="24"/>
          <w:szCs w:val="24"/>
        </w:rPr>
        <w:t>.</w:t>
      </w:r>
    </w:p>
    <w:p w14:paraId="757F8B74"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3915D462" w14:textId="77777777" w:rsidR="00446CF3" w:rsidRDefault="00446CF3" w:rsidP="0071415F">
      <w:pPr>
        <w:tabs>
          <w:tab w:val="left" w:pos="9072"/>
        </w:tabs>
        <w:bidi w:val="0"/>
        <w:spacing w:after="0" w:line="240" w:lineRule="auto"/>
        <w:jc w:val="both"/>
        <w:rPr>
          <w:rFonts w:ascii="Times New Roman" w:hAnsi="Times New Roman" w:cs="Times New Roman"/>
          <w:b/>
          <w:bCs/>
          <w:i/>
          <w:iCs/>
          <w:color w:val="000000" w:themeColor="text1"/>
          <w:sz w:val="24"/>
          <w:szCs w:val="24"/>
        </w:rPr>
      </w:pPr>
    </w:p>
    <w:p w14:paraId="1581752B" w14:textId="77777777" w:rsidR="0071415F" w:rsidRPr="00446CF3" w:rsidRDefault="0071415F" w:rsidP="00446CF3">
      <w:pPr>
        <w:tabs>
          <w:tab w:val="left" w:pos="9072"/>
        </w:tabs>
        <w:bidi w:val="0"/>
        <w:spacing w:after="0" w:line="240" w:lineRule="auto"/>
        <w:jc w:val="both"/>
        <w:rPr>
          <w:rFonts w:ascii="Times New Roman" w:hAnsi="Times New Roman" w:cs="Times New Roman"/>
          <w:b/>
          <w:bCs/>
          <w:i/>
          <w:iCs/>
          <w:color w:val="000000" w:themeColor="text1"/>
          <w:sz w:val="24"/>
          <w:szCs w:val="24"/>
        </w:rPr>
      </w:pPr>
      <w:r w:rsidRPr="00446CF3">
        <w:rPr>
          <w:rFonts w:ascii="Times New Roman" w:hAnsi="Times New Roman" w:cs="Times New Roman"/>
          <w:b/>
          <w:bCs/>
          <w:i/>
          <w:iCs/>
          <w:color w:val="000000" w:themeColor="text1"/>
          <w:sz w:val="24"/>
          <w:szCs w:val="24"/>
        </w:rPr>
        <w:t>Indicator 8.a.1 Total official flows for Aid for Trade</w:t>
      </w:r>
    </w:p>
    <w:p w14:paraId="2278A3A0" w14:textId="77777777" w:rsidR="00877949" w:rsidRPr="00446CF3" w:rsidRDefault="00877949" w:rsidP="00877949">
      <w:pPr>
        <w:tabs>
          <w:tab w:val="left" w:pos="9072"/>
        </w:tabs>
        <w:bidi w:val="0"/>
        <w:spacing w:after="0" w:line="240" w:lineRule="auto"/>
        <w:jc w:val="both"/>
        <w:rPr>
          <w:rFonts w:ascii="Times New Roman" w:hAnsi="Times New Roman" w:cs="Times New Roman"/>
          <w:b/>
          <w:bCs/>
          <w:i/>
          <w:iCs/>
          <w:color w:val="000000" w:themeColor="text1"/>
          <w:sz w:val="24"/>
          <w:szCs w:val="24"/>
        </w:rPr>
      </w:pPr>
    </w:p>
    <w:p w14:paraId="092A0306" w14:textId="77777777" w:rsidR="0071415F" w:rsidRPr="0090647B" w:rsidRDefault="0071415F" w:rsidP="001002AA">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Total official flows (commitments) for Aid for </w:t>
      </w:r>
      <w:r w:rsidR="00A7496C" w:rsidRPr="00446CF3">
        <w:rPr>
          <w:rFonts w:ascii="Times New Roman" w:hAnsi="Times New Roman" w:cs="Times New Roman"/>
          <w:color w:val="000000" w:themeColor="text1"/>
          <w:sz w:val="24"/>
          <w:szCs w:val="24"/>
        </w:rPr>
        <w:t>T</w:t>
      </w:r>
      <w:r w:rsidRPr="00446CF3">
        <w:rPr>
          <w:rFonts w:ascii="Times New Roman" w:hAnsi="Times New Roman" w:cs="Times New Roman"/>
          <w:color w:val="000000" w:themeColor="text1"/>
          <w:sz w:val="24"/>
          <w:szCs w:val="24"/>
        </w:rPr>
        <w:t xml:space="preserve">rade </w:t>
      </w:r>
      <w:r w:rsidR="009B19E7" w:rsidRPr="00446CF3">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USD </w:t>
      </w:r>
      <w:r w:rsidR="001002AA">
        <w:rPr>
          <w:rFonts w:ascii="Times New Roman" w:hAnsi="Times New Roman" w:cs="Times New Roman"/>
          <w:color w:val="000000" w:themeColor="text1"/>
          <w:sz w:val="24"/>
          <w:szCs w:val="24"/>
        </w:rPr>
        <w:t>107.5</w:t>
      </w:r>
      <w:r w:rsidRPr="0090647B">
        <w:rPr>
          <w:rFonts w:ascii="Times New Roman" w:hAnsi="Times New Roman" w:cs="Times New Roman"/>
          <w:color w:val="000000" w:themeColor="text1"/>
          <w:sz w:val="24"/>
          <w:szCs w:val="24"/>
        </w:rPr>
        <w:t xml:space="preserve"> </w:t>
      </w:r>
      <w:r w:rsidR="009B19E7">
        <w:rPr>
          <w:rFonts w:ascii="Times New Roman" w:hAnsi="Times New Roman" w:cs="Times New Roman"/>
          <w:color w:val="000000" w:themeColor="text1"/>
          <w:sz w:val="24"/>
          <w:szCs w:val="24"/>
        </w:rPr>
        <w:t xml:space="preserve">million </w:t>
      </w:r>
      <w:r w:rsidRPr="0090647B">
        <w:rPr>
          <w:rFonts w:ascii="Times New Roman" w:hAnsi="Times New Roman" w:cs="Times New Roman"/>
          <w:color w:val="000000" w:themeColor="text1"/>
          <w:sz w:val="24"/>
          <w:szCs w:val="24"/>
        </w:rPr>
        <w:t xml:space="preserve">for </w:t>
      </w:r>
      <w:r w:rsidR="001002AA">
        <w:rPr>
          <w:rFonts w:ascii="Times New Roman" w:hAnsi="Times New Roman" w:cs="Times New Roman"/>
          <w:color w:val="000000" w:themeColor="text1"/>
          <w:sz w:val="24"/>
          <w:szCs w:val="24"/>
        </w:rPr>
        <w:t>2021</w:t>
      </w:r>
      <w:r w:rsidRPr="0090647B">
        <w:rPr>
          <w:rFonts w:ascii="Times New Roman" w:hAnsi="Times New Roman" w:cs="Times New Roman"/>
          <w:color w:val="000000" w:themeColor="text1"/>
          <w:sz w:val="24"/>
          <w:szCs w:val="24"/>
        </w:rPr>
        <w:t xml:space="preserve">, while total official flows (disbursement) for Aid for Trade </w:t>
      </w:r>
      <w:r w:rsidR="009B19E7">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USD </w:t>
      </w:r>
      <w:r w:rsidR="001002AA">
        <w:rPr>
          <w:rFonts w:ascii="Times New Roman" w:hAnsi="Times New Roman" w:cs="Times New Roman"/>
          <w:color w:val="000000" w:themeColor="text1"/>
          <w:sz w:val="24"/>
          <w:szCs w:val="24"/>
        </w:rPr>
        <w:t>97.6</w:t>
      </w:r>
      <w:r w:rsidR="00E4547F" w:rsidRPr="0090647B">
        <w:rPr>
          <w:rFonts w:ascii="Times New Roman" w:hAnsi="Times New Roman" w:cs="Times New Roman"/>
          <w:color w:val="000000" w:themeColor="text1"/>
          <w:sz w:val="24"/>
          <w:szCs w:val="24"/>
        </w:rPr>
        <w:t xml:space="preserve"> </w:t>
      </w:r>
      <w:r w:rsidR="009B19E7">
        <w:rPr>
          <w:rFonts w:ascii="Times New Roman" w:hAnsi="Times New Roman" w:cs="Times New Roman"/>
          <w:color w:val="000000" w:themeColor="text1"/>
          <w:sz w:val="24"/>
          <w:szCs w:val="24"/>
        </w:rPr>
        <w:t xml:space="preserve">million </w:t>
      </w:r>
      <w:r w:rsidRPr="0090647B">
        <w:rPr>
          <w:rFonts w:ascii="Times New Roman" w:hAnsi="Times New Roman" w:cs="Times New Roman"/>
          <w:color w:val="000000" w:themeColor="text1"/>
          <w:sz w:val="24"/>
          <w:szCs w:val="24"/>
        </w:rPr>
        <w:t xml:space="preserve">for </w:t>
      </w:r>
      <w:r w:rsidR="001002AA">
        <w:rPr>
          <w:rFonts w:ascii="Times New Roman" w:hAnsi="Times New Roman" w:cs="Times New Roman"/>
          <w:color w:val="000000" w:themeColor="text1"/>
          <w:sz w:val="24"/>
          <w:szCs w:val="24"/>
        </w:rPr>
        <w:t>2021</w:t>
      </w:r>
      <w:r w:rsidR="00E4547F" w:rsidRPr="0090647B">
        <w:rPr>
          <w:rFonts w:ascii="Times New Roman" w:hAnsi="Times New Roman" w:cs="Times New Roman"/>
          <w:color w:val="000000" w:themeColor="text1"/>
          <w:sz w:val="24"/>
          <w:szCs w:val="24"/>
        </w:rPr>
        <w:t xml:space="preserve"> </w:t>
      </w:r>
      <w:r w:rsidRPr="0090647B">
        <w:rPr>
          <w:rFonts w:ascii="Times New Roman" w:hAnsi="Times New Roman" w:cs="Times New Roman"/>
          <w:color w:val="000000" w:themeColor="text1"/>
          <w:sz w:val="24"/>
          <w:szCs w:val="24"/>
        </w:rPr>
        <w:t>in Palestine.</w:t>
      </w:r>
    </w:p>
    <w:p w14:paraId="2BC2C51D"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6A10AB65" w14:textId="77777777" w:rsidR="0071415F" w:rsidRPr="0090647B" w:rsidRDefault="0071415F" w:rsidP="001002AA">
      <w:pPr>
        <w:autoSpaceDE w:val="0"/>
        <w:autoSpaceDN w:val="0"/>
        <w:bidi w:val="0"/>
        <w:adjustRightInd w:val="0"/>
        <w:spacing w:after="0" w:line="240" w:lineRule="auto"/>
        <w:jc w:val="center"/>
        <w:rPr>
          <w:rFonts w:ascii="Arial" w:hAnsi="Arial"/>
          <w:b/>
          <w:bCs/>
          <w:color w:val="000000" w:themeColor="text1"/>
        </w:rPr>
      </w:pPr>
      <w:r w:rsidRPr="004E7FDA">
        <w:rPr>
          <w:rFonts w:ascii="Arial" w:hAnsi="Arial"/>
          <w:b/>
          <w:bCs/>
          <w:color w:val="000000" w:themeColor="text1"/>
        </w:rPr>
        <w:t xml:space="preserve">Total </w:t>
      </w:r>
      <w:r w:rsidR="009B19E7" w:rsidRPr="004E7FDA">
        <w:rPr>
          <w:rFonts w:ascii="Arial" w:hAnsi="Arial"/>
          <w:b/>
          <w:bCs/>
          <w:color w:val="000000" w:themeColor="text1"/>
        </w:rPr>
        <w:t>O</w:t>
      </w:r>
      <w:r w:rsidRPr="004E7FDA">
        <w:rPr>
          <w:rFonts w:ascii="Arial" w:hAnsi="Arial"/>
          <w:b/>
          <w:bCs/>
          <w:color w:val="000000" w:themeColor="text1"/>
        </w:rPr>
        <w:t xml:space="preserve">fficial </w:t>
      </w:r>
      <w:r w:rsidR="009B19E7" w:rsidRPr="004E7FDA">
        <w:rPr>
          <w:rFonts w:ascii="Arial" w:hAnsi="Arial"/>
          <w:b/>
          <w:bCs/>
          <w:color w:val="000000" w:themeColor="text1"/>
        </w:rPr>
        <w:t>F</w:t>
      </w:r>
      <w:r w:rsidRPr="004E7FDA">
        <w:rPr>
          <w:rFonts w:ascii="Arial" w:hAnsi="Arial"/>
          <w:b/>
          <w:bCs/>
          <w:color w:val="000000" w:themeColor="text1"/>
        </w:rPr>
        <w:t xml:space="preserve">lows (commitments) for Aid for </w:t>
      </w:r>
      <w:r w:rsidR="009B19E7" w:rsidRPr="004E7FDA">
        <w:rPr>
          <w:rFonts w:ascii="Arial" w:hAnsi="Arial"/>
          <w:b/>
          <w:bCs/>
          <w:color w:val="000000" w:themeColor="text1"/>
        </w:rPr>
        <w:t>T</w:t>
      </w:r>
      <w:r w:rsidRPr="004E7FDA">
        <w:rPr>
          <w:rFonts w:ascii="Arial" w:hAnsi="Arial"/>
          <w:b/>
          <w:bCs/>
          <w:color w:val="000000" w:themeColor="text1"/>
        </w:rPr>
        <w:t xml:space="preserve">rade for years </w:t>
      </w:r>
      <w:r w:rsidR="00E93DD8" w:rsidRPr="004E7FDA">
        <w:rPr>
          <w:rFonts w:ascii="Arial" w:hAnsi="Arial"/>
          <w:b/>
          <w:bCs/>
          <w:color w:val="000000" w:themeColor="text1"/>
        </w:rPr>
        <w:t>2015</w:t>
      </w:r>
      <w:r w:rsidRPr="004E7FDA">
        <w:rPr>
          <w:rFonts w:ascii="Arial" w:hAnsi="Arial"/>
          <w:b/>
          <w:bCs/>
          <w:color w:val="000000" w:themeColor="text1"/>
        </w:rPr>
        <w:t>-</w:t>
      </w:r>
      <w:r w:rsidR="004A40F1" w:rsidRPr="004A40F1">
        <w:rPr>
          <w:rFonts w:ascii="Arial" w:hAnsi="Arial"/>
          <w:b/>
          <w:bCs/>
          <w:color w:val="000000" w:themeColor="text1"/>
        </w:rPr>
        <w:t>202</w:t>
      </w:r>
      <w:r w:rsidR="001002AA">
        <w:rPr>
          <w:rFonts w:ascii="Arial" w:hAnsi="Arial"/>
          <w:b/>
          <w:bCs/>
          <w:color w:val="000000" w:themeColor="text1"/>
        </w:rPr>
        <w:t>1</w:t>
      </w:r>
      <w:r w:rsidR="00E4547F" w:rsidRPr="004E7FDA">
        <w:rPr>
          <w:rFonts w:ascii="Arial" w:hAnsi="Arial"/>
          <w:b/>
          <w:bCs/>
          <w:color w:val="000000" w:themeColor="text1"/>
        </w:rPr>
        <w:t xml:space="preserve"> </w:t>
      </w:r>
      <w:r w:rsidRPr="004E7FDA">
        <w:rPr>
          <w:rFonts w:ascii="Arial" w:hAnsi="Arial"/>
          <w:b/>
          <w:bCs/>
          <w:color w:val="000000" w:themeColor="text1"/>
        </w:rPr>
        <w:t>(million USD)</w:t>
      </w:r>
    </w:p>
    <w:p w14:paraId="1C8C34EF" w14:textId="77777777" w:rsidR="006E49BE" w:rsidRPr="00CD0D72" w:rsidRDefault="009B6D43"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lang w:val="it-IT"/>
        </w:rPr>
      </w:pPr>
      <w:r>
        <w:rPr>
          <w:rFonts w:ascii="Simplified Arabic" w:hAnsi="Simplified Arabic" w:cs="Simplified Arabic"/>
          <w:noProof/>
          <w:sz w:val="20"/>
          <w:szCs w:val="24"/>
        </w:rPr>
        <w:drawing>
          <wp:inline distT="0" distB="0" distL="0" distR="0" wp14:anchorId="11F73C9F" wp14:editId="54DD6884">
            <wp:extent cx="5759450" cy="2109237"/>
            <wp:effectExtent l="0" t="0" r="12700" b="5715"/>
            <wp:docPr id="73"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49D7763D" w14:textId="77777777" w:rsidR="004E7FDA" w:rsidRPr="00E74AED" w:rsidRDefault="004E7FDA" w:rsidP="004E7FDA">
      <w:pPr>
        <w:autoSpaceDE w:val="0"/>
        <w:autoSpaceDN w:val="0"/>
        <w:bidi w:val="0"/>
        <w:adjustRightInd w:val="0"/>
        <w:spacing w:after="0" w:line="240" w:lineRule="auto"/>
        <w:jc w:val="both"/>
        <w:rPr>
          <w:rFonts w:ascii="Arial" w:hAnsi="Arial"/>
          <w:b/>
          <w:bCs/>
          <w:color w:val="000000" w:themeColor="text1"/>
          <w:sz w:val="18"/>
          <w:szCs w:val="18"/>
          <w:lang w:val="it-IT"/>
        </w:rPr>
      </w:pPr>
      <w:r w:rsidRPr="00E74AED">
        <w:rPr>
          <w:rFonts w:ascii="Arial" w:hAnsi="Arial"/>
          <w:b/>
          <w:bCs/>
          <w:color w:val="000000" w:themeColor="text1"/>
          <w:sz w:val="18"/>
          <w:szCs w:val="18"/>
          <w:lang w:val="it-IT"/>
        </w:rPr>
        <w:t>Source:</w:t>
      </w:r>
      <w:hyperlink r:id="rId128" w:history="1">
        <w:r w:rsidRPr="00E74AED">
          <w:rPr>
            <w:rStyle w:val="Hyperlink"/>
            <w:rFonts w:ascii="Arial" w:hAnsi="Arial"/>
            <w:b/>
            <w:bCs/>
            <w:color w:val="000000" w:themeColor="text1"/>
            <w:sz w:val="18"/>
            <w:szCs w:val="18"/>
            <w:lang w:val="it-IT"/>
          </w:rPr>
          <w:t>https://unstats.un.org/sdgs/indicators/database/</w:t>
        </w:r>
      </w:hyperlink>
    </w:p>
    <w:p w14:paraId="69DFCB96" w14:textId="77777777" w:rsidR="006E49BE" w:rsidRDefault="006E49BE" w:rsidP="006E49BE">
      <w:pPr>
        <w:autoSpaceDE w:val="0"/>
        <w:autoSpaceDN w:val="0"/>
        <w:bidi w:val="0"/>
        <w:adjustRightInd w:val="0"/>
        <w:spacing w:after="0" w:line="240" w:lineRule="auto"/>
        <w:jc w:val="both"/>
        <w:rPr>
          <w:rFonts w:ascii="Times New Roman" w:hAnsi="Times New Roman" w:cs="Times New Roman"/>
          <w:b/>
          <w:bCs/>
          <w:color w:val="000000" w:themeColor="text1"/>
          <w:sz w:val="24"/>
          <w:szCs w:val="24"/>
          <w:lang w:val="it-IT"/>
        </w:rPr>
      </w:pPr>
    </w:p>
    <w:p w14:paraId="499239FE" w14:textId="77777777" w:rsidR="0071415F" w:rsidRPr="0090647B" w:rsidRDefault="0071415F" w:rsidP="006E49BE">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90647B">
        <w:rPr>
          <w:rFonts w:ascii="Times New Roman" w:hAnsi="Times New Roman" w:cs="Times New Roman"/>
          <w:b/>
          <w:bCs/>
          <w:color w:val="000000" w:themeColor="text1"/>
          <w:sz w:val="24"/>
          <w:szCs w:val="24"/>
        </w:rPr>
        <w:lastRenderedPageBreak/>
        <w:t>Summary</w:t>
      </w:r>
    </w:p>
    <w:p w14:paraId="09C7B2D2"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The data showed an increase in </w:t>
      </w:r>
      <w:r w:rsidR="009B19E7">
        <w:rPr>
          <w:rFonts w:ascii="Times New Roman" w:hAnsi="Times New Roman" w:cs="Times New Roman"/>
          <w:color w:val="000000" w:themeColor="text1"/>
          <w:sz w:val="24"/>
          <w:szCs w:val="24"/>
        </w:rPr>
        <w:t>a</w:t>
      </w:r>
      <w:r w:rsidRPr="0090647B">
        <w:rPr>
          <w:rFonts w:ascii="Times New Roman" w:hAnsi="Times New Roman" w:cs="Times New Roman"/>
          <w:color w:val="000000" w:themeColor="text1"/>
          <w:sz w:val="24"/>
          <w:szCs w:val="24"/>
        </w:rPr>
        <w:t xml:space="preserve">nnual growth rate of real GDP per capita in Palestine to reach 7.1%. At the regional level, </w:t>
      </w:r>
      <w:r w:rsidR="009B19E7">
        <w:rPr>
          <w:rFonts w:ascii="Times New Roman" w:hAnsi="Times New Roman" w:cs="Times New Roman"/>
          <w:color w:val="000000" w:themeColor="text1"/>
          <w:sz w:val="24"/>
          <w:szCs w:val="24"/>
        </w:rPr>
        <w:t>t</w:t>
      </w:r>
      <w:r w:rsidRPr="0090647B">
        <w:rPr>
          <w:rFonts w:ascii="Times New Roman" w:hAnsi="Times New Roman" w:cs="Times New Roman"/>
          <w:color w:val="000000" w:themeColor="text1"/>
          <w:sz w:val="24"/>
          <w:szCs w:val="24"/>
        </w:rPr>
        <w:t xml:space="preserve">he annual growth rate of real GDP per capita </w:t>
      </w:r>
      <w:r w:rsidR="009B19E7">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7.8% in the </w:t>
      </w:r>
      <w:r w:rsidRPr="00446CF3">
        <w:rPr>
          <w:rFonts w:ascii="Times New Roman" w:hAnsi="Times New Roman" w:cs="Times New Roman"/>
          <w:color w:val="000000" w:themeColor="text1"/>
          <w:sz w:val="24"/>
          <w:szCs w:val="24"/>
        </w:rPr>
        <w:t xml:space="preserve">West Bank, while it </w:t>
      </w:r>
      <w:r w:rsidR="009B19E7" w:rsidRPr="00446CF3">
        <w:rPr>
          <w:rFonts w:ascii="Times New Roman" w:hAnsi="Times New Roman" w:cs="Times New Roman"/>
          <w:color w:val="000000" w:themeColor="text1"/>
          <w:sz w:val="24"/>
          <w:szCs w:val="24"/>
        </w:rPr>
        <w:t>reached</w:t>
      </w:r>
      <w:r w:rsidRPr="00446CF3">
        <w:rPr>
          <w:rFonts w:ascii="Times New Roman" w:hAnsi="Times New Roman" w:cs="Times New Roman"/>
          <w:color w:val="000000" w:themeColor="text1"/>
          <w:sz w:val="24"/>
          <w:szCs w:val="24"/>
        </w:rPr>
        <w:t xml:space="preserve"> 3.4%  in</w:t>
      </w:r>
      <w:r w:rsidR="009B19E7" w:rsidRPr="00446CF3">
        <w:rPr>
          <w:rFonts w:ascii="Times New Roman" w:hAnsi="Times New Roman" w:cs="Times New Roman"/>
          <w:color w:val="000000" w:themeColor="text1"/>
          <w:sz w:val="24"/>
          <w:szCs w:val="24"/>
        </w:rPr>
        <w:t xml:space="preserve">the </w:t>
      </w:r>
      <w:r w:rsidRPr="00446CF3">
        <w:rPr>
          <w:rFonts w:ascii="Times New Roman" w:hAnsi="Times New Roman" w:cs="Times New Roman"/>
          <w:color w:val="000000" w:themeColor="text1"/>
          <w:sz w:val="24"/>
          <w:szCs w:val="24"/>
        </w:rPr>
        <w:t>Gaza Strip for 2021</w:t>
      </w:r>
      <w:r w:rsidRPr="00446CF3">
        <w:rPr>
          <w:rFonts w:ascii="Times New Roman" w:hAnsi="Times New Roman" w:cs="Times New Roman"/>
          <w:color w:val="000000" w:themeColor="text1"/>
          <w:sz w:val="24"/>
          <w:szCs w:val="24"/>
          <w:rtl/>
        </w:rPr>
        <w:t>.</w:t>
      </w:r>
    </w:p>
    <w:p w14:paraId="4D23EB32"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7602ACE3" w14:textId="77777777" w:rsidR="0071415F" w:rsidRPr="00446CF3" w:rsidRDefault="0071415F" w:rsidP="001002AA">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About </w:t>
      </w:r>
      <w:r w:rsidR="00E4547F" w:rsidRPr="00446CF3">
        <w:rPr>
          <w:rFonts w:ascii="Times New Roman" w:hAnsi="Times New Roman" w:cs="Times New Roman"/>
          <w:color w:val="000000" w:themeColor="text1"/>
          <w:sz w:val="24"/>
          <w:szCs w:val="24"/>
        </w:rPr>
        <w:t>63.1</w:t>
      </w:r>
      <w:r w:rsidRPr="00446CF3">
        <w:rPr>
          <w:rFonts w:ascii="Times New Roman" w:hAnsi="Times New Roman" w:cs="Times New Roman"/>
          <w:color w:val="000000" w:themeColor="text1"/>
          <w:sz w:val="24"/>
          <w:szCs w:val="24"/>
        </w:rPr>
        <w:t>% of the employed individuals were classified as informal</w:t>
      </w:r>
      <w:r w:rsidR="009B19E7" w:rsidRPr="00446CF3">
        <w:rPr>
          <w:rFonts w:ascii="Times New Roman" w:hAnsi="Times New Roman" w:cs="Times New Roman"/>
          <w:color w:val="000000" w:themeColor="text1"/>
          <w:sz w:val="24"/>
          <w:szCs w:val="24"/>
        </w:rPr>
        <w:t>ly</w:t>
      </w:r>
      <w:r w:rsidRPr="00446CF3">
        <w:rPr>
          <w:rFonts w:ascii="Times New Roman" w:hAnsi="Times New Roman" w:cs="Times New Roman"/>
          <w:color w:val="000000" w:themeColor="text1"/>
          <w:sz w:val="24"/>
          <w:szCs w:val="24"/>
        </w:rPr>
        <w:t xml:space="preserve"> employed in the non-agriculture sector in </w:t>
      </w:r>
      <w:r w:rsidR="00E4547F" w:rsidRPr="00446CF3">
        <w:rPr>
          <w:rFonts w:ascii="Times New Roman" w:hAnsi="Times New Roman" w:cs="Times New Roman"/>
          <w:color w:val="000000" w:themeColor="text1"/>
          <w:sz w:val="24"/>
          <w:szCs w:val="24"/>
        </w:rPr>
        <w:t>2022</w:t>
      </w:r>
      <w:r w:rsidRPr="00446CF3">
        <w:rPr>
          <w:rFonts w:ascii="Times New Roman" w:hAnsi="Times New Roman" w:cs="Times New Roman"/>
          <w:color w:val="000000" w:themeColor="text1"/>
          <w:sz w:val="24"/>
          <w:szCs w:val="24"/>
        </w:rPr>
        <w:t xml:space="preserve">, </w:t>
      </w:r>
      <w:r w:rsidR="004A40F1" w:rsidRPr="00446CF3">
        <w:rPr>
          <w:rFonts w:ascii="Times New Roman" w:hAnsi="Times New Roman" w:cs="Times New Roman"/>
          <w:color w:val="000000" w:themeColor="text1"/>
          <w:sz w:val="24"/>
          <w:szCs w:val="24"/>
        </w:rPr>
        <w:t xml:space="preserve">distributed by </w:t>
      </w:r>
      <w:r w:rsidR="001002AA" w:rsidRPr="00446CF3">
        <w:rPr>
          <w:rFonts w:ascii="Times New Roman" w:hAnsi="Times New Roman" w:cs="Times New Roman"/>
          <w:color w:val="000000" w:themeColor="text1"/>
          <w:sz w:val="24"/>
          <w:szCs w:val="24"/>
        </w:rPr>
        <w:t>64.9</w:t>
      </w:r>
      <w:r w:rsidR="004A40F1" w:rsidRPr="00446CF3">
        <w:rPr>
          <w:rFonts w:ascii="Times New Roman" w:hAnsi="Times New Roman" w:cs="Times New Roman"/>
          <w:color w:val="000000" w:themeColor="text1"/>
          <w:sz w:val="24"/>
          <w:szCs w:val="24"/>
        </w:rPr>
        <w:t xml:space="preserve">% in the West Bank and </w:t>
      </w:r>
      <w:r w:rsidR="001002AA" w:rsidRPr="00446CF3">
        <w:rPr>
          <w:rFonts w:ascii="Times New Roman" w:hAnsi="Times New Roman" w:cs="Times New Roman"/>
          <w:color w:val="000000" w:themeColor="text1"/>
          <w:sz w:val="24"/>
          <w:szCs w:val="24"/>
        </w:rPr>
        <w:t>57.9</w:t>
      </w:r>
      <w:r w:rsidR="004A40F1" w:rsidRPr="00446CF3">
        <w:rPr>
          <w:rFonts w:ascii="Times New Roman" w:hAnsi="Times New Roman" w:cs="Times New Roman"/>
          <w:color w:val="000000" w:themeColor="text1"/>
          <w:sz w:val="24"/>
          <w:szCs w:val="24"/>
        </w:rPr>
        <w:t>% in Gaza Strip.</w:t>
      </w:r>
    </w:p>
    <w:p w14:paraId="5FAF647E" w14:textId="77777777" w:rsidR="009E4880" w:rsidRDefault="0071415F" w:rsidP="001002AA">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The unemployment rate </w:t>
      </w:r>
      <w:r w:rsidR="00E4547F" w:rsidRPr="00446CF3">
        <w:rPr>
          <w:rFonts w:ascii="Times New Roman" w:hAnsi="Times New Roman" w:cs="Times New Roman"/>
          <w:color w:val="000000" w:themeColor="text1"/>
          <w:sz w:val="24"/>
          <w:szCs w:val="24"/>
        </w:rPr>
        <w:t xml:space="preserve">decreased </w:t>
      </w:r>
      <w:r w:rsidRPr="00446CF3">
        <w:rPr>
          <w:rFonts w:ascii="Times New Roman" w:hAnsi="Times New Roman" w:cs="Times New Roman"/>
          <w:color w:val="000000" w:themeColor="text1"/>
          <w:sz w:val="24"/>
          <w:szCs w:val="24"/>
        </w:rPr>
        <w:t xml:space="preserve">noticeably from </w:t>
      </w:r>
      <w:r w:rsidR="000206B8" w:rsidRPr="00446CF3">
        <w:rPr>
          <w:rFonts w:ascii="Times New Roman" w:hAnsi="Times New Roman" w:cs="Times New Roman"/>
          <w:color w:val="000000" w:themeColor="text1"/>
          <w:sz w:val="24"/>
          <w:szCs w:val="24"/>
        </w:rPr>
        <w:t>26</w:t>
      </w:r>
      <w:r w:rsidR="00B640ED" w:rsidRPr="00446CF3">
        <w:rPr>
          <w:rFonts w:ascii="Times New Roman" w:hAnsi="Times New Roman" w:cs="Times New Roman"/>
          <w:color w:val="000000" w:themeColor="text1"/>
          <w:sz w:val="24"/>
          <w:szCs w:val="24"/>
        </w:rPr>
        <w:t>.</w:t>
      </w:r>
      <w:r w:rsidR="00E4547F" w:rsidRPr="00446CF3">
        <w:rPr>
          <w:rFonts w:ascii="Times New Roman" w:hAnsi="Times New Roman" w:cs="Times New Roman"/>
          <w:color w:val="000000" w:themeColor="text1"/>
          <w:sz w:val="24"/>
          <w:szCs w:val="24"/>
        </w:rPr>
        <w:t>4</w:t>
      </w:r>
      <w:r w:rsidRPr="00446CF3">
        <w:rPr>
          <w:rFonts w:ascii="Times New Roman" w:hAnsi="Times New Roman" w:cs="Times New Roman"/>
          <w:color w:val="000000" w:themeColor="text1"/>
          <w:sz w:val="24"/>
          <w:szCs w:val="24"/>
        </w:rPr>
        <w:t xml:space="preserve">% in </w:t>
      </w:r>
      <w:r w:rsidR="00E4547F" w:rsidRPr="00446CF3">
        <w:rPr>
          <w:rFonts w:ascii="Times New Roman" w:hAnsi="Times New Roman" w:cs="Times New Roman"/>
          <w:color w:val="000000" w:themeColor="text1"/>
          <w:sz w:val="24"/>
          <w:szCs w:val="24"/>
        </w:rPr>
        <w:t xml:space="preserve">2021 </w:t>
      </w:r>
      <w:r w:rsidRPr="00446CF3">
        <w:rPr>
          <w:rFonts w:ascii="Times New Roman" w:hAnsi="Times New Roman" w:cs="Times New Roman"/>
          <w:color w:val="000000" w:themeColor="text1"/>
          <w:sz w:val="24"/>
          <w:szCs w:val="24"/>
        </w:rPr>
        <w:t xml:space="preserve">to </w:t>
      </w:r>
      <w:r w:rsidR="00E4547F" w:rsidRPr="00446CF3">
        <w:rPr>
          <w:rFonts w:ascii="Times New Roman" w:hAnsi="Times New Roman" w:cs="Times New Roman"/>
          <w:color w:val="000000" w:themeColor="text1"/>
          <w:sz w:val="24"/>
          <w:szCs w:val="24"/>
        </w:rPr>
        <w:t>24</w:t>
      </w:r>
      <w:r w:rsidRPr="00446CF3">
        <w:rPr>
          <w:rFonts w:ascii="Times New Roman" w:hAnsi="Times New Roman" w:cs="Times New Roman"/>
          <w:color w:val="000000" w:themeColor="text1"/>
          <w:sz w:val="24"/>
          <w:szCs w:val="24"/>
        </w:rPr>
        <w:t xml:space="preserve">.4% in </w:t>
      </w:r>
      <w:r w:rsidR="00E4547F" w:rsidRPr="00446CF3">
        <w:rPr>
          <w:rFonts w:ascii="Times New Roman" w:hAnsi="Times New Roman" w:cs="Times New Roman"/>
          <w:color w:val="000000" w:themeColor="text1"/>
          <w:sz w:val="24"/>
          <w:szCs w:val="24"/>
        </w:rPr>
        <w:t>2022</w:t>
      </w:r>
      <w:r w:rsidR="009B19E7" w:rsidRPr="00446CF3">
        <w:rPr>
          <w:rFonts w:ascii="Times New Roman" w:hAnsi="Times New Roman" w:cs="Times New Roman"/>
          <w:color w:val="000000" w:themeColor="text1"/>
          <w:sz w:val="24"/>
          <w:szCs w:val="24"/>
        </w:rPr>
        <w:t xml:space="preserve">. </w:t>
      </w:r>
      <w:r w:rsidR="004A40F1" w:rsidRPr="00446CF3">
        <w:rPr>
          <w:rFonts w:ascii="Times New Roman" w:hAnsi="Times New Roman" w:cs="Times New Roman"/>
          <w:color w:val="000000" w:themeColor="text1"/>
          <w:sz w:val="24"/>
          <w:szCs w:val="24"/>
        </w:rPr>
        <w:t xml:space="preserve">In the West Bankit decreased from 17.1% in 2015 to </w:t>
      </w:r>
      <w:r w:rsidR="001002AA" w:rsidRPr="00446CF3">
        <w:rPr>
          <w:rFonts w:ascii="Times New Roman" w:hAnsi="Times New Roman" w:cs="Times New Roman"/>
          <w:color w:val="000000" w:themeColor="text1"/>
          <w:sz w:val="24"/>
          <w:szCs w:val="24"/>
        </w:rPr>
        <w:t>13.1</w:t>
      </w:r>
      <w:r w:rsidR="004A40F1" w:rsidRPr="00446CF3">
        <w:rPr>
          <w:rFonts w:ascii="Times New Roman" w:hAnsi="Times New Roman" w:cs="Times New Roman"/>
          <w:color w:val="000000" w:themeColor="text1"/>
          <w:sz w:val="24"/>
          <w:szCs w:val="24"/>
        </w:rPr>
        <w:t xml:space="preserve">%, and it increased in the Gaza Strip from 41.0% in 2015 to </w:t>
      </w:r>
      <w:r w:rsidR="001002AA" w:rsidRPr="00446CF3">
        <w:rPr>
          <w:rFonts w:ascii="Times New Roman" w:hAnsi="Times New Roman" w:cs="Times New Roman"/>
          <w:color w:val="000000" w:themeColor="text1"/>
          <w:sz w:val="24"/>
          <w:szCs w:val="24"/>
        </w:rPr>
        <w:t>45.3</w:t>
      </w:r>
      <w:r w:rsidR="004A40F1" w:rsidRPr="00446CF3">
        <w:rPr>
          <w:rFonts w:ascii="Times New Roman" w:hAnsi="Times New Roman" w:cs="Times New Roman"/>
          <w:color w:val="000000" w:themeColor="text1"/>
          <w:sz w:val="24"/>
          <w:szCs w:val="24"/>
        </w:rPr>
        <w:t>% in 2021.</w:t>
      </w:r>
    </w:p>
    <w:p w14:paraId="66AF227E"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7CB2B1D"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841F496"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55124C4"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4FC39DC"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B4491C7"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0994580"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30C20E9"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3574338"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5BA7423"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D0656C7"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73BF7FF"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2A5B41A"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9FB0157"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D6F53C7"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2EDC5CC"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6C9E80C"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AD7CC08"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3BB272D"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DDA9BC6"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696DE23"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4D4AB14"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DB3C0E1"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3FB74CC"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0BC6FBC"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817268F"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B2F1CB0"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96C379F"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79EA4A1"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C1E9478"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C32B396"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0203BDC"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FA553DE"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48F4989"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804D719" w14:textId="77777777" w:rsidR="009B19E7" w:rsidRPr="00AF0C00" w:rsidRDefault="009B19E7" w:rsidP="009B19E7">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tbl>
      <w:tblPr>
        <w:tblW w:w="0" w:type="auto"/>
        <w:tblBorders>
          <w:top w:val="thinThickSmallGap" w:sz="24" w:space="0" w:color="EC6B2F"/>
          <w:left w:val="thinThickSmallGap" w:sz="24" w:space="0" w:color="EC6B2F"/>
          <w:bottom w:val="thinThickSmallGap" w:sz="24" w:space="0" w:color="EC6B2F"/>
          <w:right w:val="thinThickSmallGap" w:sz="24" w:space="0" w:color="EC6B2F"/>
        </w:tblBorders>
        <w:tblLook w:val="04A0" w:firstRow="1" w:lastRow="0" w:firstColumn="1" w:lastColumn="0" w:noHBand="0" w:noVBand="1"/>
      </w:tblPr>
      <w:tblGrid>
        <w:gridCol w:w="2080"/>
        <w:gridCol w:w="6900"/>
      </w:tblGrid>
      <w:tr w:rsidR="0071415F" w:rsidRPr="008128C6" w14:paraId="1A4EC2AD" w14:textId="77777777" w:rsidTr="0071415F">
        <w:tc>
          <w:tcPr>
            <w:tcW w:w="2080" w:type="dxa"/>
            <w:shd w:val="clear" w:color="auto" w:fill="auto"/>
            <w:vAlign w:val="center"/>
          </w:tcPr>
          <w:p w14:paraId="4CBCBB1D" w14:textId="77777777" w:rsidR="0071415F" w:rsidRPr="008128C6" w:rsidRDefault="0071415F" w:rsidP="0071415F">
            <w:pPr>
              <w:pStyle w:val="Header"/>
              <w:tabs>
                <w:tab w:val="left" w:pos="720"/>
              </w:tabs>
              <w:bidi w:val="0"/>
              <w:jc w:val="center"/>
              <w:rPr>
                <w:rFonts w:ascii="Times New Roman" w:hAnsi="Times New Roman" w:cs="Times New Roman"/>
                <w:b/>
                <w:bCs/>
                <w:color w:val="000000" w:themeColor="text1"/>
                <w:sz w:val="24"/>
                <w:szCs w:val="24"/>
                <w:lang w:val="it-IT"/>
              </w:rPr>
            </w:pPr>
            <w:r w:rsidRPr="008128C6">
              <w:rPr>
                <w:noProof/>
                <w:color w:val="000000" w:themeColor="text1"/>
              </w:rPr>
              <w:lastRenderedPageBreak/>
              <w:drawing>
                <wp:inline distT="0" distB="0" distL="0" distR="0" wp14:anchorId="4CFF781A" wp14:editId="7FAF69B7">
                  <wp:extent cx="1081405" cy="1081405"/>
                  <wp:effectExtent l="19050" t="0" r="4445" b="0"/>
                  <wp:docPr id="1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2"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6900" w:type="dxa"/>
            <w:shd w:val="clear" w:color="auto" w:fill="auto"/>
            <w:vAlign w:val="center"/>
          </w:tcPr>
          <w:p w14:paraId="7F6329FD" w14:textId="77777777" w:rsidR="0071415F" w:rsidRPr="008128C6" w:rsidRDefault="0071415F" w:rsidP="0071415F">
            <w:pPr>
              <w:pStyle w:val="Header"/>
              <w:tabs>
                <w:tab w:val="left" w:pos="720"/>
              </w:tabs>
              <w:bidi w:val="0"/>
              <w:rPr>
                <w:rFonts w:ascii="Times New Roman" w:hAnsi="Times New Roman" w:cs="Times New Roman"/>
                <w:b/>
                <w:bCs/>
                <w:color w:val="000000" w:themeColor="text1"/>
                <w:sz w:val="24"/>
                <w:szCs w:val="24"/>
              </w:rPr>
            </w:pPr>
            <w:r w:rsidRPr="008128C6">
              <w:rPr>
                <w:rFonts w:ascii="Times New Roman" w:hAnsi="Times New Roman" w:cs="Times New Roman"/>
                <w:b/>
                <w:color w:val="000000" w:themeColor="text1"/>
                <w:sz w:val="28"/>
                <w:szCs w:val="28"/>
              </w:rPr>
              <w:t xml:space="preserve">GOAL 9 – Build Resilient Infrastructure, Promote Inclusive </w:t>
            </w:r>
            <w:r w:rsidR="009B19E7">
              <w:rPr>
                <w:rFonts w:ascii="Times New Roman" w:hAnsi="Times New Roman" w:cs="Times New Roman"/>
                <w:b/>
                <w:color w:val="000000" w:themeColor="text1"/>
                <w:sz w:val="28"/>
                <w:szCs w:val="28"/>
              </w:rPr>
              <w:t>a</w:t>
            </w:r>
            <w:r w:rsidRPr="008128C6">
              <w:rPr>
                <w:rFonts w:ascii="Times New Roman" w:hAnsi="Times New Roman" w:cs="Times New Roman"/>
                <w:b/>
                <w:color w:val="000000" w:themeColor="text1"/>
                <w:sz w:val="28"/>
                <w:szCs w:val="28"/>
              </w:rPr>
              <w:t xml:space="preserve">nd Sustainable Industrialization </w:t>
            </w:r>
            <w:r w:rsidR="009B19E7">
              <w:rPr>
                <w:rFonts w:ascii="Times New Roman" w:hAnsi="Times New Roman" w:cs="Times New Roman"/>
                <w:b/>
                <w:color w:val="000000" w:themeColor="text1"/>
                <w:sz w:val="28"/>
                <w:szCs w:val="28"/>
              </w:rPr>
              <w:t>a</w:t>
            </w:r>
            <w:r w:rsidRPr="008128C6">
              <w:rPr>
                <w:rFonts w:ascii="Times New Roman" w:hAnsi="Times New Roman" w:cs="Times New Roman"/>
                <w:b/>
                <w:color w:val="000000" w:themeColor="text1"/>
                <w:sz w:val="28"/>
                <w:szCs w:val="28"/>
              </w:rPr>
              <w:t>nd Foster Innovation</w:t>
            </w:r>
          </w:p>
        </w:tc>
      </w:tr>
    </w:tbl>
    <w:p w14:paraId="5A8F32C0"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29AC9AA"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Introduction to the Goal</w:t>
      </w:r>
    </w:p>
    <w:p w14:paraId="47375766"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Goal 9 focuses on infrastructure, innovation</w:t>
      </w:r>
      <w:r w:rsidR="00BD3386">
        <w:rPr>
          <w:rFonts w:ascii="Times New Roman" w:hAnsi="Times New Roman" w:cs="Times New Roman"/>
          <w:color w:val="000000" w:themeColor="text1"/>
          <w:sz w:val="24"/>
          <w:szCs w:val="24"/>
        </w:rPr>
        <w:t>,</w:t>
      </w:r>
      <w:r w:rsidRPr="008128C6">
        <w:rPr>
          <w:rFonts w:ascii="Times New Roman" w:hAnsi="Times New Roman" w:cs="Times New Roman"/>
          <w:color w:val="000000" w:themeColor="text1"/>
          <w:sz w:val="24"/>
          <w:szCs w:val="24"/>
        </w:rPr>
        <w:t xml:space="preserve"> and industrialization, the essential drivers of sustainable development, being a cross-sectional goal of the 2030 Agenda and preparatory to reaching many other sustainability goals. Strengthening and modernizing infrastructure over time is necessary to support the services - health, education, energy and water supplies, safety and justice, transportation, waste management, etc. - that encourage economic competitiveness and an improvement in social well-being. The development of ‘quality, reliable, sustainable and resilient’ infrastructure must ensure equal access to all potential users. The promotion of industrialization and productive activity in general - a primary source of employment and income and support for the standard of living - is a goal whose achievement must be associated with the subjects of inclusion and sustainability. Inclusive, sustainable industrialization is encouraged by investments in modernizing infrastructure and the technological, innovative and research abilities of the production system. Target 9.5 is specifically dedicated to strengthening research and development (R&amp;D), as scientific and technological progress is an important factor in economic and productivity growth, social development</w:t>
      </w:r>
      <w:r w:rsidR="00BD3386">
        <w:rPr>
          <w:rFonts w:ascii="Times New Roman" w:hAnsi="Times New Roman" w:cs="Times New Roman"/>
          <w:color w:val="000000" w:themeColor="text1"/>
          <w:sz w:val="24"/>
          <w:szCs w:val="24"/>
        </w:rPr>
        <w:t>,</w:t>
      </w:r>
      <w:r w:rsidRPr="008128C6">
        <w:rPr>
          <w:rFonts w:ascii="Times New Roman" w:hAnsi="Times New Roman" w:cs="Times New Roman"/>
          <w:color w:val="000000" w:themeColor="text1"/>
          <w:sz w:val="24"/>
          <w:szCs w:val="24"/>
        </w:rPr>
        <w:t xml:space="preserve"> and environmental protection. Targets promoting research, innovation, infrastructure and technology, especially ICT (Information and</w:t>
      </w:r>
      <w:r>
        <w:rPr>
          <w:rFonts w:ascii="Times New Roman" w:hAnsi="Times New Roman" w:cs="Times New Roman"/>
          <w:color w:val="000000" w:themeColor="text1"/>
          <w:sz w:val="24"/>
          <w:szCs w:val="24"/>
        </w:rPr>
        <w:t xml:space="preserve"> Communications Technology) are </w:t>
      </w:r>
      <w:r w:rsidRPr="008128C6">
        <w:rPr>
          <w:rFonts w:ascii="Times New Roman" w:hAnsi="Times New Roman" w:cs="Times New Roman"/>
          <w:color w:val="000000" w:themeColor="text1"/>
          <w:sz w:val="24"/>
          <w:szCs w:val="24"/>
        </w:rPr>
        <w:t>aimed at developing countries via economic and technological support from the more developed countries.</w:t>
      </w:r>
    </w:p>
    <w:p w14:paraId="3120B953"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F7273C0"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Targets</w:t>
      </w:r>
    </w:p>
    <w:p w14:paraId="74CF7B57"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color w:val="000000" w:themeColor="text1"/>
          <w:sz w:val="24"/>
          <w:szCs w:val="24"/>
        </w:rPr>
        <w:t xml:space="preserve">Goal 9 is broken down into </w:t>
      </w:r>
      <w:r w:rsidR="00BD3386">
        <w:rPr>
          <w:rFonts w:ascii="Times New Roman" w:hAnsi="Times New Roman" w:cs="Times New Roman"/>
          <w:color w:val="000000" w:themeColor="text1"/>
          <w:sz w:val="24"/>
          <w:szCs w:val="24"/>
        </w:rPr>
        <w:t>eightt</w:t>
      </w:r>
      <w:r w:rsidRPr="008128C6">
        <w:rPr>
          <w:rFonts w:ascii="Times New Roman" w:hAnsi="Times New Roman" w:cs="Times New Roman"/>
          <w:color w:val="000000" w:themeColor="text1"/>
          <w:sz w:val="24"/>
          <w:szCs w:val="24"/>
        </w:rPr>
        <w:t xml:space="preserve">argets of which the last </w:t>
      </w:r>
      <w:r w:rsidR="00BD3386">
        <w:rPr>
          <w:rFonts w:ascii="Times New Roman" w:hAnsi="Times New Roman" w:cs="Times New Roman"/>
          <w:color w:val="000000" w:themeColor="text1"/>
          <w:sz w:val="24"/>
          <w:szCs w:val="24"/>
        </w:rPr>
        <w:t>three</w:t>
      </w:r>
      <w:r w:rsidRPr="008128C6">
        <w:rPr>
          <w:rFonts w:ascii="Times New Roman" w:hAnsi="Times New Roman" w:cs="Times New Roman"/>
          <w:color w:val="000000" w:themeColor="text1"/>
          <w:sz w:val="24"/>
          <w:szCs w:val="24"/>
        </w:rPr>
        <w:t xml:space="preserve"> refer to means of implementation:</w:t>
      </w:r>
    </w:p>
    <w:p w14:paraId="56BBBCB4"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 xml:space="preserve">9.1 </w:t>
      </w:r>
    </w:p>
    <w:p w14:paraId="7B432838"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8128C6">
        <w:rPr>
          <w:rFonts w:ascii="Times New Roman" w:hAnsi="Times New Roman" w:cs="Times New Roman"/>
          <w:color w:val="000000" w:themeColor="text1"/>
          <w:sz w:val="24"/>
          <w:szCs w:val="24"/>
        </w:rPr>
        <w:t>Develop quality, reliable, sustainable and resilient infrastructure including regional and transformer infrastructure, to support economic development and human well-being, with a focus on affordable and equitable access for all</w:t>
      </w:r>
      <w:r w:rsidR="00BD3386">
        <w:rPr>
          <w:rFonts w:ascii="Times New Roman" w:hAnsi="Times New Roman" w:cs="Times New Roman"/>
          <w:color w:val="000000" w:themeColor="text1"/>
          <w:sz w:val="24"/>
          <w:szCs w:val="24"/>
        </w:rPr>
        <w:t>.</w:t>
      </w:r>
    </w:p>
    <w:p w14:paraId="5A6ADC96"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509D443A"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9.2</w:t>
      </w:r>
    </w:p>
    <w:p w14:paraId="3C4F47D4"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Promote inclusive and sustainable industrialization and, by 2030, significantly raise industry’s share of employment and gross domestic product, in line with national circumstances and double its share in least developed countries</w:t>
      </w:r>
      <w:r w:rsidR="00BD3386">
        <w:rPr>
          <w:rFonts w:ascii="Times New Roman" w:hAnsi="Times New Roman" w:cs="Times New Roman"/>
          <w:color w:val="000000" w:themeColor="text1"/>
          <w:sz w:val="24"/>
          <w:szCs w:val="24"/>
        </w:rPr>
        <w:t>.</w:t>
      </w:r>
    </w:p>
    <w:p w14:paraId="488352ED"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71112FCD"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 xml:space="preserve">9.3 </w:t>
      </w:r>
    </w:p>
    <w:p w14:paraId="3B63C648"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Increase the access of small-scale industrial and other enterprises, in particular in developing countries, to financial services including affordable credit and their integration into value chains and markets</w:t>
      </w:r>
      <w:r w:rsidR="00BD3386">
        <w:rPr>
          <w:rFonts w:ascii="Times New Roman" w:hAnsi="Times New Roman" w:cs="Times New Roman"/>
          <w:color w:val="000000" w:themeColor="text1"/>
          <w:sz w:val="24"/>
          <w:szCs w:val="24"/>
        </w:rPr>
        <w:t>.</w:t>
      </w:r>
    </w:p>
    <w:p w14:paraId="7DBA86E7"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0"/>
          <w:szCs w:val="10"/>
        </w:rPr>
      </w:pPr>
    </w:p>
    <w:p w14:paraId="77D64872"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 xml:space="preserve">9.4 </w:t>
      </w:r>
    </w:p>
    <w:p w14:paraId="72A6396B"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By 2030, upgrade infrastructure and retrofit industries to make them sustainable, with increased resource-use efficiency and greater adoption of clean and environmentally sound technologies and industrial processes, with all countries taking action in accordance wit</w:t>
      </w:r>
      <w:r>
        <w:rPr>
          <w:rFonts w:ascii="Times New Roman" w:hAnsi="Times New Roman" w:cs="Times New Roman"/>
          <w:color w:val="000000" w:themeColor="text1"/>
          <w:sz w:val="24"/>
          <w:szCs w:val="24"/>
        </w:rPr>
        <w:t>h their respective capabilities</w:t>
      </w:r>
      <w:r w:rsidR="00BD3386">
        <w:rPr>
          <w:rFonts w:ascii="Times New Roman" w:hAnsi="Times New Roman" w:cs="Times New Roman"/>
          <w:color w:val="000000" w:themeColor="text1"/>
          <w:sz w:val="24"/>
          <w:szCs w:val="24"/>
        </w:rPr>
        <w:t>.</w:t>
      </w:r>
    </w:p>
    <w:p w14:paraId="6DF5AF63"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5564A00"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A619E2B" w14:textId="77777777" w:rsidR="0071415F" w:rsidRPr="00025BA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0"/>
          <w:szCs w:val="10"/>
        </w:rPr>
      </w:pPr>
    </w:p>
    <w:p w14:paraId="6DFDABFD"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lastRenderedPageBreak/>
        <w:t xml:space="preserve">9.5 </w:t>
      </w:r>
    </w:p>
    <w:p w14:paraId="37BBF6FB"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Enhance scientific research, upgrade the technological capabilities of industrial sectors in all countries, in particular developing countries including, by 2030, encouraging innovation and substantially increasing the number of research and development workers per 1 million people and public and private research and development spending</w:t>
      </w:r>
      <w:r w:rsidR="00BD3386">
        <w:rPr>
          <w:rFonts w:ascii="Times New Roman" w:hAnsi="Times New Roman" w:cs="Times New Roman"/>
          <w:color w:val="000000" w:themeColor="text1"/>
          <w:sz w:val="24"/>
          <w:szCs w:val="24"/>
        </w:rPr>
        <w:t>.</w:t>
      </w:r>
    </w:p>
    <w:p w14:paraId="40FECE94"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0A47E3FA"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9.a</w:t>
      </w:r>
    </w:p>
    <w:p w14:paraId="0301A9FE"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 xml:space="preserve">Facilitate sustainable and resilient infrastructure development in developing countries through enhanced financial, technological and technical support to African countries, least developed countries, landlocked developing countries and </w:t>
      </w:r>
      <w:r w:rsidR="00BD3386">
        <w:rPr>
          <w:rFonts w:ascii="Times New Roman" w:hAnsi="Times New Roman" w:cs="Times New Roman"/>
          <w:color w:val="000000" w:themeColor="text1"/>
          <w:sz w:val="24"/>
          <w:szCs w:val="24"/>
        </w:rPr>
        <w:t>S</w:t>
      </w:r>
      <w:r w:rsidRPr="008128C6">
        <w:rPr>
          <w:rFonts w:ascii="Times New Roman" w:hAnsi="Times New Roman" w:cs="Times New Roman"/>
          <w:color w:val="000000" w:themeColor="text1"/>
          <w:sz w:val="24"/>
          <w:szCs w:val="24"/>
        </w:rPr>
        <w:t xml:space="preserve">mall </w:t>
      </w:r>
      <w:r w:rsidR="00BD3386">
        <w:rPr>
          <w:rFonts w:ascii="Times New Roman" w:hAnsi="Times New Roman" w:cs="Times New Roman"/>
          <w:color w:val="000000" w:themeColor="text1"/>
          <w:sz w:val="24"/>
          <w:szCs w:val="24"/>
        </w:rPr>
        <w:t>I</w:t>
      </w:r>
      <w:r w:rsidRPr="008128C6">
        <w:rPr>
          <w:rFonts w:ascii="Times New Roman" w:hAnsi="Times New Roman" w:cs="Times New Roman"/>
          <w:color w:val="000000" w:themeColor="text1"/>
          <w:sz w:val="24"/>
          <w:szCs w:val="24"/>
        </w:rPr>
        <w:t xml:space="preserve">sland </w:t>
      </w:r>
      <w:r w:rsidR="00BD3386">
        <w:rPr>
          <w:rFonts w:ascii="Times New Roman" w:hAnsi="Times New Roman" w:cs="Times New Roman"/>
          <w:color w:val="000000" w:themeColor="text1"/>
          <w:sz w:val="24"/>
          <w:szCs w:val="24"/>
        </w:rPr>
        <w:t>D</w:t>
      </w:r>
      <w:r w:rsidRPr="008128C6">
        <w:rPr>
          <w:rFonts w:ascii="Times New Roman" w:hAnsi="Times New Roman" w:cs="Times New Roman"/>
          <w:color w:val="000000" w:themeColor="text1"/>
          <w:sz w:val="24"/>
          <w:szCs w:val="24"/>
        </w:rPr>
        <w:t>eveloping States</w:t>
      </w:r>
      <w:r w:rsidR="00BD3386">
        <w:rPr>
          <w:rFonts w:ascii="Times New Roman" w:hAnsi="Times New Roman" w:cs="Times New Roman"/>
          <w:color w:val="000000" w:themeColor="text1"/>
          <w:sz w:val="24"/>
          <w:szCs w:val="24"/>
        </w:rPr>
        <w:t>.</w:t>
      </w:r>
    </w:p>
    <w:p w14:paraId="71E32347"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31CD48DE"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9.b</w:t>
      </w:r>
    </w:p>
    <w:p w14:paraId="2B71309C" w14:textId="77777777" w:rsidR="0071415F" w:rsidRPr="008128C6" w:rsidRDefault="0071415F" w:rsidP="00F3507C">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8128C6">
        <w:rPr>
          <w:rFonts w:ascii="Times New Roman" w:hAnsi="Times New Roman" w:cs="Times New Roman"/>
          <w:color w:val="000000" w:themeColor="text1"/>
          <w:sz w:val="24"/>
          <w:szCs w:val="24"/>
        </w:rPr>
        <w:t>Support domestic technology development, research and innovation in developing countries including by ensuring a conducive policy environment for, inter alia, industrial diversification</w:t>
      </w:r>
      <w:r w:rsidR="00BD3386">
        <w:rPr>
          <w:rFonts w:ascii="Times New Roman" w:hAnsi="Times New Roman" w:cs="Times New Roman"/>
          <w:color w:val="000000" w:themeColor="text1"/>
          <w:sz w:val="24"/>
          <w:szCs w:val="24"/>
        </w:rPr>
        <w:t>,</w:t>
      </w:r>
      <w:r w:rsidRPr="008128C6">
        <w:rPr>
          <w:rFonts w:ascii="Times New Roman" w:hAnsi="Times New Roman" w:cs="Times New Roman"/>
          <w:color w:val="000000" w:themeColor="text1"/>
          <w:sz w:val="24"/>
          <w:szCs w:val="24"/>
        </w:rPr>
        <w:t xml:space="preserve"> and value addition to commodities</w:t>
      </w:r>
      <w:r w:rsidR="00BD3386">
        <w:rPr>
          <w:rFonts w:ascii="Times New Roman" w:hAnsi="Times New Roman" w:cs="Times New Roman"/>
          <w:color w:val="000000" w:themeColor="text1"/>
          <w:sz w:val="24"/>
          <w:szCs w:val="24"/>
        </w:rPr>
        <w:t>.</w:t>
      </w:r>
    </w:p>
    <w:p w14:paraId="3062A0D9"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6"/>
          <w:szCs w:val="16"/>
        </w:rPr>
      </w:pPr>
    </w:p>
    <w:p w14:paraId="52C165F2"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9.c</w:t>
      </w:r>
    </w:p>
    <w:p w14:paraId="6070C8D5"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Significantly increase access to information and communications technology and strive to provide universal and affordable access to the Internet in least developed countries by 2020</w:t>
      </w:r>
      <w:r w:rsidR="00BD3386">
        <w:rPr>
          <w:rFonts w:ascii="Times New Roman" w:hAnsi="Times New Roman" w:cs="Times New Roman"/>
          <w:color w:val="000000" w:themeColor="text1"/>
          <w:sz w:val="24"/>
          <w:szCs w:val="24"/>
        </w:rPr>
        <w:t>.</w:t>
      </w:r>
    </w:p>
    <w:p w14:paraId="61D57E00" w14:textId="77777777" w:rsidR="0071415F" w:rsidRPr="006E49BE"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2"/>
          <w:szCs w:val="12"/>
        </w:rPr>
      </w:pPr>
    </w:p>
    <w:p w14:paraId="564FB20C" w14:textId="77777777" w:rsidR="0071415F" w:rsidRPr="0090647B" w:rsidRDefault="0071415F" w:rsidP="00FB1314">
      <w:pPr>
        <w:pStyle w:val="ListParagraph"/>
        <w:numPr>
          <w:ilvl w:val="0"/>
          <w:numId w:val="15"/>
        </w:numPr>
        <w:autoSpaceDE w:val="0"/>
        <w:autoSpaceDN w:val="0"/>
        <w:adjustRightInd w:val="0"/>
        <w:spacing w:after="0" w:line="240" w:lineRule="auto"/>
        <w:jc w:val="both"/>
        <w:rPr>
          <w:rFonts w:ascii="Times New Roman" w:hAnsi="Times New Roman" w:cs="Times New Roman"/>
          <w:b/>
          <w:iCs/>
          <w:color w:val="000000" w:themeColor="text1"/>
          <w:sz w:val="24"/>
          <w:szCs w:val="24"/>
        </w:rPr>
      </w:pPr>
      <w:r w:rsidRPr="0090647B">
        <w:rPr>
          <w:rFonts w:ascii="Times New Roman" w:hAnsi="Times New Roman" w:cs="Times New Roman"/>
          <w:b/>
          <w:bCs/>
          <w:color w:val="000000" w:themeColor="text1"/>
          <w:sz w:val="24"/>
          <w:szCs w:val="24"/>
        </w:rPr>
        <w:t xml:space="preserve">Reported </w:t>
      </w:r>
      <w:r w:rsidR="00AD615B">
        <w:rPr>
          <w:rFonts w:ascii="Times New Roman" w:hAnsi="Times New Roman" w:cs="Times New Roman"/>
          <w:b/>
          <w:bCs/>
          <w:color w:val="000000" w:themeColor="text1"/>
          <w:sz w:val="24"/>
          <w:szCs w:val="24"/>
        </w:rPr>
        <w:t>i</w:t>
      </w:r>
      <w:r w:rsidRPr="0090647B">
        <w:rPr>
          <w:rFonts w:ascii="Times New Roman" w:hAnsi="Times New Roman" w:cs="Times New Roman"/>
          <w:b/>
          <w:bCs/>
          <w:color w:val="000000" w:themeColor="text1"/>
          <w:sz w:val="24"/>
          <w:szCs w:val="24"/>
        </w:rPr>
        <w:t>ndicators by PCBS</w:t>
      </w:r>
    </w:p>
    <w:p w14:paraId="4A6E4D5A" w14:textId="77777777" w:rsidR="0071415F" w:rsidRPr="0090647B" w:rsidRDefault="0071415F" w:rsidP="0071415F">
      <w:pPr>
        <w:autoSpaceDE w:val="0"/>
        <w:autoSpaceDN w:val="0"/>
        <w:bidi w:val="0"/>
        <w:adjustRightInd w:val="0"/>
        <w:spacing w:after="0" w:line="240" w:lineRule="auto"/>
        <w:jc w:val="both"/>
        <w:rPr>
          <w:rFonts w:ascii="Arial" w:hAnsi="Arial"/>
          <w:b/>
          <w:bCs/>
          <w:color w:val="000000" w:themeColor="text1"/>
        </w:rPr>
      </w:pPr>
      <w:r w:rsidRPr="0090647B">
        <w:rPr>
          <w:rFonts w:ascii="Times New Roman" w:hAnsi="Times New Roman" w:cs="Times New Roman"/>
          <w:color w:val="000000" w:themeColor="text1"/>
          <w:sz w:val="24"/>
          <w:szCs w:val="24"/>
        </w:rPr>
        <w:t>There are 10 indicators released by PCBS for Goal 9, represent</w:t>
      </w:r>
      <w:r w:rsidR="00BD3386">
        <w:rPr>
          <w:rFonts w:ascii="Times New Roman" w:hAnsi="Times New Roman" w:cs="Times New Roman"/>
          <w:color w:val="000000" w:themeColor="text1"/>
          <w:sz w:val="24"/>
          <w:szCs w:val="24"/>
        </w:rPr>
        <w:t>ing</w:t>
      </w:r>
      <w:r w:rsidRPr="0090647B">
        <w:rPr>
          <w:rFonts w:ascii="Times New Roman" w:hAnsi="Times New Roman" w:cs="Times New Roman"/>
          <w:color w:val="000000" w:themeColor="text1"/>
          <w:sz w:val="24"/>
          <w:szCs w:val="24"/>
        </w:rPr>
        <w:t xml:space="preserve"> 13 data point</w:t>
      </w:r>
      <w:r w:rsidR="00BD3386">
        <w:rPr>
          <w:rFonts w:ascii="Times New Roman" w:hAnsi="Times New Roman" w:cs="Times New Roman"/>
          <w:color w:val="000000" w:themeColor="text1"/>
          <w:sz w:val="24"/>
          <w:szCs w:val="24"/>
        </w:rPr>
        <w:t>s</w:t>
      </w:r>
      <w:r w:rsidRPr="0090647B">
        <w:rPr>
          <w:rFonts w:ascii="Times New Roman" w:hAnsi="Times New Roman" w:cs="Times New Roman"/>
          <w:color w:val="000000" w:themeColor="text1"/>
          <w:sz w:val="24"/>
          <w:szCs w:val="24"/>
        </w:rPr>
        <w:t xml:space="preserve">, referring to </w:t>
      </w:r>
      <w:r w:rsidR="00BD3386">
        <w:rPr>
          <w:rFonts w:ascii="Times New Roman" w:hAnsi="Times New Roman" w:cs="Times New Roman"/>
          <w:color w:val="000000" w:themeColor="text1"/>
          <w:sz w:val="24"/>
          <w:szCs w:val="24"/>
        </w:rPr>
        <w:t>seven</w:t>
      </w:r>
      <w:r w:rsidRPr="0090647B">
        <w:rPr>
          <w:rFonts w:ascii="Times New Roman" w:hAnsi="Times New Roman" w:cs="Times New Roman"/>
          <w:color w:val="000000" w:themeColor="text1"/>
          <w:sz w:val="24"/>
          <w:szCs w:val="24"/>
        </w:rPr>
        <w:t xml:space="preserve"> of the </w:t>
      </w:r>
      <w:r w:rsidR="00BD3386">
        <w:rPr>
          <w:rFonts w:ascii="Times New Roman" w:hAnsi="Times New Roman" w:cs="Times New Roman"/>
          <w:color w:val="000000" w:themeColor="text1"/>
          <w:sz w:val="24"/>
          <w:szCs w:val="24"/>
        </w:rPr>
        <w:t>eight</w:t>
      </w:r>
      <w:r w:rsidRPr="0090647B">
        <w:rPr>
          <w:rFonts w:ascii="Times New Roman" w:hAnsi="Times New Roman" w:cs="Times New Roman"/>
          <w:color w:val="000000" w:themeColor="text1"/>
          <w:sz w:val="24"/>
          <w:szCs w:val="24"/>
        </w:rPr>
        <w:t xml:space="preserve"> targets.</w:t>
      </w:r>
    </w:p>
    <w:p w14:paraId="049A4B1E" w14:textId="77777777" w:rsidR="0071415F" w:rsidRPr="008128C6" w:rsidRDefault="0071415F" w:rsidP="0071415F">
      <w:pPr>
        <w:tabs>
          <w:tab w:val="left" w:pos="9072"/>
        </w:tabs>
        <w:bidi w:val="0"/>
        <w:spacing w:after="0" w:line="240" w:lineRule="auto"/>
        <w:jc w:val="center"/>
        <w:rPr>
          <w:rFonts w:ascii="Arial" w:hAnsi="Arial"/>
          <w:b/>
          <w:bCs/>
          <w:color w:val="000000" w:themeColor="text1"/>
        </w:rPr>
      </w:pPr>
    </w:p>
    <w:p w14:paraId="2E407413" w14:textId="77777777" w:rsidR="0071415F" w:rsidRPr="008128C6" w:rsidRDefault="0071415F" w:rsidP="0071415F">
      <w:pPr>
        <w:tabs>
          <w:tab w:val="left" w:pos="9072"/>
        </w:tabs>
        <w:bidi w:val="0"/>
        <w:spacing w:after="0" w:line="240" w:lineRule="auto"/>
        <w:jc w:val="center"/>
        <w:rPr>
          <w:rFonts w:ascii="Arial" w:hAnsi="Arial"/>
          <w:b/>
          <w:bCs/>
          <w:color w:val="000000" w:themeColor="text1"/>
        </w:rPr>
      </w:pPr>
      <w:r w:rsidRPr="008128C6">
        <w:rPr>
          <w:rFonts w:ascii="Arial" w:hAnsi="Arial"/>
          <w:b/>
          <w:bCs/>
          <w:color w:val="000000" w:themeColor="text1"/>
        </w:rPr>
        <w:t>Table 9.1: List of SDGs Indicators Released by PCBS</w:t>
      </w:r>
    </w:p>
    <w:p w14:paraId="79B1BCE3" w14:textId="77777777" w:rsidR="0071415F" w:rsidRPr="008128C6" w:rsidRDefault="0071415F" w:rsidP="0071415F">
      <w:pPr>
        <w:tabs>
          <w:tab w:val="left" w:pos="9072"/>
        </w:tabs>
        <w:bidi w:val="0"/>
        <w:spacing w:after="0" w:line="240" w:lineRule="auto"/>
        <w:jc w:val="center"/>
        <w:rPr>
          <w:rFonts w:ascii="Arial" w:hAnsi="Arial"/>
          <w:b/>
          <w:bCs/>
          <w:color w:val="000000" w:themeColor="text1"/>
          <w:sz w:val="12"/>
          <w:szCs w:val="12"/>
          <w:rtl/>
        </w:rPr>
      </w:pPr>
    </w:p>
    <w:tbl>
      <w:tblPr>
        <w:tblW w:w="9782" w:type="dxa"/>
        <w:tblInd w:w="-95" w:type="dxa"/>
        <w:tblLayout w:type="fixed"/>
        <w:tblLook w:val="04A0" w:firstRow="1" w:lastRow="0" w:firstColumn="1" w:lastColumn="0" w:noHBand="0" w:noVBand="1"/>
      </w:tblPr>
      <w:tblGrid>
        <w:gridCol w:w="4241"/>
        <w:gridCol w:w="1531"/>
        <w:gridCol w:w="1370"/>
        <w:gridCol w:w="1299"/>
        <w:gridCol w:w="1341"/>
      </w:tblGrid>
      <w:tr w:rsidR="00D556CC" w:rsidRPr="00BD3E97" w14:paraId="2D0B42E2" w14:textId="77777777" w:rsidTr="00E6392C">
        <w:trPr>
          <w:trHeight w:val="504"/>
          <w:tblHeader/>
        </w:trPr>
        <w:tc>
          <w:tcPr>
            <w:tcW w:w="4241" w:type="dxa"/>
            <w:tcBorders>
              <w:top w:val="single" w:sz="4" w:space="0" w:color="auto"/>
              <w:left w:val="single" w:sz="4" w:space="0" w:color="auto"/>
              <w:bottom w:val="single" w:sz="4" w:space="0" w:color="auto"/>
              <w:right w:val="single" w:sz="4" w:space="0" w:color="auto"/>
            </w:tcBorders>
            <w:noWrap/>
            <w:vAlign w:val="center"/>
            <w:hideMark/>
          </w:tcPr>
          <w:p w14:paraId="32A85550" w14:textId="77777777"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Indicator</w:t>
            </w:r>
          </w:p>
        </w:tc>
        <w:tc>
          <w:tcPr>
            <w:tcW w:w="1531" w:type="dxa"/>
            <w:tcBorders>
              <w:top w:val="single" w:sz="4" w:space="0" w:color="auto"/>
              <w:left w:val="nil"/>
              <w:bottom w:val="single" w:sz="4" w:space="0" w:color="auto"/>
              <w:right w:val="single" w:sz="4" w:space="0" w:color="auto"/>
            </w:tcBorders>
            <w:noWrap/>
            <w:vAlign w:val="center"/>
            <w:hideMark/>
          </w:tcPr>
          <w:p w14:paraId="7EDDB9D9" w14:textId="77777777"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 xml:space="preserve">Referring to the SDG </w:t>
            </w:r>
            <w:r w:rsidR="00BD3386">
              <w:rPr>
                <w:rFonts w:ascii="Arial" w:hAnsi="Arial"/>
                <w:b/>
                <w:bCs/>
                <w:color w:val="000000" w:themeColor="text1"/>
                <w:sz w:val="18"/>
                <w:szCs w:val="18"/>
              </w:rPr>
              <w:t>i</w:t>
            </w:r>
            <w:r w:rsidRPr="00BD3E97">
              <w:rPr>
                <w:rFonts w:ascii="Arial" w:hAnsi="Arial"/>
                <w:b/>
                <w:bCs/>
                <w:color w:val="000000" w:themeColor="text1"/>
                <w:sz w:val="18"/>
                <w:szCs w:val="18"/>
              </w:rPr>
              <w:t>ndicator</w:t>
            </w:r>
          </w:p>
        </w:tc>
        <w:tc>
          <w:tcPr>
            <w:tcW w:w="1370" w:type="dxa"/>
            <w:tcBorders>
              <w:top w:val="single" w:sz="4" w:space="0" w:color="auto"/>
              <w:left w:val="nil"/>
              <w:bottom w:val="single" w:sz="4" w:space="0" w:color="auto"/>
              <w:right w:val="single" w:sz="4" w:space="0" w:color="auto"/>
            </w:tcBorders>
          </w:tcPr>
          <w:p w14:paraId="1B2FA73B" w14:textId="77777777"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Previous data point</w:t>
            </w:r>
          </w:p>
        </w:tc>
        <w:tc>
          <w:tcPr>
            <w:tcW w:w="1299" w:type="dxa"/>
            <w:tcBorders>
              <w:top w:val="single" w:sz="4" w:space="0" w:color="auto"/>
              <w:left w:val="nil"/>
              <w:bottom w:val="single" w:sz="4" w:space="0" w:color="auto"/>
              <w:right w:val="single" w:sz="4" w:space="0" w:color="auto"/>
            </w:tcBorders>
            <w:noWrap/>
            <w:vAlign w:val="center"/>
            <w:hideMark/>
          </w:tcPr>
          <w:p w14:paraId="0E2F3D68" w14:textId="77777777"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 xml:space="preserve">Last </w:t>
            </w:r>
            <w:r w:rsidR="00BD3386">
              <w:rPr>
                <w:rFonts w:ascii="Arial" w:hAnsi="Arial"/>
                <w:b/>
                <w:bCs/>
                <w:color w:val="000000" w:themeColor="text1"/>
                <w:sz w:val="18"/>
                <w:szCs w:val="18"/>
              </w:rPr>
              <w:t>a</w:t>
            </w:r>
            <w:r w:rsidRPr="00BD3E97">
              <w:rPr>
                <w:rFonts w:ascii="Arial" w:hAnsi="Arial"/>
                <w:b/>
                <w:bCs/>
                <w:color w:val="000000" w:themeColor="text1"/>
                <w:sz w:val="18"/>
                <w:szCs w:val="18"/>
              </w:rPr>
              <w:t xml:space="preserve">vailable </w:t>
            </w:r>
            <w:r w:rsidR="00BD3386">
              <w:rPr>
                <w:rFonts w:ascii="Arial" w:hAnsi="Arial"/>
                <w:b/>
                <w:bCs/>
                <w:color w:val="000000" w:themeColor="text1"/>
                <w:sz w:val="18"/>
                <w:szCs w:val="18"/>
              </w:rPr>
              <w:t>v</w:t>
            </w:r>
            <w:r w:rsidRPr="00BD3E97">
              <w:rPr>
                <w:rFonts w:ascii="Arial" w:hAnsi="Arial"/>
                <w:b/>
                <w:bCs/>
                <w:color w:val="000000" w:themeColor="text1"/>
                <w:sz w:val="18"/>
                <w:szCs w:val="18"/>
              </w:rPr>
              <w:t>alue</w:t>
            </w:r>
          </w:p>
        </w:tc>
        <w:tc>
          <w:tcPr>
            <w:tcW w:w="1341" w:type="dxa"/>
            <w:tcBorders>
              <w:top w:val="single" w:sz="4" w:space="0" w:color="auto"/>
              <w:left w:val="nil"/>
              <w:bottom w:val="single" w:sz="4" w:space="0" w:color="auto"/>
              <w:right w:val="single" w:sz="4" w:space="0" w:color="auto"/>
            </w:tcBorders>
          </w:tcPr>
          <w:p w14:paraId="45537062" w14:textId="77777777"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Compared to the previous data point</w:t>
            </w:r>
          </w:p>
        </w:tc>
      </w:tr>
      <w:tr w:rsidR="00D556CC" w:rsidRPr="00BD3E97" w14:paraId="45CCDEFD" w14:textId="77777777" w:rsidTr="00E6392C">
        <w:trPr>
          <w:trHeight w:val="389"/>
        </w:trPr>
        <w:tc>
          <w:tcPr>
            <w:tcW w:w="4241" w:type="dxa"/>
            <w:tcBorders>
              <w:top w:val="single" w:sz="4" w:space="0" w:color="auto"/>
              <w:left w:val="single" w:sz="4" w:space="0" w:color="auto"/>
              <w:bottom w:val="nil"/>
              <w:right w:val="single" w:sz="4" w:space="0" w:color="auto"/>
            </w:tcBorders>
            <w:vAlign w:val="center"/>
          </w:tcPr>
          <w:p w14:paraId="2411A56E" w14:textId="77777777" w:rsidR="00D556CC" w:rsidRPr="00BD3E97" w:rsidRDefault="00D556CC" w:rsidP="00E6392C">
            <w:pPr>
              <w:bidi w:val="0"/>
              <w:spacing w:after="0" w:line="240" w:lineRule="auto"/>
              <w:ind w:left="345" w:hanging="270"/>
              <w:jc w:val="both"/>
              <w:rPr>
                <w:rFonts w:ascii="Arial" w:hAnsi="Arial"/>
                <w:color w:val="000000" w:themeColor="text1"/>
                <w:sz w:val="18"/>
                <w:szCs w:val="18"/>
              </w:rPr>
            </w:pPr>
            <w:r w:rsidRPr="00BD3E97">
              <w:rPr>
                <w:rFonts w:ascii="Arial" w:hAnsi="Arial"/>
                <w:b/>
                <w:bCs/>
                <w:color w:val="000000" w:themeColor="text1"/>
                <w:sz w:val="18"/>
                <w:szCs w:val="18"/>
              </w:rPr>
              <w:t xml:space="preserve">Indicator 9.1.1 </w:t>
            </w:r>
            <w:r w:rsidRPr="00BD3E97">
              <w:rPr>
                <w:rFonts w:ascii="Arial" w:hAnsi="Arial"/>
                <w:color w:val="000000" w:themeColor="text1"/>
                <w:sz w:val="18"/>
                <w:szCs w:val="18"/>
              </w:rPr>
              <w:t>Proportion of the rural population who live within 2 km of an all season road (PCBS, 2020, Percentage)</w:t>
            </w:r>
          </w:p>
        </w:tc>
        <w:tc>
          <w:tcPr>
            <w:tcW w:w="1531" w:type="dxa"/>
            <w:tcBorders>
              <w:top w:val="single" w:sz="4" w:space="0" w:color="auto"/>
              <w:left w:val="nil"/>
              <w:bottom w:val="nil"/>
              <w:right w:val="single" w:sz="4" w:space="0" w:color="auto"/>
            </w:tcBorders>
            <w:noWrap/>
          </w:tcPr>
          <w:p w14:paraId="540431D2" w14:textId="77777777" w:rsidR="00D556CC" w:rsidRPr="00BD3E97" w:rsidRDefault="00D556CC" w:rsidP="0071415F">
            <w:pPr>
              <w:bidi w:val="0"/>
              <w:spacing w:after="0" w:line="240" w:lineRule="auto"/>
              <w:jc w:val="center"/>
              <w:rPr>
                <w:rFonts w:ascii="Arial" w:hAnsi="Arial"/>
                <w:color w:val="000000" w:themeColor="text1"/>
                <w:sz w:val="18"/>
                <w:szCs w:val="18"/>
              </w:rPr>
            </w:pPr>
          </w:p>
          <w:p w14:paraId="3FF81C5B"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single" w:sz="4" w:space="0" w:color="auto"/>
              <w:left w:val="nil"/>
              <w:bottom w:val="nil"/>
              <w:right w:val="single" w:sz="4" w:space="0" w:color="auto"/>
            </w:tcBorders>
          </w:tcPr>
          <w:p w14:paraId="2C64AB72"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299" w:type="dxa"/>
            <w:tcBorders>
              <w:top w:val="single" w:sz="4" w:space="0" w:color="auto"/>
              <w:left w:val="nil"/>
              <w:bottom w:val="nil"/>
              <w:right w:val="single" w:sz="4" w:space="0" w:color="auto"/>
            </w:tcBorders>
            <w:noWrap/>
            <w:vAlign w:val="center"/>
          </w:tcPr>
          <w:p w14:paraId="2D120CD5"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91.1</w:t>
            </w:r>
          </w:p>
        </w:tc>
        <w:tc>
          <w:tcPr>
            <w:tcW w:w="1341" w:type="dxa"/>
            <w:tcBorders>
              <w:top w:val="single" w:sz="4" w:space="0" w:color="auto"/>
              <w:left w:val="nil"/>
              <w:bottom w:val="nil"/>
              <w:right w:val="single" w:sz="4" w:space="0" w:color="auto"/>
            </w:tcBorders>
          </w:tcPr>
          <w:p w14:paraId="288307BE" w14:textId="77777777" w:rsidR="00D556CC" w:rsidRPr="00BD3E97" w:rsidRDefault="00D556CC" w:rsidP="0071415F">
            <w:pPr>
              <w:bidi w:val="0"/>
              <w:spacing w:after="0" w:line="240" w:lineRule="auto"/>
              <w:jc w:val="center"/>
              <w:rPr>
                <w:rFonts w:ascii="Arial" w:hAnsi="Arial"/>
                <w:color w:val="FF0000"/>
                <w:sz w:val="18"/>
                <w:szCs w:val="18"/>
              </w:rPr>
            </w:pPr>
          </w:p>
        </w:tc>
      </w:tr>
      <w:tr w:rsidR="00D556CC" w:rsidRPr="00BD3E97" w14:paraId="07208526" w14:textId="77777777" w:rsidTr="00E6392C">
        <w:trPr>
          <w:trHeight w:val="389"/>
        </w:trPr>
        <w:tc>
          <w:tcPr>
            <w:tcW w:w="4241" w:type="dxa"/>
            <w:tcBorders>
              <w:top w:val="single" w:sz="4" w:space="0" w:color="auto"/>
              <w:left w:val="single" w:sz="4" w:space="0" w:color="auto"/>
              <w:bottom w:val="nil"/>
              <w:right w:val="single" w:sz="4" w:space="0" w:color="auto"/>
            </w:tcBorders>
            <w:vAlign w:val="center"/>
            <w:hideMark/>
          </w:tcPr>
          <w:p w14:paraId="5F935704" w14:textId="77777777" w:rsidR="00D556CC" w:rsidRPr="00BD3E97" w:rsidRDefault="00D556CC" w:rsidP="00E6392C">
            <w:pPr>
              <w:bidi w:val="0"/>
              <w:spacing w:after="0" w:line="240" w:lineRule="auto"/>
              <w:ind w:left="323" w:hanging="248"/>
              <w:jc w:val="both"/>
              <w:rPr>
                <w:rFonts w:ascii="Arial" w:hAnsi="Arial"/>
                <w:color w:val="000000" w:themeColor="text1"/>
                <w:sz w:val="18"/>
                <w:szCs w:val="18"/>
              </w:rPr>
            </w:pPr>
            <w:r w:rsidRPr="00BD3E97">
              <w:rPr>
                <w:rFonts w:ascii="Arial" w:hAnsi="Arial"/>
                <w:b/>
                <w:bCs/>
                <w:color w:val="000000" w:themeColor="text1"/>
                <w:sz w:val="18"/>
                <w:szCs w:val="18"/>
              </w:rPr>
              <w:t>Indicator 9.2.1</w:t>
            </w:r>
            <w:r w:rsidRPr="00BD3E97">
              <w:rPr>
                <w:rFonts w:ascii="Arial" w:hAnsi="Arial"/>
                <w:color w:val="000000" w:themeColor="text1"/>
                <w:sz w:val="18"/>
                <w:szCs w:val="18"/>
              </w:rPr>
              <w:t xml:space="preserve"> Manufacturing value added as a proportion of GDP and per capita</w:t>
            </w:r>
          </w:p>
        </w:tc>
        <w:tc>
          <w:tcPr>
            <w:tcW w:w="1531" w:type="dxa"/>
            <w:tcBorders>
              <w:top w:val="single" w:sz="4" w:space="0" w:color="auto"/>
              <w:left w:val="nil"/>
              <w:bottom w:val="nil"/>
              <w:right w:val="single" w:sz="4" w:space="0" w:color="auto"/>
            </w:tcBorders>
            <w:noWrap/>
            <w:hideMark/>
          </w:tcPr>
          <w:p w14:paraId="327E1CC1"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370" w:type="dxa"/>
            <w:tcBorders>
              <w:top w:val="single" w:sz="4" w:space="0" w:color="auto"/>
              <w:left w:val="nil"/>
              <w:bottom w:val="nil"/>
              <w:right w:val="single" w:sz="4" w:space="0" w:color="auto"/>
            </w:tcBorders>
          </w:tcPr>
          <w:p w14:paraId="2B21EBF6"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299" w:type="dxa"/>
            <w:tcBorders>
              <w:top w:val="single" w:sz="4" w:space="0" w:color="auto"/>
              <w:left w:val="nil"/>
              <w:bottom w:val="nil"/>
              <w:right w:val="single" w:sz="4" w:space="0" w:color="auto"/>
            </w:tcBorders>
            <w:noWrap/>
            <w:hideMark/>
          </w:tcPr>
          <w:p w14:paraId="4F65F9A8"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341" w:type="dxa"/>
            <w:tcBorders>
              <w:top w:val="single" w:sz="4" w:space="0" w:color="auto"/>
              <w:left w:val="nil"/>
              <w:bottom w:val="nil"/>
              <w:right w:val="single" w:sz="4" w:space="0" w:color="auto"/>
            </w:tcBorders>
          </w:tcPr>
          <w:p w14:paraId="16279234" w14:textId="77777777" w:rsidR="00D556CC" w:rsidRPr="00BD3E97" w:rsidRDefault="00D556CC" w:rsidP="0071415F">
            <w:pPr>
              <w:bidi w:val="0"/>
              <w:spacing w:after="0" w:line="240" w:lineRule="auto"/>
              <w:jc w:val="center"/>
              <w:rPr>
                <w:rFonts w:ascii="Arial" w:hAnsi="Arial"/>
                <w:color w:val="FF0000"/>
                <w:sz w:val="18"/>
                <w:szCs w:val="18"/>
              </w:rPr>
            </w:pPr>
          </w:p>
        </w:tc>
      </w:tr>
      <w:tr w:rsidR="00D556CC" w:rsidRPr="00BD3E97" w14:paraId="3A4B2172" w14:textId="77777777" w:rsidTr="00E6392C">
        <w:trPr>
          <w:trHeight w:val="389"/>
        </w:trPr>
        <w:tc>
          <w:tcPr>
            <w:tcW w:w="4241" w:type="dxa"/>
            <w:tcBorders>
              <w:top w:val="nil"/>
              <w:left w:val="single" w:sz="4" w:space="0" w:color="auto"/>
              <w:bottom w:val="nil"/>
              <w:right w:val="single" w:sz="4" w:space="0" w:color="auto"/>
            </w:tcBorders>
            <w:noWrap/>
            <w:vAlign w:val="center"/>
            <w:hideMark/>
          </w:tcPr>
          <w:p w14:paraId="05A0B563" w14:textId="77777777" w:rsidR="00D556CC" w:rsidRPr="00446CF3" w:rsidRDefault="00D556CC" w:rsidP="0071415F">
            <w:pPr>
              <w:bidi w:val="0"/>
              <w:spacing w:after="0" w:line="240" w:lineRule="auto"/>
              <w:ind w:left="323"/>
              <w:jc w:val="both"/>
              <w:rPr>
                <w:rFonts w:ascii="Arial" w:hAnsi="Arial"/>
                <w:color w:val="000000" w:themeColor="text1"/>
                <w:sz w:val="18"/>
                <w:szCs w:val="18"/>
              </w:rPr>
            </w:pPr>
            <w:r w:rsidRPr="00446CF3">
              <w:rPr>
                <w:rFonts w:ascii="Arial" w:hAnsi="Arial"/>
                <w:color w:val="000000" w:themeColor="text1"/>
                <w:sz w:val="18"/>
                <w:szCs w:val="18"/>
              </w:rPr>
              <w:t xml:space="preserve">9.2.1.1 Manufacturing value added as a proportion of GDP (PCBS, 2021, </w:t>
            </w:r>
            <w:r w:rsidR="00BD3386" w:rsidRPr="00446CF3">
              <w:rPr>
                <w:rFonts w:ascii="Arial" w:hAnsi="Arial"/>
                <w:color w:val="000000" w:themeColor="text1"/>
                <w:sz w:val="18"/>
                <w:szCs w:val="18"/>
              </w:rPr>
              <w:t>p</w:t>
            </w:r>
            <w:r w:rsidRPr="00446CF3">
              <w:rPr>
                <w:rFonts w:ascii="Arial" w:hAnsi="Arial"/>
                <w:color w:val="000000" w:themeColor="text1"/>
                <w:sz w:val="18"/>
                <w:szCs w:val="18"/>
              </w:rPr>
              <w:t>ercentage)</w:t>
            </w:r>
          </w:p>
        </w:tc>
        <w:tc>
          <w:tcPr>
            <w:tcW w:w="1531" w:type="dxa"/>
            <w:tcBorders>
              <w:top w:val="nil"/>
              <w:left w:val="nil"/>
              <w:bottom w:val="nil"/>
              <w:right w:val="single" w:sz="4" w:space="0" w:color="auto"/>
            </w:tcBorders>
            <w:noWrap/>
            <w:hideMark/>
          </w:tcPr>
          <w:p w14:paraId="015B3B62" w14:textId="77777777" w:rsidR="00D556CC" w:rsidRPr="00446CF3" w:rsidRDefault="00D556CC" w:rsidP="0071415F">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Partial</w:t>
            </w:r>
          </w:p>
        </w:tc>
        <w:tc>
          <w:tcPr>
            <w:tcW w:w="1370" w:type="dxa"/>
            <w:tcBorders>
              <w:top w:val="nil"/>
              <w:left w:val="nil"/>
              <w:bottom w:val="nil"/>
              <w:right w:val="single" w:sz="4" w:space="0" w:color="auto"/>
            </w:tcBorders>
          </w:tcPr>
          <w:p w14:paraId="2401DCB8" w14:textId="77777777" w:rsidR="00D556CC" w:rsidRPr="00446CF3" w:rsidRDefault="00D556CC" w:rsidP="0071415F">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shd w:val="clear" w:color="auto" w:fill="FFFFFF"/>
                <w:rtl/>
              </w:rPr>
              <w:t>(2020)</w:t>
            </w:r>
            <w:r w:rsidRPr="00446CF3">
              <w:rPr>
                <w:rFonts w:ascii="Arial" w:hAnsi="Arial"/>
                <w:color w:val="000000" w:themeColor="text1"/>
                <w:sz w:val="18"/>
                <w:szCs w:val="18"/>
                <w:lang w:bidi="ar-JO"/>
              </w:rPr>
              <w:t>12.4</w:t>
            </w:r>
          </w:p>
        </w:tc>
        <w:tc>
          <w:tcPr>
            <w:tcW w:w="1299" w:type="dxa"/>
            <w:tcBorders>
              <w:top w:val="nil"/>
              <w:left w:val="nil"/>
              <w:bottom w:val="nil"/>
              <w:right w:val="single" w:sz="4" w:space="0" w:color="auto"/>
            </w:tcBorders>
            <w:noWrap/>
            <w:hideMark/>
          </w:tcPr>
          <w:p w14:paraId="767D4892" w14:textId="77777777" w:rsidR="00D556CC" w:rsidRPr="00446CF3" w:rsidRDefault="00D556CC" w:rsidP="0071415F">
            <w:pPr>
              <w:spacing w:after="0" w:line="240" w:lineRule="auto"/>
              <w:jc w:val="center"/>
              <w:rPr>
                <w:rFonts w:ascii="Arial" w:hAnsi="Arial"/>
                <w:color w:val="000000" w:themeColor="text1"/>
                <w:sz w:val="18"/>
                <w:szCs w:val="18"/>
                <w:lang w:bidi="ar-JO"/>
              </w:rPr>
            </w:pPr>
            <w:r w:rsidRPr="00446CF3">
              <w:rPr>
                <w:rFonts w:ascii="Arial" w:hAnsi="Arial"/>
                <w:color w:val="000000" w:themeColor="text1"/>
                <w:sz w:val="18"/>
                <w:szCs w:val="18"/>
                <w:lang w:bidi="ar-JO"/>
              </w:rPr>
              <w:t>12.2</w:t>
            </w:r>
          </w:p>
        </w:tc>
        <w:tc>
          <w:tcPr>
            <w:tcW w:w="1341" w:type="dxa"/>
            <w:tcBorders>
              <w:top w:val="nil"/>
              <w:left w:val="nil"/>
              <w:bottom w:val="nil"/>
              <w:right w:val="single" w:sz="4" w:space="0" w:color="auto"/>
            </w:tcBorders>
          </w:tcPr>
          <w:p w14:paraId="3F560A8E" w14:textId="77777777" w:rsidR="00D556CC" w:rsidRPr="00446CF3" w:rsidRDefault="00D556CC" w:rsidP="0071415F">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Decrease</w:t>
            </w:r>
          </w:p>
          <w:p w14:paraId="62DFAF0B" w14:textId="77777777" w:rsidR="00D556CC" w:rsidRPr="00446CF3" w:rsidRDefault="00D556CC" w:rsidP="0071415F">
            <w:pPr>
              <w:bidi w:val="0"/>
              <w:spacing w:after="0" w:line="240" w:lineRule="auto"/>
              <w:jc w:val="center"/>
              <w:rPr>
                <w:rFonts w:ascii="Arial" w:hAnsi="Arial"/>
                <w:color w:val="FF0000"/>
                <w:sz w:val="18"/>
                <w:szCs w:val="18"/>
              </w:rPr>
            </w:pPr>
          </w:p>
        </w:tc>
      </w:tr>
      <w:tr w:rsidR="00D831D2" w:rsidRPr="00BD3E97" w14:paraId="7F7361F7" w14:textId="77777777" w:rsidTr="00E6392C">
        <w:trPr>
          <w:trHeight w:val="389"/>
        </w:trPr>
        <w:tc>
          <w:tcPr>
            <w:tcW w:w="4241" w:type="dxa"/>
            <w:tcBorders>
              <w:top w:val="nil"/>
              <w:left w:val="single" w:sz="4" w:space="0" w:color="auto"/>
              <w:bottom w:val="single" w:sz="4" w:space="0" w:color="auto"/>
              <w:right w:val="single" w:sz="4" w:space="0" w:color="auto"/>
            </w:tcBorders>
            <w:noWrap/>
            <w:hideMark/>
          </w:tcPr>
          <w:p w14:paraId="6F4EF431" w14:textId="77777777" w:rsidR="00D831D2" w:rsidRPr="00446CF3" w:rsidRDefault="00D831D2" w:rsidP="00D831D2">
            <w:pPr>
              <w:bidi w:val="0"/>
              <w:spacing w:after="0" w:line="240" w:lineRule="auto"/>
              <w:ind w:left="323"/>
              <w:jc w:val="both"/>
              <w:rPr>
                <w:rFonts w:ascii="Arial" w:hAnsi="Arial"/>
                <w:color w:val="000000" w:themeColor="text1"/>
                <w:sz w:val="18"/>
                <w:szCs w:val="18"/>
              </w:rPr>
            </w:pPr>
            <w:r w:rsidRPr="00446CF3">
              <w:rPr>
                <w:rFonts w:ascii="Arial" w:hAnsi="Arial"/>
                <w:color w:val="000000" w:themeColor="text1"/>
                <w:sz w:val="18"/>
                <w:szCs w:val="18"/>
              </w:rPr>
              <w:t>9.2.1.2 Manufacturing value added as per capita  (PCBS, 2021, USD)</w:t>
            </w:r>
          </w:p>
          <w:p w14:paraId="42FAFD94" w14:textId="77777777" w:rsidR="00D831D2" w:rsidRPr="00446CF3" w:rsidRDefault="00D831D2" w:rsidP="00D831D2">
            <w:pPr>
              <w:bidi w:val="0"/>
              <w:spacing w:after="0" w:line="240" w:lineRule="auto"/>
              <w:ind w:left="323"/>
              <w:jc w:val="both"/>
              <w:rPr>
                <w:rFonts w:ascii="Arial" w:hAnsi="Arial"/>
                <w:color w:val="000000" w:themeColor="text1"/>
                <w:sz w:val="18"/>
                <w:szCs w:val="18"/>
                <w:rtl/>
              </w:rPr>
            </w:pPr>
            <w:r w:rsidRPr="00446CF3">
              <w:rPr>
                <w:rFonts w:ascii="Arial" w:hAnsi="Arial"/>
                <w:color w:val="000000" w:themeColor="text1"/>
                <w:sz w:val="18"/>
                <w:szCs w:val="18"/>
              </w:rPr>
              <w:t>9.2.1.3 Manufacturing value added as a proportion of GDP at current prices (PCBS, 2021, percentage)</w:t>
            </w:r>
          </w:p>
        </w:tc>
        <w:tc>
          <w:tcPr>
            <w:tcW w:w="1531" w:type="dxa"/>
            <w:tcBorders>
              <w:top w:val="nil"/>
              <w:left w:val="nil"/>
              <w:bottom w:val="single" w:sz="4" w:space="0" w:color="auto"/>
              <w:right w:val="single" w:sz="4" w:space="0" w:color="auto"/>
            </w:tcBorders>
            <w:noWrap/>
            <w:hideMark/>
          </w:tcPr>
          <w:p w14:paraId="31DEE152"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Partial</w:t>
            </w:r>
          </w:p>
          <w:p w14:paraId="4E76D65D" w14:textId="77777777" w:rsidR="00D831D2" w:rsidRPr="00446CF3" w:rsidRDefault="00D831D2" w:rsidP="00D831D2">
            <w:pPr>
              <w:bidi w:val="0"/>
              <w:spacing w:after="0" w:line="240" w:lineRule="auto"/>
              <w:jc w:val="center"/>
              <w:rPr>
                <w:rFonts w:ascii="Arial" w:hAnsi="Arial"/>
                <w:color w:val="000000" w:themeColor="text1"/>
                <w:sz w:val="18"/>
                <w:szCs w:val="18"/>
              </w:rPr>
            </w:pPr>
          </w:p>
          <w:p w14:paraId="400A83E1"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Partial</w:t>
            </w:r>
          </w:p>
        </w:tc>
        <w:tc>
          <w:tcPr>
            <w:tcW w:w="1370" w:type="dxa"/>
            <w:tcBorders>
              <w:top w:val="nil"/>
              <w:left w:val="nil"/>
              <w:bottom w:val="single" w:sz="4" w:space="0" w:color="auto"/>
              <w:right w:val="single" w:sz="4" w:space="0" w:color="auto"/>
            </w:tcBorders>
          </w:tcPr>
          <w:p w14:paraId="6E721D43" w14:textId="77777777" w:rsidR="00D831D2" w:rsidRPr="00446CF3" w:rsidRDefault="00D831D2" w:rsidP="00D831D2">
            <w:pPr>
              <w:spacing w:after="0" w:line="240" w:lineRule="auto"/>
              <w:jc w:val="center"/>
              <w:rPr>
                <w:rFonts w:ascii="Simplified Arabic" w:hAnsi="Simplified Arabic" w:cs="Simplified Arabic"/>
                <w:sz w:val="18"/>
                <w:szCs w:val="18"/>
                <w:lang w:bidi="ar-JO"/>
              </w:rPr>
            </w:pPr>
            <w:r w:rsidRPr="00446CF3">
              <w:rPr>
                <w:rFonts w:ascii="Simplified Arabic" w:hAnsi="Simplified Arabic" w:cs="Simplified Arabic"/>
                <w:sz w:val="18"/>
                <w:szCs w:val="18"/>
                <w:lang w:bidi="ar-JO"/>
              </w:rPr>
              <w:t>312.4</w:t>
            </w:r>
          </w:p>
          <w:p w14:paraId="2AD97AF8"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Simplified Arabic" w:hAnsi="Simplified Arabic" w:cs="Simplified Arabic"/>
                <w:sz w:val="18"/>
                <w:szCs w:val="18"/>
                <w:rtl/>
                <w:lang w:bidi="ar-JO"/>
              </w:rPr>
              <w:t>(</w:t>
            </w:r>
            <w:r w:rsidRPr="00446CF3">
              <w:rPr>
                <w:rFonts w:ascii="Simplified Arabic" w:hAnsi="Simplified Arabic" w:cs="Simplified Arabic" w:hint="cs"/>
                <w:sz w:val="18"/>
                <w:szCs w:val="18"/>
                <w:rtl/>
                <w:lang w:bidi="ar-JO"/>
              </w:rPr>
              <w:t>2020</w:t>
            </w:r>
            <w:r w:rsidRPr="00446CF3">
              <w:rPr>
                <w:rFonts w:ascii="Simplified Arabic" w:hAnsi="Simplified Arabic" w:cs="Simplified Arabic"/>
                <w:sz w:val="18"/>
                <w:szCs w:val="18"/>
                <w:rtl/>
                <w:lang w:bidi="ar-JO"/>
              </w:rPr>
              <w:t>)</w:t>
            </w:r>
          </w:p>
          <w:p w14:paraId="744F37A9"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rtl/>
                <w:lang w:bidi="ar-JO"/>
              </w:rPr>
              <w:t>(</w:t>
            </w:r>
            <w:r w:rsidRPr="00446CF3">
              <w:rPr>
                <w:rFonts w:ascii="Arial" w:hAnsi="Arial"/>
                <w:color w:val="000000" w:themeColor="text1"/>
                <w:sz w:val="18"/>
                <w:szCs w:val="18"/>
                <w:lang w:bidi="ar-JO"/>
              </w:rPr>
              <w:t>2020</w:t>
            </w:r>
            <w:r w:rsidRPr="00446CF3">
              <w:rPr>
                <w:rFonts w:ascii="Arial" w:hAnsi="Arial"/>
                <w:color w:val="000000" w:themeColor="text1"/>
                <w:sz w:val="18"/>
                <w:szCs w:val="18"/>
                <w:rtl/>
                <w:lang w:bidi="ar-JO"/>
              </w:rPr>
              <w:t>)</w:t>
            </w:r>
            <w:r w:rsidRPr="00446CF3">
              <w:rPr>
                <w:rFonts w:ascii="Arial" w:hAnsi="Arial"/>
                <w:color w:val="000000" w:themeColor="text1"/>
                <w:sz w:val="18"/>
                <w:szCs w:val="18"/>
                <w:lang w:bidi="ar-JO"/>
              </w:rPr>
              <w:t xml:space="preserve">11.0 </w:t>
            </w:r>
          </w:p>
          <w:p w14:paraId="1E1737BF" w14:textId="77777777" w:rsidR="00D831D2" w:rsidRPr="00446CF3" w:rsidRDefault="00D831D2" w:rsidP="00D831D2">
            <w:pPr>
              <w:spacing w:after="0" w:line="240" w:lineRule="auto"/>
              <w:jc w:val="center"/>
              <w:rPr>
                <w:rFonts w:ascii="Arial" w:hAnsi="Arial"/>
                <w:color w:val="000000" w:themeColor="text1"/>
                <w:sz w:val="18"/>
                <w:szCs w:val="18"/>
                <w:rtl/>
              </w:rPr>
            </w:pPr>
          </w:p>
        </w:tc>
        <w:tc>
          <w:tcPr>
            <w:tcW w:w="1299" w:type="dxa"/>
            <w:tcBorders>
              <w:top w:val="nil"/>
              <w:left w:val="nil"/>
              <w:bottom w:val="single" w:sz="4" w:space="0" w:color="auto"/>
              <w:right w:val="single" w:sz="4" w:space="0" w:color="auto"/>
            </w:tcBorders>
            <w:noWrap/>
            <w:hideMark/>
          </w:tcPr>
          <w:p w14:paraId="7BC25CD8" w14:textId="77777777" w:rsidR="00D831D2" w:rsidRPr="00446CF3" w:rsidRDefault="00D831D2" w:rsidP="00D831D2">
            <w:pPr>
              <w:spacing w:after="0" w:line="240" w:lineRule="auto"/>
              <w:rPr>
                <w:rFonts w:ascii="Simplified Arabic" w:hAnsi="Simplified Arabic" w:cs="Simplified Arabic"/>
                <w:sz w:val="18"/>
                <w:szCs w:val="18"/>
                <w:lang w:bidi="ar-JO"/>
              </w:rPr>
            </w:pPr>
            <w:r w:rsidRPr="00446CF3">
              <w:rPr>
                <w:rFonts w:ascii="Simplified Arabic" w:hAnsi="Simplified Arabic" w:cs="Simplified Arabic"/>
                <w:sz w:val="18"/>
                <w:szCs w:val="18"/>
                <w:lang w:bidi="ar-JO"/>
              </w:rPr>
              <w:t>312.4</w:t>
            </w:r>
          </w:p>
          <w:p w14:paraId="6A70CF17" w14:textId="77777777" w:rsidR="00D831D2" w:rsidRPr="00446CF3" w:rsidRDefault="00D831D2" w:rsidP="00D831D2">
            <w:pPr>
              <w:spacing w:after="0" w:line="240" w:lineRule="auto"/>
              <w:rPr>
                <w:rFonts w:ascii="Simplified Arabic" w:hAnsi="Simplified Arabic" w:cs="Simplified Arabic"/>
                <w:sz w:val="18"/>
                <w:szCs w:val="18"/>
                <w:lang w:bidi="ar-JO"/>
              </w:rPr>
            </w:pPr>
          </w:p>
          <w:p w14:paraId="04C592AE" w14:textId="77777777" w:rsidR="00D831D2" w:rsidRPr="00446CF3" w:rsidRDefault="00D831D2" w:rsidP="00D831D2">
            <w:pPr>
              <w:spacing w:after="0" w:line="240" w:lineRule="auto"/>
              <w:rPr>
                <w:rFonts w:ascii="Simplified Arabic" w:hAnsi="Simplified Arabic" w:cs="Simplified Arabic"/>
                <w:sz w:val="18"/>
                <w:szCs w:val="18"/>
                <w:rtl/>
                <w:lang w:bidi="ar-JO"/>
              </w:rPr>
            </w:pPr>
            <w:r w:rsidRPr="00446CF3">
              <w:rPr>
                <w:rFonts w:ascii="Simplified Arabic" w:hAnsi="Simplified Arabic" w:cs="Simplified Arabic"/>
                <w:sz w:val="18"/>
                <w:szCs w:val="18"/>
                <w:lang w:bidi="ar-JO"/>
              </w:rPr>
              <w:t>11.2</w:t>
            </w:r>
          </w:p>
        </w:tc>
        <w:tc>
          <w:tcPr>
            <w:tcW w:w="1341" w:type="dxa"/>
            <w:tcBorders>
              <w:top w:val="nil"/>
              <w:left w:val="nil"/>
              <w:bottom w:val="single" w:sz="4" w:space="0" w:color="auto"/>
              <w:right w:val="single" w:sz="4" w:space="0" w:color="auto"/>
            </w:tcBorders>
          </w:tcPr>
          <w:p w14:paraId="2A98D136"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No Change</w:t>
            </w:r>
          </w:p>
          <w:p w14:paraId="439EE0B4" w14:textId="77777777" w:rsidR="00D831D2" w:rsidRPr="00446CF3" w:rsidRDefault="00D831D2" w:rsidP="00D831D2">
            <w:pPr>
              <w:bidi w:val="0"/>
              <w:spacing w:after="0" w:line="240" w:lineRule="auto"/>
              <w:jc w:val="center"/>
              <w:rPr>
                <w:rFonts w:ascii="Arial" w:hAnsi="Arial"/>
                <w:color w:val="000000" w:themeColor="text1"/>
                <w:sz w:val="18"/>
                <w:szCs w:val="18"/>
              </w:rPr>
            </w:pPr>
          </w:p>
          <w:p w14:paraId="411F3C4C"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Increase</w:t>
            </w:r>
          </w:p>
          <w:p w14:paraId="66590074" w14:textId="77777777" w:rsidR="00D831D2" w:rsidRPr="00446CF3" w:rsidRDefault="00D831D2" w:rsidP="00D831D2">
            <w:pPr>
              <w:bidi w:val="0"/>
              <w:spacing w:after="0" w:line="240" w:lineRule="auto"/>
              <w:jc w:val="center"/>
              <w:rPr>
                <w:rFonts w:ascii="Arial" w:hAnsi="Arial"/>
                <w:color w:val="FF0000"/>
                <w:sz w:val="18"/>
                <w:szCs w:val="18"/>
              </w:rPr>
            </w:pPr>
          </w:p>
        </w:tc>
      </w:tr>
      <w:tr w:rsidR="00D831D2" w:rsidRPr="00BD3E97" w14:paraId="7ED848E9" w14:textId="77777777" w:rsidTr="00E6392C">
        <w:trPr>
          <w:trHeight w:val="389"/>
        </w:trPr>
        <w:tc>
          <w:tcPr>
            <w:tcW w:w="4241" w:type="dxa"/>
            <w:tcBorders>
              <w:top w:val="single" w:sz="4" w:space="0" w:color="auto"/>
              <w:left w:val="single" w:sz="4" w:space="0" w:color="auto"/>
              <w:bottom w:val="nil"/>
              <w:right w:val="single" w:sz="4" w:space="0" w:color="auto"/>
            </w:tcBorders>
            <w:noWrap/>
            <w:vAlign w:val="center"/>
            <w:hideMark/>
          </w:tcPr>
          <w:p w14:paraId="08823C4A" w14:textId="77777777" w:rsidR="00D831D2" w:rsidRPr="00446CF3" w:rsidRDefault="00D831D2" w:rsidP="00D831D2">
            <w:pPr>
              <w:bidi w:val="0"/>
              <w:spacing w:after="0" w:line="240" w:lineRule="auto"/>
              <w:ind w:left="323" w:hanging="294"/>
              <w:jc w:val="both"/>
              <w:rPr>
                <w:rFonts w:ascii="Arial" w:hAnsi="Arial"/>
                <w:color w:val="000000" w:themeColor="text1"/>
                <w:sz w:val="18"/>
                <w:szCs w:val="18"/>
              </w:rPr>
            </w:pPr>
            <w:r w:rsidRPr="00446CF3">
              <w:rPr>
                <w:rFonts w:ascii="Arial" w:hAnsi="Arial"/>
                <w:b/>
                <w:bCs/>
                <w:color w:val="000000" w:themeColor="text1"/>
                <w:sz w:val="18"/>
                <w:szCs w:val="18"/>
              </w:rPr>
              <w:t>Indicator 9.2.2</w:t>
            </w:r>
            <w:r w:rsidRPr="00446CF3">
              <w:rPr>
                <w:rFonts w:ascii="Arial" w:hAnsi="Arial"/>
                <w:color w:val="000000" w:themeColor="text1"/>
                <w:sz w:val="18"/>
                <w:szCs w:val="18"/>
              </w:rPr>
              <w:t xml:space="preserve"> Manufacturing employment as a proportion of total employment(PCBS, 2022, percentage)</w:t>
            </w:r>
          </w:p>
        </w:tc>
        <w:tc>
          <w:tcPr>
            <w:tcW w:w="1531" w:type="dxa"/>
            <w:tcBorders>
              <w:top w:val="single" w:sz="4" w:space="0" w:color="auto"/>
              <w:left w:val="nil"/>
              <w:bottom w:val="nil"/>
              <w:right w:val="single" w:sz="4" w:space="0" w:color="auto"/>
            </w:tcBorders>
            <w:noWrap/>
            <w:vAlign w:val="center"/>
            <w:hideMark/>
          </w:tcPr>
          <w:p w14:paraId="074FAA98"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Identical</w:t>
            </w:r>
          </w:p>
        </w:tc>
        <w:tc>
          <w:tcPr>
            <w:tcW w:w="1370" w:type="dxa"/>
            <w:tcBorders>
              <w:top w:val="single" w:sz="4" w:space="0" w:color="auto"/>
              <w:left w:val="nil"/>
              <w:bottom w:val="nil"/>
              <w:right w:val="single" w:sz="4" w:space="0" w:color="auto"/>
            </w:tcBorders>
            <w:vAlign w:val="center"/>
          </w:tcPr>
          <w:p w14:paraId="1650362E"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rtl/>
                <w:lang w:bidi="ar-JO"/>
              </w:rPr>
              <w:t>(</w:t>
            </w:r>
            <w:r w:rsidRPr="00446CF3">
              <w:rPr>
                <w:rFonts w:ascii="Arial" w:hAnsi="Arial"/>
                <w:color w:val="000000" w:themeColor="text1"/>
                <w:sz w:val="18"/>
                <w:szCs w:val="18"/>
                <w:lang w:bidi="ar-JO"/>
              </w:rPr>
              <w:t>2021</w:t>
            </w:r>
            <w:r w:rsidRPr="00446CF3">
              <w:rPr>
                <w:rFonts w:ascii="Arial" w:hAnsi="Arial"/>
                <w:color w:val="000000" w:themeColor="text1"/>
                <w:sz w:val="18"/>
                <w:szCs w:val="18"/>
                <w:rtl/>
                <w:lang w:bidi="ar-JO"/>
              </w:rPr>
              <w:t>)</w:t>
            </w:r>
            <w:r w:rsidRPr="00446CF3">
              <w:rPr>
                <w:rFonts w:ascii="Arial" w:hAnsi="Arial"/>
                <w:color w:val="000000" w:themeColor="text1"/>
                <w:sz w:val="18"/>
                <w:szCs w:val="18"/>
                <w:lang w:bidi="ar-JO"/>
              </w:rPr>
              <w:t>12.0</w:t>
            </w:r>
          </w:p>
        </w:tc>
        <w:tc>
          <w:tcPr>
            <w:tcW w:w="1299" w:type="dxa"/>
            <w:tcBorders>
              <w:top w:val="single" w:sz="4" w:space="0" w:color="auto"/>
              <w:left w:val="nil"/>
              <w:bottom w:val="nil"/>
              <w:right w:val="single" w:sz="4" w:space="0" w:color="auto"/>
            </w:tcBorders>
            <w:noWrap/>
            <w:vAlign w:val="center"/>
            <w:hideMark/>
          </w:tcPr>
          <w:p w14:paraId="1E3B3597" w14:textId="0D334624" w:rsidR="00D831D2" w:rsidRPr="00446CF3" w:rsidRDefault="00D831D2" w:rsidP="00D831D2">
            <w:pPr>
              <w:spacing w:after="0" w:line="240" w:lineRule="auto"/>
              <w:jc w:val="center"/>
              <w:rPr>
                <w:rFonts w:ascii="Arial" w:hAnsi="Arial"/>
                <w:color w:val="000000" w:themeColor="text1"/>
                <w:sz w:val="18"/>
                <w:szCs w:val="18"/>
                <w:lang w:bidi="ar-JO"/>
              </w:rPr>
            </w:pPr>
            <w:r w:rsidRPr="00446CF3">
              <w:rPr>
                <w:rFonts w:ascii="Arial" w:hAnsi="Arial"/>
                <w:color w:val="000000" w:themeColor="text1"/>
                <w:sz w:val="18"/>
                <w:szCs w:val="18"/>
                <w:lang w:bidi="ar-JO"/>
              </w:rPr>
              <w:t>12.</w:t>
            </w:r>
            <w:r w:rsidR="002C2444">
              <w:rPr>
                <w:rFonts w:ascii="Arial" w:hAnsi="Arial"/>
                <w:color w:val="000000" w:themeColor="text1"/>
                <w:sz w:val="18"/>
                <w:szCs w:val="18"/>
                <w:lang w:bidi="ar-JO"/>
              </w:rPr>
              <w:t>4</w:t>
            </w:r>
          </w:p>
        </w:tc>
        <w:tc>
          <w:tcPr>
            <w:tcW w:w="1341" w:type="dxa"/>
            <w:tcBorders>
              <w:top w:val="single" w:sz="4" w:space="0" w:color="auto"/>
              <w:left w:val="nil"/>
              <w:bottom w:val="nil"/>
              <w:right w:val="single" w:sz="4" w:space="0" w:color="auto"/>
            </w:tcBorders>
            <w:vAlign w:val="center"/>
          </w:tcPr>
          <w:p w14:paraId="6083A224"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Increase</w:t>
            </w:r>
          </w:p>
          <w:p w14:paraId="34F03970" w14:textId="77777777" w:rsidR="00D831D2" w:rsidRPr="00446CF3" w:rsidRDefault="00D831D2" w:rsidP="00D831D2">
            <w:pPr>
              <w:bidi w:val="0"/>
              <w:spacing w:after="0" w:line="240" w:lineRule="auto"/>
              <w:jc w:val="center"/>
              <w:rPr>
                <w:rFonts w:ascii="Arial" w:hAnsi="Arial"/>
                <w:color w:val="000000" w:themeColor="text1"/>
                <w:sz w:val="18"/>
                <w:szCs w:val="18"/>
              </w:rPr>
            </w:pPr>
          </w:p>
        </w:tc>
      </w:tr>
      <w:tr w:rsidR="00D831D2" w:rsidRPr="00BD3E97" w14:paraId="02A78F63" w14:textId="77777777" w:rsidTr="00D831D2">
        <w:trPr>
          <w:trHeight w:val="389"/>
        </w:trPr>
        <w:tc>
          <w:tcPr>
            <w:tcW w:w="4241" w:type="dxa"/>
            <w:tcBorders>
              <w:top w:val="single" w:sz="4" w:space="0" w:color="auto"/>
              <w:left w:val="single" w:sz="4" w:space="0" w:color="auto"/>
              <w:bottom w:val="nil"/>
              <w:right w:val="single" w:sz="4" w:space="0" w:color="auto"/>
            </w:tcBorders>
            <w:noWrap/>
            <w:vAlign w:val="center"/>
            <w:hideMark/>
          </w:tcPr>
          <w:p w14:paraId="4A7220EF" w14:textId="77777777" w:rsidR="00D831D2" w:rsidRPr="00446CF3" w:rsidRDefault="00D831D2" w:rsidP="00D831D2">
            <w:pPr>
              <w:bidi w:val="0"/>
              <w:spacing w:after="0" w:line="240" w:lineRule="auto"/>
              <w:ind w:left="345" w:hanging="345"/>
              <w:rPr>
                <w:rFonts w:ascii="Arial" w:hAnsi="Arial"/>
                <w:color w:val="000000" w:themeColor="text1"/>
                <w:sz w:val="18"/>
                <w:szCs w:val="18"/>
              </w:rPr>
            </w:pPr>
            <w:r w:rsidRPr="00446CF3">
              <w:rPr>
                <w:rFonts w:ascii="Arial" w:hAnsi="Arial"/>
                <w:b/>
                <w:bCs/>
                <w:color w:val="000000" w:themeColor="text1"/>
                <w:sz w:val="18"/>
                <w:szCs w:val="18"/>
              </w:rPr>
              <w:t>Indicator 9.3.1</w:t>
            </w:r>
            <w:r w:rsidRPr="00446CF3">
              <w:rPr>
                <w:rFonts w:ascii="Arial" w:hAnsi="Arial"/>
                <w:color w:val="000000" w:themeColor="text1"/>
                <w:sz w:val="18"/>
                <w:szCs w:val="18"/>
              </w:rPr>
              <w:t xml:space="preserve"> Proportion of small-scale industries in total industry value added proportion of small-scale industries in total industry value added(PCBS, 2021, Percentage)</w:t>
            </w:r>
          </w:p>
        </w:tc>
        <w:tc>
          <w:tcPr>
            <w:tcW w:w="1531" w:type="dxa"/>
            <w:tcBorders>
              <w:top w:val="single" w:sz="4" w:space="0" w:color="auto"/>
              <w:left w:val="nil"/>
              <w:bottom w:val="nil"/>
              <w:right w:val="single" w:sz="4" w:space="0" w:color="auto"/>
            </w:tcBorders>
            <w:noWrap/>
            <w:vAlign w:val="center"/>
            <w:hideMark/>
          </w:tcPr>
          <w:p w14:paraId="17664845"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Partial</w:t>
            </w:r>
          </w:p>
        </w:tc>
        <w:tc>
          <w:tcPr>
            <w:tcW w:w="1370" w:type="dxa"/>
            <w:tcBorders>
              <w:top w:val="single" w:sz="4" w:space="0" w:color="auto"/>
              <w:left w:val="nil"/>
              <w:bottom w:val="nil"/>
              <w:right w:val="single" w:sz="4" w:space="0" w:color="auto"/>
            </w:tcBorders>
            <w:vAlign w:val="center"/>
          </w:tcPr>
          <w:p w14:paraId="49EF3191"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lang w:bidi="ar-JO"/>
              </w:rPr>
              <w:t>24.9 (2020)</w:t>
            </w:r>
          </w:p>
        </w:tc>
        <w:tc>
          <w:tcPr>
            <w:tcW w:w="1299" w:type="dxa"/>
            <w:tcBorders>
              <w:top w:val="single" w:sz="4" w:space="0" w:color="auto"/>
              <w:left w:val="nil"/>
              <w:bottom w:val="nil"/>
              <w:right w:val="single" w:sz="4" w:space="0" w:color="auto"/>
            </w:tcBorders>
            <w:noWrap/>
            <w:vAlign w:val="center"/>
            <w:hideMark/>
          </w:tcPr>
          <w:p w14:paraId="784D71D9"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lang w:bidi="ar-JO"/>
              </w:rPr>
              <w:t>21.0</w:t>
            </w:r>
          </w:p>
        </w:tc>
        <w:tc>
          <w:tcPr>
            <w:tcW w:w="1341" w:type="dxa"/>
            <w:tcBorders>
              <w:top w:val="single" w:sz="4" w:space="0" w:color="auto"/>
              <w:left w:val="nil"/>
              <w:bottom w:val="nil"/>
              <w:right w:val="single" w:sz="4" w:space="0" w:color="auto"/>
            </w:tcBorders>
            <w:vAlign w:val="center"/>
          </w:tcPr>
          <w:p w14:paraId="4E157A6E"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Decrease</w:t>
            </w:r>
          </w:p>
          <w:p w14:paraId="2906BDAE" w14:textId="77777777" w:rsidR="00D831D2" w:rsidRPr="00446CF3" w:rsidRDefault="00D831D2" w:rsidP="00D831D2">
            <w:pPr>
              <w:bidi w:val="0"/>
              <w:spacing w:after="0" w:line="240" w:lineRule="auto"/>
              <w:jc w:val="center"/>
              <w:rPr>
                <w:rFonts w:ascii="Arial" w:hAnsi="Arial"/>
                <w:color w:val="000000" w:themeColor="text1"/>
                <w:sz w:val="18"/>
                <w:szCs w:val="18"/>
              </w:rPr>
            </w:pPr>
          </w:p>
        </w:tc>
      </w:tr>
      <w:tr w:rsidR="00D831D2" w:rsidRPr="00BD3E97" w14:paraId="167BB00A" w14:textId="77777777" w:rsidTr="00E6392C">
        <w:trPr>
          <w:trHeight w:val="389"/>
        </w:trPr>
        <w:tc>
          <w:tcPr>
            <w:tcW w:w="4241" w:type="dxa"/>
            <w:tcBorders>
              <w:top w:val="single" w:sz="4" w:space="0" w:color="auto"/>
              <w:left w:val="single" w:sz="4" w:space="0" w:color="auto"/>
              <w:right w:val="single" w:sz="4" w:space="0" w:color="auto"/>
            </w:tcBorders>
            <w:noWrap/>
            <w:vAlign w:val="center"/>
          </w:tcPr>
          <w:p w14:paraId="71346DE7" w14:textId="77777777" w:rsidR="00D831D2" w:rsidRPr="00446CF3" w:rsidRDefault="00D831D2" w:rsidP="00D831D2">
            <w:pPr>
              <w:bidi w:val="0"/>
              <w:spacing w:after="0" w:line="240" w:lineRule="auto"/>
              <w:ind w:left="323" w:hanging="284"/>
              <w:jc w:val="both"/>
              <w:rPr>
                <w:rFonts w:ascii="Arial" w:hAnsi="Arial"/>
                <w:color w:val="000000" w:themeColor="text1"/>
                <w:sz w:val="18"/>
                <w:szCs w:val="18"/>
              </w:rPr>
            </w:pPr>
            <w:r w:rsidRPr="00446CF3">
              <w:rPr>
                <w:rFonts w:ascii="Arial" w:hAnsi="Arial"/>
                <w:b/>
                <w:bCs/>
                <w:color w:val="000000" w:themeColor="text1"/>
                <w:sz w:val="18"/>
                <w:szCs w:val="18"/>
              </w:rPr>
              <w:t xml:space="preserve">Indicator 9.3.2 </w:t>
            </w:r>
            <w:r w:rsidRPr="00446CF3">
              <w:rPr>
                <w:rFonts w:ascii="Arial" w:hAnsi="Arial"/>
                <w:color w:val="000000" w:themeColor="text1"/>
                <w:sz w:val="18"/>
                <w:szCs w:val="18"/>
              </w:rPr>
              <w:t>Proportion of small-scale industries with a loan or line of credit</w:t>
            </w:r>
          </w:p>
        </w:tc>
        <w:tc>
          <w:tcPr>
            <w:tcW w:w="1531" w:type="dxa"/>
            <w:tcBorders>
              <w:top w:val="single" w:sz="4" w:space="0" w:color="auto"/>
              <w:left w:val="nil"/>
              <w:right w:val="single" w:sz="4" w:space="0" w:color="auto"/>
            </w:tcBorders>
            <w:noWrap/>
          </w:tcPr>
          <w:p w14:paraId="036925D1" w14:textId="77777777" w:rsidR="00D831D2" w:rsidRPr="00446CF3" w:rsidRDefault="00D831D2" w:rsidP="00D831D2">
            <w:pPr>
              <w:bidi w:val="0"/>
              <w:spacing w:after="0" w:line="240" w:lineRule="auto"/>
              <w:jc w:val="center"/>
              <w:rPr>
                <w:rFonts w:ascii="Arial" w:hAnsi="Arial"/>
                <w:color w:val="000000" w:themeColor="text1"/>
                <w:sz w:val="18"/>
                <w:szCs w:val="18"/>
              </w:rPr>
            </w:pPr>
          </w:p>
        </w:tc>
        <w:tc>
          <w:tcPr>
            <w:tcW w:w="1370" w:type="dxa"/>
            <w:tcBorders>
              <w:top w:val="single" w:sz="4" w:space="0" w:color="auto"/>
              <w:left w:val="nil"/>
              <w:right w:val="single" w:sz="4" w:space="0" w:color="auto"/>
            </w:tcBorders>
          </w:tcPr>
          <w:p w14:paraId="73DC86E2" w14:textId="77777777" w:rsidR="00D831D2" w:rsidRPr="00446CF3" w:rsidRDefault="00D831D2" w:rsidP="00D831D2">
            <w:pPr>
              <w:spacing w:after="0" w:line="240" w:lineRule="auto"/>
              <w:jc w:val="center"/>
              <w:rPr>
                <w:rFonts w:ascii="Arial" w:hAnsi="Arial"/>
                <w:color w:val="000000" w:themeColor="text1"/>
                <w:sz w:val="18"/>
                <w:szCs w:val="18"/>
                <w:rtl/>
                <w:lang w:bidi="ar-JO"/>
              </w:rPr>
            </w:pPr>
          </w:p>
        </w:tc>
        <w:tc>
          <w:tcPr>
            <w:tcW w:w="1299" w:type="dxa"/>
            <w:tcBorders>
              <w:top w:val="single" w:sz="4" w:space="0" w:color="auto"/>
              <w:left w:val="nil"/>
              <w:right w:val="single" w:sz="4" w:space="0" w:color="auto"/>
            </w:tcBorders>
            <w:noWrap/>
          </w:tcPr>
          <w:p w14:paraId="6E2F82A3" w14:textId="77777777" w:rsidR="00D831D2" w:rsidRPr="00446CF3" w:rsidRDefault="00D831D2" w:rsidP="00D831D2">
            <w:pPr>
              <w:spacing w:after="0" w:line="240" w:lineRule="auto"/>
              <w:jc w:val="center"/>
              <w:rPr>
                <w:rFonts w:ascii="Arial" w:hAnsi="Arial"/>
                <w:color w:val="000000" w:themeColor="text1"/>
                <w:sz w:val="18"/>
                <w:szCs w:val="18"/>
                <w:lang w:bidi="ar-JO"/>
              </w:rPr>
            </w:pPr>
          </w:p>
        </w:tc>
        <w:tc>
          <w:tcPr>
            <w:tcW w:w="1341" w:type="dxa"/>
            <w:tcBorders>
              <w:top w:val="single" w:sz="4" w:space="0" w:color="auto"/>
              <w:left w:val="nil"/>
              <w:right w:val="single" w:sz="4" w:space="0" w:color="auto"/>
            </w:tcBorders>
          </w:tcPr>
          <w:p w14:paraId="2FB38ED8" w14:textId="77777777" w:rsidR="00D831D2" w:rsidRPr="00446CF3" w:rsidRDefault="00D831D2" w:rsidP="00D831D2">
            <w:pPr>
              <w:bidi w:val="0"/>
              <w:spacing w:after="0" w:line="240" w:lineRule="auto"/>
              <w:jc w:val="center"/>
              <w:rPr>
                <w:rFonts w:ascii="Arial" w:hAnsi="Arial"/>
                <w:color w:val="000000" w:themeColor="text1"/>
                <w:sz w:val="18"/>
                <w:szCs w:val="18"/>
              </w:rPr>
            </w:pPr>
          </w:p>
        </w:tc>
      </w:tr>
      <w:tr w:rsidR="00D831D2" w:rsidRPr="00BD3E97" w14:paraId="408595F4" w14:textId="77777777" w:rsidTr="00E6392C">
        <w:trPr>
          <w:trHeight w:val="389"/>
        </w:trPr>
        <w:tc>
          <w:tcPr>
            <w:tcW w:w="4241" w:type="dxa"/>
            <w:tcBorders>
              <w:top w:val="nil"/>
              <w:left w:val="single" w:sz="4" w:space="0" w:color="auto"/>
              <w:bottom w:val="single" w:sz="4" w:space="0" w:color="auto"/>
              <w:right w:val="single" w:sz="4" w:space="0" w:color="auto"/>
            </w:tcBorders>
            <w:noWrap/>
            <w:vAlign w:val="center"/>
          </w:tcPr>
          <w:p w14:paraId="221D329F" w14:textId="77777777" w:rsidR="00D831D2" w:rsidRPr="00446CF3" w:rsidRDefault="00D831D2" w:rsidP="00D831D2">
            <w:pPr>
              <w:bidi w:val="0"/>
              <w:spacing w:after="0" w:line="240" w:lineRule="auto"/>
              <w:ind w:left="323"/>
              <w:jc w:val="both"/>
              <w:rPr>
                <w:rFonts w:ascii="Arial" w:hAnsi="Arial"/>
                <w:color w:val="000000" w:themeColor="text1"/>
                <w:sz w:val="18"/>
                <w:szCs w:val="18"/>
              </w:rPr>
            </w:pPr>
            <w:r w:rsidRPr="00446CF3">
              <w:rPr>
                <w:rFonts w:ascii="Arial" w:hAnsi="Arial"/>
                <w:color w:val="000000" w:themeColor="text1"/>
                <w:sz w:val="18"/>
                <w:szCs w:val="18"/>
              </w:rPr>
              <w:t>Proportion of small-scale industries with a loan or line of credit (PCBS, 2018, Percentage)</w:t>
            </w:r>
          </w:p>
        </w:tc>
        <w:tc>
          <w:tcPr>
            <w:tcW w:w="1531" w:type="dxa"/>
            <w:tcBorders>
              <w:top w:val="nil"/>
              <w:left w:val="nil"/>
              <w:bottom w:val="single" w:sz="4" w:space="0" w:color="auto"/>
              <w:right w:val="single" w:sz="4" w:space="0" w:color="auto"/>
            </w:tcBorders>
            <w:noWrap/>
          </w:tcPr>
          <w:p w14:paraId="552BC013"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Partial</w:t>
            </w:r>
          </w:p>
        </w:tc>
        <w:tc>
          <w:tcPr>
            <w:tcW w:w="1370" w:type="dxa"/>
            <w:tcBorders>
              <w:top w:val="nil"/>
              <w:left w:val="nil"/>
              <w:bottom w:val="single" w:sz="4" w:space="0" w:color="auto"/>
              <w:right w:val="single" w:sz="4" w:space="0" w:color="auto"/>
            </w:tcBorders>
          </w:tcPr>
          <w:p w14:paraId="0A74693B"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shd w:val="clear" w:color="auto" w:fill="FFFFFF"/>
                <w:rtl/>
              </w:rPr>
              <w:t>(2017)</w:t>
            </w:r>
            <w:r w:rsidRPr="00446CF3">
              <w:rPr>
                <w:rFonts w:ascii="Arial" w:hAnsi="Arial"/>
                <w:color w:val="000000" w:themeColor="text1"/>
                <w:sz w:val="18"/>
                <w:szCs w:val="18"/>
                <w:rtl/>
                <w:lang w:bidi="ar-JO"/>
              </w:rPr>
              <w:t>1.5</w:t>
            </w:r>
          </w:p>
        </w:tc>
        <w:tc>
          <w:tcPr>
            <w:tcW w:w="1299" w:type="dxa"/>
            <w:tcBorders>
              <w:top w:val="nil"/>
              <w:left w:val="nil"/>
              <w:bottom w:val="single" w:sz="4" w:space="0" w:color="auto"/>
              <w:right w:val="single" w:sz="4" w:space="0" w:color="auto"/>
            </w:tcBorders>
            <w:noWrap/>
          </w:tcPr>
          <w:p w14:paraId="2EF5A51F" w14:textId="77777777" w:rsidR="00D831D2" w:rsidRPr="00446CF3" w:rsidRDefault="00D831D2" w:rsidP="00D831D2">
            <w:pPr>
              <w:spacing w:after="0" w:line="240" w:lineRule="auto"/>
              <w:jc w:val="center"/>
              <w:rPr>
                <w:rFonts w:ascii="Arial" w:hAnsi="Arial"/>
                <w:color w:val="000000" w:themeColor="text1"/>
                <w:sz w:val="18"/>
                <w:szCs w:val="18"/>
                <w:lang w:bidi="ar-JO"/>
              </w:rPr>
            </w:pPr>
            <w:r w:rsidRPr="00446CF3">
              <w:rPr>
                <w:rFonts w:ascii="Arial" w:hAnsi="Arial"/>
                <w:color w:val="000000" w:themeColor="text1"/>
                <w:sz w:val="18"/>
                <w:szCs w:val="18"/>
                <w:lang w:bidi="ar-JO"/>
              </w:rPr>
              <w:t>1.6</w:t>
            </w:r>
          </w:p>
        </w:tc>
        <w:tc>
          <w:tcPr>
            <w:tcW w:w="1341" w:type="dxa"/>
            <w:tcBorders>
              <w:top w:val="nil"/>
              <w:left w:val="nil"/>
              <w:bottom w:val="single" w:sz="4" w:space="0" w:color="auto"/>
              <w:right w:val="single" w:sz="4" w:space="0" w:color="auto"/>
            </w:tcBorders>
          </w:tcPr>
          <w:p w14:paraId="20CC61F1"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Increase</w:t>
            </w:r>
          </w:p>
          <w:p w14:paraId="5BD61F8F" w14:textId="77777777" w:rsidR="00D831D2" w:rsidRPr="00446CF3" w:rsidRDefault="00D831D2" w:rsidP="00D831D2">
            <w:pPr>
              <w:bidi w:val="0"/>
              <w:spacing w:after="0" w:line="240" w:lineRule="auto"/>
              <w:jc w:val="center"/>
              <w:rPr>
                <w:rFonts w:ascii="Arial" w:hAnsi="Arial"/>
                <w:color w:val="000000" w:themeColor="text1"/>
                <w:sz w:val="18"/>
                <w:szCs w:val="18"/>
              </w:rPr>
            </w:pPr>
          </w:p>
        </w:tc>
      </w:tr>
      <w:tr w:rsidR="00D831D2" w:rsidRPr="00BD3E97" w14:paraId="1372FD16" w14:textId="77777777" w:rsidTr="00E6392C">
        <w:trPr>
          <w:trHeight w:val="389"/>
        </w:trPr>
        <w:tc>
          <w:tcPr>
            <w:tcW w:w="4241" w:type="dxa"/>
            <w:tcBorders>
              <w:top w:val="single" w:sz="4" w:space="0" w:color="auto"/>
              <w:left w:val="single" w:sz="4" w:space="0" w:color="auto"/>
              <w:bottom w:val="nil"/>
              <w:right w:val="single" w:sz="4" w:space="0" w:color="auto"/>
            </w:tcBorders>
            <w:noWrap/>
            <w:vAlign w:val="center"/>
            <w:hideMark/>
          </w:tcPr>
          <w:p w14:paraId="5FD685C9" w14:textId="77777777" w:rsidR="00D831D2" w:rsidRPr="00BD3E97" w:rsidRDefault="00D831D2" w:rsidP="00D831D2">
            <w:pPr>
              <w:bidi w:val="0"/>
              <w:spacing w:after="0" w:line="240" w:lineRule="auto"/>
              <w:ind w:left="323" w:hanging="284"/>
              <w:jc w:val="both"/>
              <w:rPr>
                <w:rFonts w:ascii="Arial" w:hAnsi="Arial"/>
                <w:b/>
                <w:bCs/>
                <w:color w:val="000000" w:themeColor="text1"/>
                <w:sz w:val="18"/>
                <w:szCs w:val="18"/>
              </w:rPr>
            </w:pPr>
            <w:r w:rsidRPr="00BD3E97">
              <w:rPr>
                <w:rFonts w:ascii="Arial" w:hAnsi="Arial"/>
                <w:b/>
                <w:bCs/>
                <w:color w:val="000000" w:themeColor="text1"/>
                <w:sz w:val="18"/>
                <w:szCs w:val="18"/>
              </w:rPr>
              <w:t>Indicator 9.4.1</w:t>
            </w:r>
            <w:r w:rsidRPr="00BD3E97">
              <w:rPr>
                <w:rFonts w:ascii="Arial" w:hAnsi="Arial"/>
                <w:color w:val="000000" w:themeColor="text1"/>
                <w:sz w:val="18"/>
                <w:szCs w:val="18"/>
              </w:rPr>
              <w:t xml:space="preserve"> CO2 emission per unit of value added</w:t>
            </w:r>
          </w:p>
          <w:p w14:paraId="43D7492F" w14:textId="77777777" w:rsidR="00D831D2" w:rsidRPr="00BD3E97" w:rsidRDefault="00D831D2" w:rsidP="00D831D2">
            <w:pPr>
              <w:bidi w:val="0"/>
              <w:spacing w:after="0" w:line="240" w:lineRule="auto"/>
              <w:ind w:left="323" w:hanging="284"/>
              <w:jc w:val="both"/>
              <w:rPr>
                <w:rFonts w:ascii="Arial" w:hAnsi="Arial"/>
                <w:color w:val="000000" w:themeColor="text1"/>
                <w:sz w:val="18"/>
                <w:szCs w:val="18"/>
              </w:rPr>
            </w:pPr>
            <w:r w:rsidRPr="00BD3E97">
              <w:rPr>
                <w:rFonts w:ascii="Arial" w:hAnsi="Arial"/>
                <w:color w:val="000000" w:themeColor="text1"/>
                <w:sz w:val="18"/>
                <w:szCs w:val="18"/>
              </w:rPr>
              <w:t>CO2 emission per unit of value added(PCBS, 2020, Ton/USD Million)</w:t>
            </w:r>
          </w:p>
        </w:tc>
        <w:tc>
          <w:tcPr>
            <w:tcW w:w="1531" w:type="dxa"/>
            <w:tcBorders>
              <w:top w:val="single" w:sz="4" w:space="0" w:color="auto"/>
              <w:left w:val="nil"/>
              <w:bottom w:val="nil"/>
              <w:right w:val="single" w:sz="4" w:space="0" w:color="auto"/>
            </w:tcBorders>
            <w:noWrap/>
            <w:vAlign w:val="center"/>
            <w:hideMark/>
          </w:tcPr>
          <w:p w14:paraId="351F6FC2" w14:textId="77777777" w:rsidR="00D831D2" w:rsidRPr="00BD3E97" w:rsidRDefault="00D831D2" w:rsidP="00D831D2">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single" w:sz="4" w:space="0" w:color="auto"/>
              <w:left w:val="nil"/>
              <w:bottom w:val="nil"/>
              <w:right w:val="single" w:sz="4" w:space="0" w:color="auto"/>
            </w:tcBorders>
            <w:vAlign w:val="center"/>
          </w:tcPr>
          <w:p w14:paraId="120F3D98" w14:textId="77777777" w:rsidR="00D831D2" w:rsidRPr="00BD3E97" w:rsidRDefault="00D831D2" w:rsidP="00D831D2">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shd w:val="clear" w:color="auto" w:fill="FFFFFF"/>
                <w:rtl/>
              </w:rPr>
              <w:t>(2019)308</w:t>
            </w:r>
          </w:p>
        </w:tc>
        <w:tc>
          <w:tcPr>
            <w:tcW w:w="1299" w:type="dxa"/>
            <w:tcBorders>
              <w:top w:val="single" w:sz="4" w:space="0" w:color="auto"/>
              <w:left w:val="nil"/>
              <w:bottom w:val="nil"/>
              <w:right w:val="single" w:sz="4" w:space="0" w:color="auto"/>
            </w:tcBorders>
            <w:noWrap/>
            <w:vAlign w:val="center"/>
            <w:hideMark/>
          </w:tcPr>
          <w:p w14:paraId="6DBABB12" w14:textId="77777777" w:rsidR="00D831D2" w:rsidRPr="00BD3E97" w:rsidRDefault="00D831D2" w:rsidP="00D831D2">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344</w:t>
            </w:r>
          </w:p>
        </w:tc>
        <w:tc>
          <w:tcPr>
            <w:tcW w:w="1341" w:type="dxa"/>
            <w:tcBorders>
              <w:top w:val="single" w:sz="4" w:space="0" w:color="auto"/>
              <w:left w:val="nil"/>
              <w:bottom w:val="nil"/>
              <w:right w:val="single" w:sz="4" w:space="0" w:color="auto"/>
            </w:tcBorders>
            <w:vAlign w:val="center"/>
          </w:tcPr>
          <w:p w14:paraId="2FA78CFD" w14:textId="77777777" w:rsidR="00D831D2" w:rsidRPr="00BD3E97" w:rsidRDefault="00D831D2" w:rsidP="00D831D2">
            <w:pPr>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D</w:t>
            </w:r>
            <w:r w:rsidRPr="00BD3E97">
              <w:rPr>
                <w:rFonts w:ascii="Arial" w:hAnsi="Arial"/>
                <w:color w:val="000000" w:themeColor="text1"/>
                <w:sz w:val="18"/>
                <w:szCs w:val="18"/>
              </w:rPr>
              <w:t>ecrease</w:t>
            </w:r>
          </w:p>
          <w:p w14:paraId="49D88BAB" w14:textId="77777777" w:rsidR="00D831D2" w:rsidRPr="00BD3E97" w:rsidRDefault="00D831D2" w:rsidP="00D831D2">
            <w:pPr>
              <w:bidi w:val="0"/>
              <w:spacing w:after="0" w:line="240" w:lineRule="auto"/>
              <w:jc w:val="center"/>
              <w:rPr>
                <w:rFonts w:ascii="Arial" w:hAnsi="Arial"/>
                <w:color w:val="000000" w:themeColor="text1"/>
                <w:sz w:val="18"/>
                <w:szCs w:val="18"/>
              </w:rPr>
            </w:pPr>
          </w:p>
        </w:tc>
      </w:tr>
      <w:tr w:rsidR="00D831D2" w:rsidRPr="00BD3E97" w14:paraId="4D9E4081" w14:textId="77777777" w:rsidTr="00E6392C">
        <w:trPr>
          <w:trHeight w:val="389"/>
        </w:trPr>
        <w:tc>
          <w:tcPr>
            <w:tcW w:w="4241" w:type="dxa"/>
            <w:tcBorders>
              <w:top w:val="single" w:sz="4" w:space="0" w:color="auto"/>
              <w:left w:val="single" w:sz="4" w:space="0" w:color="auto"/>
              <w:bottom w:val="nil"/>
              <w:right w:val="single" w:sz="4" w:space="0" w:color="auto"/>
            </w:tcBorders>
            <w:noWrap/>
            <w:vAlign w:val="center"/>
            <w:hideMark/>
          </w:tcPr>
          <w:p w14:paraId="3D63DFED" w14:textId="77777777" w:rsidR="00D831D2" w:rsidRPr="00BD3E97" w:rsidRDefault="00D831D2" w:rsidP="00D831D2">
            <w:pPr>
              <w:bidi w:val="0"/>
              <w:spacing w:after="0" w:line="240" w:lineRule="auto"/>
              <w:ind w:left="323" w:hanging="284"/>
              <w:jc w:val="both"/>
              <w:rPr>
                <w:rFonts w:ascii="Arial" w:hAnsi="Arial"/>
                <w:color w:val="000000" w:themeColor="text1"/>
                <w:sz w:val="18"/>
                <w:szCs w:val="18"/>
              </w:rPr>
            </w:pPr>
            <w:r w:rsidRPr="00BD3E97">
              <w:rPr>
                <w:rFonts w:ascii="Arial" w:hAnsi="Arial"/>
                <w:b/>
                <w:bCs/>
                <w:color w:val="000000" w:themeColor="text1"/>
                <w:sz w:val="18"/>
                <w:szCs w:val="18"/>
              </w:rPr>
              <w:t>Indicator 9.5.1</w:t>
            </w:r>
            <w:r w:rsidRPr="00BD3E97">
              <w:rPr>
                <w:rFonts w:ascii="Arial" w:hAnsi="Arial"/>
                <w:color w:val="000000" w:themeColor="text1"/>
                <w:sz w:val="18"/>
                <w:szCs w:val="18"/>
              </w:rPr>
              <w:t xml:space="preserve"> Research and development expenditure as a proportion of GDP</w:t>
            </w:r>
          </w:p>
        </w:tc>
        <w:tc>
          <w:tcPr>
            <w:tcW w:w="1531" w:type="dxa"/>
            <w:tcBorders>
              <w:top w:val="single" w:sz="4" w:space="0" w:color="auto"/>
              <w:left w:val="nil"/>
              <w:bottom w:val="nil"/>
              <w:right w:val="single" w:sz="4" w:space="0" w:color="auto"/>
            </w:tcBorders>
            <w:noWrap/>
            <w:hideMark/>
          </w:tcPr>
          <w:p w14:paraId="3B926402" w14:textId="77777777" w:rsidR="00D831D2" w:rsidRPr="00BD3E97" w:rsidRDefault="00D831D2" w:rsidP="00D831D2">
            <w:pPr>
              <w:bidi w:val="0"/>
              <w:spacing w:after="0" w:line="240" w:lineRule="auto"/>
              <w:jc w:val="center"/>
              <w:rPr>
                <w:rFonts w:ascii="Arial" w:hAnsi="Arial"/>
                <w:color w:val="000000" w:themeColor="text1"/>
                <w:sz w:val="18"/>
                <w:szCs w:val="18"/>
              </w:rPr>
            </w:pPr>
          </w:p>
        </w:tc>
        <w:tc>
          <w:tcPr>
            <w:tcW w:w="1370" w:type="dxa"/>
            <w:tcBorders>
              <w:top w:val="single" w:sz="4" w:space="0" w:color="auto"/>
              <w:left w:val="nil"/>
              <w:bottom w:val="nil"/>
              <w:right w:val="single" w:sz="4" w:space="0" w:color="auto"/>
            </w:tcBorders>
          </w:tcPr>
          <w:p w14:paraId="7A13838E" w14:textId="77777777" w:rsidR="00D831D2" w:rsidRPr="00BD3E97" w:rsidRDefault="00D831D2" w:rsidP="00D831D2">
            <w:pPr>
              <w:spacing w:after="0" w:line="240" w:lineRule="auto"/>
              <w:jc w:val="center"/>
              <w:rPr>
                <w:rFonts w:ascii="Arial" w:hAnsi="Arial"/>
                <w:color w:val="000000" w:themeColor="text1"/>
                <w:sz w:val="18"/>
                <w:szCs w:val="18"/>
                <w:rtl/>
                <w:lang w:bidi="ar-JO"/>
              </w:rPr>
            </w:pPr>
          </w:p>
        </w:tc>
        <w:tc>
          <w:tcPr>
            <w:tcW w:w="1299" w:type="dxa"/>
            <w:tcBorders>
              <w:top w:val="single" w:sz="4" w:space="0" w:color="auto"/>
              <w:left w:val="nil"/>
              <w:bottom w:val="nil"/>
              <w:right w:val="single" w:sz="4" w:space="0" w:color="auto"/>
            </w:tcBorders>
            <w:noWrap/>
            <w:hideMark/>
          </w:tcPr>
          <w:p w14:paraId="59AACED4" w14:textId="77777777" w:rsidR="00D831D2" w:rsidRPr="00BD3E97" w:rsidRDefault="00D831D2" w:rsidP="00D831D2">
            <w:pPr>
              <w:spacing w:after="0" w:line="240" w:lineRule="auto"/>
              <w:jc w:val="center"/>
              <w:rPr>
                <w:rFonts w:ascii="Arial" w:hAnsi="Arial"/>
                <w:color w:val="000000" w:themeColor="text1"/>
                <w:sz w:val="18"/>
                <w:szCs w:val="18"/>
                <w:lang w:bidi="ar-JO"/>
              </w:rPr>
            </w:pPr>
          </w:p>
        </w:tc>
        <w:tc>
          <w:tcPr>
            <w:tcW w:w="1341" w:type="dxa"/>
            <w:tcBorders>
              <w:top w:val="single" w:sz="4" w:space="0" w:color="auto"/>
              <w:left w:val="nil"/>
              <w:bottom w:val="nil"/>
              <w:right w:val="single" w:sz="4" w:space="0" w:color="auto"/>
            </w:tcBorders>
          </w:tcPr>
          <w:p w14:paraId="08CD78C1" w14:textId="77777777" w:rsidR="00D831D2" w:rsidRPr="00BD3E97" w:rsidRDefault="00D831D2" w:rsidP="00D831D2">
            <w:pPr>
              <w:bidi w:val="0"/>
              <w:spacing w:after="0" w:line="240" w:lineRule="auto"/>
              <w:jc w:val="center"/>
              <w:rPr>
                <w:rFonts w:ascii="Arial" w:hAnsi="Arial"/>
                <w:color w:val="000000" w:themeColor="text1"/>
                <w:sz w:val="18"/>
                <w:szCs w:val="18"/>
              </w:rPr>
            </w:pPr>
          </w:p>
        </w:tc>
      </w:tr>
      <w:tr w:rsidR="00D831D2" w:rsidRPr="00BD3E97" w14:paraId="3989785F" w14:textId="77777777" w:rsidTr="00E6392C">
        <w:trPr>
          <w:trHeight w:val="389"/>
        </w:trPr>
        <w:tc>
          <w:tcPr>
            <w:tcW w:w="4241" w:type="dxa"/>
            <w:tcBorders>
              <w:top w:val="nil"/>
              <w:left w:val="single" w:sz="4" w:space="0" w:color="auto"/>
              <w:bottom w:val="single" w:sz="4" w:space="0" w:color="auto"/>
              <w:right w:val="single" w:sz="4" w:space="0" w:color="auto"/>
            </w:tcBorders>
            <w:noWrap/>
            <w:vAlign w:val="center"/>
            <w:hideMark/>
          </w:tcPr>
          <w:p w14:paraId="4B1D7E23" w14:textId="77777777" w:rsidR="00D831D2" w:rsidRPr="00BD3E97" w:rsidRDefault="00D831D2" w:rsidP="00D831D2">
            <w:pPr>
              <w:bidi w:val="0"/>
              <w:spacing w:after="0" w:line="240" w:lineRule="auto"/>
              <w:ind w:left="323"/>
              <w:jc w:val="both"/>
              <w:rPr>
                <w:rFonts w:ascii="Arial" w:hAnsi="Arial"/>
                <w:color w:val="000000" w:themeColor="text1"/>
                <w:sz w:val="18"/>
                <w:szCs w:val="18"/>
              </w:rPr>
            </w:pPr>
            <w:r w:rsidRPr="00BD3E97">
              <w:rPr>
                <w:rFonts w:ascii="Arial" w:hAnsi="Arial"/>
                <w:color w:val="000000" w:themeColor="text1"/>
                <w:sz w:val="18"/>
                <w:szCs w:val="18"/>
              </w:rPr>
              <w:t>Research and development expenditure as a proportion of GDP (PCBS, 2013, Percentage)</w:t>
            </w:r>
          </w:p>
        </w:tc>
        <w:tc>
          <w:tcPr>
            <w:tcW w:w="1531" w:type="dxa"/>
            <w:tcBorders>
              <w:top w:val="nil"/>
              <w:left w:val="nil"/>
              <w:bottom w:val="single" w:sz="4" w:space="0" w:color="auto"/>
              <w:right w:val="single" w:sz="4" w:space="0" w:color="auto"/>
            </w:tcBorders>
            <w:noWrap/>
            <w:hideMark/>
          </w:tcPr>
          <w:p w14:paraId="457CE66C" w14:textId="77777777" w:rsidR="00D831D2" w:rsidRPr="00BD3E97" w:rsidRDefault="00D831D2" w:rsidP="00D831D2">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nil"/>
              <w:left w:val="nil"/>
              <w:bottom w:val="single" w:sz="4" w:space="0" w:color="auto"/>
              <w:right w:val="single" w:sz="4" w:space="0" w:color="auto"/>
            </w:tcBorders>
          </w:tcPr>
          <w:p w14:paraId="63A091AD" w14:textId="77777777" w:rsidR="00D831D2" w:rsidRPr="00BD3E97" w:rsidRDefault="00D831D2" w:rsidP="00D831D2">
            <w:pPr>
              <w:spacing w:after="0" w:line="240" w:lineRule="auto"/>
              <w:jc w:val="center"/>
              <w:rPr>
                <w:rFonts w:ascii="Arial" w:hAnsi="Arial"/>
                <w:color w:val="000000" w:themeColor="text1"/>
                <w:sz w:val="18"/>
                <w:szCs w:val="18"/>
                <w:rtl/>
                <w:lang w:bidi="ar-JO"/>
              </w:rPr>
            </w:pPr>
          </w:p>
        </w:tc>
        <w:tc>
          <w:tcPr>
            <w:tcW w:w="1299" w:type="dxa"/>
            <w:tcBorders>
              <w:top w:val="nil"/>
              <w:left w:val="nil"/>
              <w:bottom w:val="single" w:sz="4" w:space="0" w:color="auto"/>
              <w:right w:val="single" w:sz="4" w:space="0" w:color="auto"/>
            </w:tcBorders>
            <w:noWrap/>
            <w:hideMark/>
          </w:tcPr>
          <w:p w14:paraId="22018EE3" w14:textId="77777777" w:rsidR="00D831D2" w:rsidRPr="00BD3E97" w:rsidRDefault="00D831D2" w:rsidP="00D831D2">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0.6</w:t>
            </w:r>
          </w:p>
        </w:tc>
        <w:tc>
          <w:tcPr>
            <w:tcW w:w="1341" w:type="dxa"/>
            <w:tcBorders>
              <w:top w:val="nil"/>
              <w:left w:val="nil"/>
              <w:bottom w:val="single" w:sz="4" w:space="0" w:color="auto"/>
              <w:right w:val="single" w:sz="4" w:space="0" w:color="auto"/>
            </w:tcBorders>
          </w:tcPr>
          <w:p w14:paraId="30D369AA" w14:textId="77777777" w:rsidR="00D831D2" w:rsidRPr="00BD3E97" w:rsidRDefault="00D831D2" w:rsidP="00D831D2">
            <w:pPr>
              <w:bidi w:val="0"/>
              <w:spacing w:after="0" w:line="240" w:lineRule="auto"/>
              <w:jc w:val="center"/>
              <w:rPr>
                <w:rFonts w:ascii="Arial" w:hAnsi="Arial"/>
                <w:color w:val="000000" w:themeColor="text1"/>
                <w:sz w:val="18"/>
                <w:szCs w:val="18"/>
              </w:rPr>
            </w:pPr>
          </w:p>
        </w:tc>
      </w:tr>
      <w:tr w:rsidR="00D831D2" w:rsidRPr="00BD3E97" w14:paraId="6ABF422F" w14:textId="77777777" w:rsidTr="00E6392C">
        <w:trPr>
          <w:trHeight w:val="389"/>
        </w:trPr>
        <w:tc>
          <w:tcPr>
            <w:tcW w:w="4241" w:type="dxa"/>
            <w:tcBorders>
              <w:top w:val="single" w:sz="4" w:space="0" w:color="auto"/>
              <w:left w:val="single" w:sz="4" w:space="0" w:color="auto"/>
              <w:bottom w:val="single" w:sz="4" w:space="0" w:color="auto"/>
              <w:right w:val="single" w:sz="4" w:space="0" w:color="auto"/>
            </w:tcBorders>
            <w:noWrap/>
            <w:vAlign w:val="center"/>
            <w:hideMark/>
          </w:tcPr>
          <w:p w14:paraId="69DBB7A4" w14:textId="77777777" w:rsidR="00D831D2" w:rsidRPr="00BD3E97" w:rsidRDefault="00D831D2" w:rsidP="00D831D2">
            <w:pPr>
              <w:bidi w:val="0"/>
              <w:spacing w:after="0" w:line="240" w:lineRule="auto"/>
              <w:ind w:left="323" w:hanging="284"/>
              <w:jc w:val="both"/>
              <w:rPr>
                <w:rFonts w:ascii="Arial" w:hAnsi="Arial"/>
                <w:color w:val="000000" w:themeColor="text1"/>
                <w:sz w:val="18"/>
                <w:szCs w:val="18"/>
              </w:rPr>
            </w:pPr>
            <w:r w:rsidRPr="00BD3E97">
              <w:rPr>
                <w:rFonts w:ascii="Arial" w:hAnsi="Arial"/>
                <w:b/>
                <w:bCs/>
                <w:color w:val="000000" w:themeColor="text1"/>
                <w:sz w:val="18"/>
                <w:szCs w:val="18"/>
              </w:rPr>
              <w:lastRenderedPageBreak/>
              <w:t>Indicator 9.5.2</w:t>
            </w:r>
            <w:r w:rsidRPr="00BD3E97">
              <w:rPr>
                <w:rFonts w:ascii="Arial" w:hAnsi="Arial"/>
                <w:color w:val="000000" w:themeColor="text1"/>
                <w:sz w:val="18"/>
                <w:szCs w:val="18"/>
              </w:rPr>
              <w:t xml:space="preserve"> Researchers (in full-time equivalent) per million inhabitants</w:t>
            </w:r>
          </w:p>
          <w:p w14:paraId="2D20F455" w14:textId="77777777" w:rsidR="00D831D2" w:rsidRPr="00BD3E97" w:rsidRDefault="00D831D2" w:rsidP="00D831D2">
            <w:pPr>
              <w:bidi w:val="0"/>
              <w:spacing w:after="0" w:line="240" w:lineRule="auto"/>
              <w:ind w:left="323" w:hanging="284"/>
              <w:jc w:val="both"/>
              <w:rPr>
                <w:rFonts w:ascii="Arial" w:hAnsi="Arial"/>
                <w:color w:val="000000" w:themeColor="text1"/>
                <w:sz w:val="18"/>
                <w:szCs w:val="18"/>
              </w:rPr>
            </w:pPr>
            <w:r w:rsidRPr="00BD3E97">
              <w:rPr>
                <w:rFonts w:ascii="Arial" w:hAnsi="Arial"/>
                <w:color w:val="000000" w:themeColor="text1"/>
                <w:sz w:val="18"/>
                <w:szCs w:val="18"/>
              </w:rPr>
              <w:t xml:space="preserve">Researchers (in full-time equivalent) per million inhabitants(PCBS, 2013, </w:t>
            </w:r>
            <w:r>
              <w:rPr>
                <w:rFonts w:ascii="Arial" w:hAnsi="Arial"/>
                <w:color w:val="000000" w:themeColor="text1"/>
                <w:sz w:val="18"/>
                <w:szCs w:val="18"/>
              </w:rPr>
              <w:t>p</w:t>
            </w:r>
            <w:r w:rsidRPr="00BD3E97">
              <w:rPr>
                <w:rFonts w:ascii="Arial" w:hAnsi="Arial"/>
                <w:color w:val="000000" w:themeColor="text1"/>
                <w:sz w:val="18"/>
                <w:szCs w:val="18"/>
              </w:rPr>
              <w:t>er million population)</w:t>
            </w:r>
          </w:p>
        </w:tc>
        <w:tc>
          <w:tcPr>
            <w:tcW w:w="1531" w:type="dxa"/>
            <w:tcBorders>
              <w:top w:val="single" w:sz="4" w:space="0" w:color="auto"/>
              <w:left w:val="nil"/>
              <w:bottom w:val="single" w:sz="4" w:space="0" w:color="auto"/>
              <w:right w:val="single" w:sz="4" w:space="0" w:color="auto"/>
            </w:tcBorders>
            <w:noWrap/>
            <w:vAlign w:val="center"/>
            <w:hideMark/>
          </w:tcPr>
          <w:p w14:paraId="644A2DFA" w14:textId="77777777" w:rsidR="00D831D2" w:rsidRPr="00BD3E97" w:rsidRDefault="00D831D2" w:rsidP="00D831D2">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single" w:sz="4" w:space="0" w:color="auto"/>
              <w:left w:val="nil"/>
              <w:bottom w:val="single" w:sz="4" w:space="0" w:color="auto"/>
              <w:right w:val="single" w:sz="4" w:space="0" w:color="auto"/>
            </w:tcBorders>
            <w:vAlign w:val="center"/>
          </w:tcPr>
          <w:p w14:paraId="0CD2CC81" w14:textId="77777777" w:rsidR="00D831D2" w:rsidRPr="00BD3E97" w:rsidRDefault="00D831D2" w:rsidP="00D831D2">
            <w:pPr>
              <w:spacing w:after="0" w:line="240" w:lineRule="auto"/>
              <w:jc w:val="center"/>
              <w:rPr>
                <w:rFonts w:ascii="Arial" w:hAnsi="Arial"/>
                <w:color w:val="000000" w:themeColor="text1"/>
                <w:sz w:val="18"/>
                <w:szCs w:val="18"/>
                <w:rtl/>
                <w:lang w:bidi="ar-JO"/>
              </w:rPr>
            </w:pPr>
          </w:p>
        </w:tc>
        <w:tc>
          <w:tcPr>
            <w:tcW w:w="1299" w:type="dxa"/>
            <w:tcBorders>
              <w:top w:val="single" w:sz="4" w:space="0" w:color="auto"/>
              <w:left w:val="nil"/>
              <w:bottom w:val="single" w:sz="4" w:space="0" w:color="auto"/>
              <w:right w:val="single" w:sz="4" w:space="0" w:color="auto"/>
            </w:tcBorders>
            <w:noWrap/>
            <w:vAlign w:val="center"/>
            <w:hideMark/>
          </w:tcPr>
          <w:p w14:paraId="0DFC2DEF" w14:textId="77777777" w:rsidR="00D831D2" w:rsidRPr="00BD3E97" w:rsidRDefault="00D831D2" w:rsidP="00D831D2">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555.6</w:t>
            </w:r>
          </w:p>
        </w:tc>
        <w:tc>
          <w:tcPr>
            <w:tcW w:w="1341" w:type="dxa"/>
            <w:tcBorders>
              <w:top w:val="single" w:sz="4" w:space="0" w:color="auto"/>
              <w:left w:val="nil"/>
              <w:bottom w:val="single" w:sz="4" w:space="0" w:color="auto"/>
              <w:right w:val="single" w:sz="4" w:space="0" w:color="auto"/>
            </w:tcBorders>
            <w:vAlign w:val="center"/>
          </w:tcPr>
          <w:p w14:paraId="1E7ADEBA" w14:textId="77777777" w:rsidR="00D831D2" w:rsidRPr="00BD3E97" w:rsidRDefault="00D831D2" w:rsidP="00D831D2">
            <w:pPr>
              <w:bidi w:val="0"/>
              <w:spacing w:after="0" w:line="240" w:lineRule="auto"/>
              <w:jc w:val="center"/>
              <w:rPr>
                <w:rFonts w:ascii="Arial" w:hAnsi="Arial"/>
                <w:color w:val="000000" w:themeColor="text1"/>
                <w:sz w:val="18"/>
                <w:szCs w:val="18"/>
              </w:rPr>
            </w:pPr>
          </w:p>
        </w:tc>
      </w:tr>
      <w:tr w:rsidR="00D831D2" w:rsidRPr="00446CF3" w14:paraId="43F961E6" w14:textId="77777777" w:rsidTr="00A45E6B">
        <w:trPr>
          <w:trHeight w:val="828"/>
        </w:trPr>
        <w:tc>
          <w:tcPr>
            <w:tcW w:w="4241" w:type="dxa"/>
            <w:tcBorders>
              <w:top w:val="single" w:sz="4" w:space="0" w:color="auto"/>
              <w:left w:val="single" w:sz="4" w:space="0" w:color="auto"/>
              <w:bottom w:val="single" w:sz="4" w:space="0" w:color="auto"/>
              <w:right w:val="single" w:sz="4" w:space="0" w:color="auto"/>
            </w:tcBorders>
            <w:noWrap/>
            <w:vAlign w:val="center"/>
            <w:hideMark/>
          </w:tcPr>
          <w:p w14:paraId="465B0341" w14:textId="77777777" w:rsidR="00D831D2" w:rsidRPr="00446CF3" w:rsidRDefault="00D831D2" w:rsidP="00D831D2">
            <w:pPr>
              <w:bidi w:val="0"/>
              <w:spacing w:after="0" w:line="240" w:lineRule="auto"/>
              <w:ind w:left="323" w:hanging="284"/>
              <w:jc w:val="both"/>
              <w:rPr>
                <w:rFonts w:ascii="Arial" w:hAnsi="Arial"/>
                <w:color w:val="000000" w:themeColor="text1"/>
                <w:sz w:val="18"/>
                <w:szCs w:val="18"/>
              </w:rPr>
            </w:pPr>
            <w:r w:rsidRPr="00446CF3">
              <w:rPr>
                <w:rFonts w:ascii="Arial" w:hAnsi="Arial"/>
                <w:b/>
                <w:bCs/>
                <w:color w:val="000000" w:themeColor="text1"/>
                <w:sz w:val="18"/>
                <w:szCs w:val="18"/>
              </w:rPr>
              <w:t>Indicator 9.b.1</w:t>
            </w:r>
            <w:r w:rsidRPr="00446CF3">
              <w:rPr>
                <w:rFonts w:ascii="Arial" w:hAnsi="Arial"/>
                <w:color w:val="000000" w:themeColor="text1"/>
                <w:sz w:val="18"/>
                <w:szCs w:val="18"/>
              </w:rPr>
              <w:t xml:space="preserve"> Proportion of medium and high-tech industry value added in total value added</w:t>
            </w:r>
          </w:p>
          <w:p w14:paraId="2C98A9F5" w14:textId="77777777" w:rsidR="00D831D2" w:rsidRPr="00446CF3" w:rsidRDefault="00D831D2" w:rsidP="00D831D2">
            <w:pPr>
              <w:bidi w:val="0"/>
              <w:spacing w:after="0" w:line="240" w:lineRule="auto"/>
              <w:ind w:left="323"/>
              <w:jc w:val="both"/>
              <w:rPr>
                <w:rFonts w:ascii="Arial" w:hAnsi="Arial"/>
                <w:color w:val="000000" w:themeColor="text1"/>
                <w:sz w:val="18"/>
                <w:szCs w:val="18"/>
              </w:rPr>
            </w:pPr>
            <w:r w:rsidRPr="00446CF3">
              <w:rPr>
                <w:rFonts w:ascii="Arial" w:hAnsi="Arial"/>
                <w:color w:val="000000" w:themeColor="text1"/>
                <w:sz w:val="18"/>
                <w:szCs w:val="18"/>
              </w:rPr>
              <w:t>proportion of medium and high-tech industry value added in total value added (PCBS, 2021, percentage)</w:t>
            </w:r>
          </w:p>
        </w:tc>
        <w:tc>
          <w:tcPr>
            <w:tcW w:w="1531" w:type="dxa"/>
            <w:tcBorders>
              <w:top w:val="single" w:sz="4" w:space="0" w:color="auto"/>
              <w:left w:val="nil"/>
              <w:bottom w:val="single" w:sz="4" w:space="0" w:color="auto"/>
              <w:right w:val="single" w:sz="4" w:space="0" w:color="auto"/>
            </w:tcBorders>
            <w:noWrap/>
            <w:vAlign w:val="center"/>
            <w:hideMark/>
          </w:tcPr>
          <w:p w14:paraId="77BCF192"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Identical</w:t>
            </w:r>
          </w:p>
        </w:tc>
        <w:tc>
          <w:tcPr>
            <w:tcW w:w="1370" w:type="dxa"/>
            <w:tcBorders>
              <w:top w:val="single" w:sz="4" w:space="0" w:color="auto"/>
              <w:left w:val="nil"/>
              <w:bottom w:val="single" w:sz="4" w:space="0" w:color="auto"/>
              <w:right w:val="single" w:sz="4" w:space="0" w:color="auto"/>
            </w:tcBorders>
          </w:tcPr>
          <w:p w14:paraId="268C5884"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lang w:bidi="ar-JO"/>
              </w:rPr>
              <w:t>5.8 (2020)</w:t>
            </w:r>
          </w:p>
        </w:tc>
        <w:tc>
          <w:tcPr>
            <w:tcW w:w="1299" w:type="dxa"/>
            <w:tcBorders>
              <w:top w:val="single" w:sz="4" w:space="0" w:color="auto"/>
              <w:left w:val="nil"/>
              <w:bottom w:val="single" w:sz="4" w:space="0" w:color="auto"/>
              <w:right w:val="single" w:sz="4" w:space="0" w:color="auto"/>
            </w:tcBorders>
            <w:noWrap/>
            <w:hideMark/>
          </w:tcPr>
          <w:p w14:paraId="712C77C6"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lang w:bidi="ar-JO"/>
              </w:rPr>
              <w:t>3.5</w:t>
            </w:r>
          </w:p>
        </w:tc>
        <w:tc>
          <w:tcPr>
            <w:tcW w:w="1341" w:type="dxa"/>
            <w:tcBorders>
              <w:top w:val="single" w:sz="4" w:space="0" w:color="auto"/>
              <w:left w:val="nil"/>
              <w:bottom w:val="single" w:sz="4" w:space="0" w:color="auto"/>
              <w:right w:val="single" w:sz="4" w:space="0" w:color="auto"/>
            </w:tcBorders>
            <w:vAlign w:val="center"/>
          </w:tcPr>
          <w:p w14:paraId="51FBCD22" w14:textId="77777777" w:rsidR="00D831D2" w:rsidRPr="00446CF3" w:rsidRDefault="00D831D2" w:rsidP="00D831D2">
            <w:pPr>
              <w:bidi w:val="0"/>
              <w:spacing w:after="0" w:line="240" w:lineRule="auto"/>
              <w:jc w:val="center"/>
              <w:rPr>
                <w:rFonts w:ascii="Arial" w:hAnsi="Arial"/>
                <w:color w:val="FF0000"/>
                <w:sz w:val="18"/>
                <w:szCs w:val="18"/>
              </w:rPr>
            </w:pPr>
            <w:r w:rsidRPr="00446CF3">
              <w:rPr>
                <w:rFonts w:ascii="Arial" w:hAnsi="Arial"/>
                <w:color w:val="000000" w:themeColor="text1"/>
                <w:sz w:val="18"/>
                <w:szCs w:val="18"/>
              </w:rPr>
              <w:t>Decrease</w:t>
            </w:r>
          </w:p>
        </w:tc>
      </w:tr>
      <w:tr w:rsidR="00D831D2" w:rsidRPr="00446CF3" w14:paraId="14AE3CE2" w14:textId="77777777" w:rsidTr="00E6392C">
        <w:trPr>
          <w:trHeight w:val="389"/>
        </w:trPr>
        <w:tc>
          <w:tcPr>
            <w:tcW w:w="4241" w:type="dxa"/>
            <w:tcBorders>
              <w:top w:val="single" w:sz="4" w:space="0" w:color="auto"/>
              <w:left w:val="single" w:sz="4" w:space="0" w:color="auto"/>
              <w:bottom w:val="nil"/>
              <w:right w:val="single" w:sz="4" w:space="0" w:color="auto"/>
            </w:tcBorders>
            <w:noWrap/>
            <w:vAlign w:val="center"/>
          </w:tcPr>
          <w:p w14:paraId="512D9882" w14:textId="77777777" w:rsidR="00D831D2" w:rsidRPr="00446CF3" w:rsidRDefault="00D831D2" w:rsidP="00D831D2">
            <w:pPr>
              <w:bidi w:val="0"/>
              <w:spacing w:after="0" w:line="240" w:lineRule="auto"/>
              <w:ind w:left="323" w:hanging="284"/>
              <w:jc w:val="both"/>
              <w:rPr>
                <w:rFonts w:ascii="Arial" w:hAnsi="Arial"/>
                <w:b/>
                <w:bCs/>
                <w:color w:val="000000" w:themeColor="text1"/>
                <w:sz w:val="18"/>
                <w:szCs w:val="18"/>
              </w:rPr>
            </w:pPr>
            <w:r w:rsidRPr="00446CF3">
              <w:rPr>
                <w:rFonts w:ascii="Arial" w:hAnsi="Arial"/>
                <w:b/>
                <w:bCs/>
                <w:color w:val="000000" w:themeColor="text1"/>
                <w:sz w:val="18"/>
                <w:szCs w:val="18"/>
              </w:rPr>
              <w:t xml:space="preserve">Indicator 9.c.1  </w:t>
            </w:r>
            <w:r w:rsidRPr="00446CF3">
              <w:rPr>
                <w:rFonts w:ascii="Arial" w:hAnsi="Arial"/>
                <w:color w:val="000000" w:themeColor="text1"/>
                <w:sz w:val="18"/>
                <w:szCs w:val="18"/>
              </w:rPr>
              <w:t>Proportion of population covered by a mobile network, by technology</w:t>
            </w:r>
          </w:p>
        </w:tc>
        <w:tc>
          <w:tcPr>
            <w:tcW w:w="1531" w:type="dxa"/>
            <w:tcBorders>
              <w:top w:val="single" w:sz="4" w:space="0" w:color="auto"/>
              <w:left w:val="nil"/>
              <w:bottom w:val="nil"/>
              <w:right w:val="single" w:sz="4" w:space="0" w:color="auto"/>
            </w:tcBorders>
            <w:noWrap/>
          </w:tcPr>
          <w:p w14:paraId="5D4098E7" w14:textId="77777777" w:rsidR="00D831D2" w:rsidRPr="00446CF3" w:rsidRDefault="00D831D2" w:rsidP="00D831D2">
            <w:pPr>
              <w:bidi w:val="0"/>
              <w:spacing w:after="0" w:line="240" w:lineRule="auto"/>
              <w:jc w:val="center"/>
              <w:rPr>
                <w:rFonts w:ascii="Arial" w:hAnsi="Arial"/>
                <w:color w:val="000000" w:themeColor="text1"/>
                <w:sz w:val="18"/>
                <w:szCs w:val="18"/>
              </w:rPr>
            </w:pPr>
          </w:p>
        </w:tc>
        <w:tc>
          <w:tcPr>
            <w:tcW w:w="1370" w:type="dxa"/>
            <w:tcBorders>
              <w:top w:val="single" w:sz="4" w:space="0" w:color="auto"/>
              <w:left w:val="nil"/>
              <w:bottom w:val="nil"/>
              <w:right w:val="single" w:sz="4" w:space="0" w:color="auto"/>
            </w:tcBorders>
          </w:tcPr>
          <w:p w14:paraId="1236C26B" w14:textId="77777777" w:rsidR="00D831D2" w:rsidRPr="00446CF3" w:rsidRDefault="00D831D2" w:rsidP="00D831D2">
            <w:pPr>
              <w:spacing w:after="0" w:line="240" w:lineRule="auto"/>
              <w:jc w:val="center"/>
              <w:rPr>
                <w:rFonts w:ascii="Arial" w:hAnsi="Arial"/>
                <w:color w:val="000000" w:themeColor="text1"/>
                <w:sz w:val="18"/>
                <w:szCs w:val="18"/>
                <w:rtl/>
              </w:rPr>
            </w:pPr>
          </w:p>
        </w:tc>
        <w:tc>
          <w:tcPr>
            <w:tcW w:w="1299" w:type="dxa"/>
            <w:tcBorders>
              <w:top w:val="single" w:sz="4" w:space="0" w:color="auto"/>
              <w:left w:val="nil"/>
              <w:bottom w:val="nil"/>
              <w:right w:val="single" w:sz="4" w:space="0" w:color="auto"/>
            </w:tcBorders>
            <w:noWrap/>
          </w:tcPr>
          <w:p w14:paraId="59CD36F2" w14:textId="77777777" w:rsidR="00D831D2" w:rsidRPr="00446CF3" w:rsidRDefault="00D831D2" w:rsidP="00D831D2">
            <w:pPr>
              <w:spacing w:after="0" w:line="240" w:lineRule="auto"/>
              <w:jc w:val="center"/>
              <w:rPr>
                <w:rFonts w:ascii="Arial" w:hAnsi="Arial"/>
                <w:color w:val="000000" w:themeColor="text1"/>
                <w:sz w:val="18"/>
                <w:szCs w:val="18"/>
                <w:lang w:bidi="ar-JO"/>
              </w:rPr>
            </w:pPr>
          </w:p>
        </w:tc>
        <w:tc>
          <w:tcPr>
            <w:tcW w:w="1341" w:type="dxa"/>
            <w:tcBorders>
              <w:top w:val="single" w:sz="4" w:space="0" w:color="auto"/>
              <w:left w:val="nil"/>
              <w:bottom w:val="nil"/>
              <w:right w:val="single" w:sz="4" w:space="0" w:color="auto"/>
            </w:tcBorders>
          </w:tcPr>
          <w:p w14:paraId="30C1C4F8" w14:textId="77777777" w:rsidR="00D831D2" w:rsidRPr="00446CF3" w:rsidRDefault="00D831D2" w:rsidP="00D831D2">
            <w:pPr>
              <w:bidi w:val="0"/>
              <w:spacing w:after="0" w:line="240" w:lineRule="auto"/>
              <w:jc w:val="center"/>
              <w:rPr>
                <w:rFonts w:ascii="Arial" w:hAnsi="Arial"/>
                <w:color w:val="000000" w:themeColor="text1"/>
                <w:sz w:val="18"/>
                <w:szCs w:val="18"/>
              </w:rPr>
            </w:pPr>
          </w:p>
        </w:tc>
      </w:tr>
      <w:tr w:rsidR="00D831D2" w:rsidRPr="00446CF3" w14:paraId="70622D6A" w14:textId="77777777" w:rsidTr="00E6392C">
        <w:trPr>
          <w:trHeight w:val="389"/>
        </w:trPr>
        <w:tc>
          <w:tcPr>
            <w:tcW w:w="4241" w:type="dxa"/>
            <w:tcBorders>
              <w:top w:val="nil"/>
              <w:left w:val="single" w:sz="4" w:space="0" w:color="auto"/>
              <w:bottom w:val="nil"/>
              <w:right w:val="single" w:sz="4" w:space="0" w:color="auto"/>
            </w:tcBorders>
            <w:noWrap/>
            <w:vAlign w:val="center"/>
          </w:tcPr>
          <w:p w14:paraId="7B6254F5" w14:textId="77777777" w:rsidR="00D831D2" w:rsidRPr="00446CF3" w:rsidRDefault="00D831D2" w:rsidP="00D831D2">
            <w:pPr>
              <w:bidi w:val="0"/>
              <w:spacing w:after="0" w:line="240" w:lineRule="auto"/>
              <w:ind w:left="323"/>
              <w:jc w:val="both"/>
              <w:rPr>
                <w:rFonts w:ascii="Arial" w:hAnsi="Arial"/>
                <w:color w:val="000000" w:themeColor="text1"/>
                <w:sz w:val="18"/>
                <w:szCs w:val="18"/>
              </w:rPr>
            </w:pPr>
            <w:r w:rsidRPr="00446CF3">
              <w:rPr>
                <w:rFonts w:ascii="Arial" w:hAnsi="Arial"/>
                <w:color w:val="000000" w:themeColor="text1"/>
                <w:sz w:val="18"/>
                <w:szCs w:val="18"/>
              </w:rPr>
              <w:t>Proportion of population covered by a mobile network, by technology/ 2G (PCBS, 2021, Percentage)</w:t>
            </w:r>
          </w:p>
        </w:tc>
        <w:tc>
          <w:tcPr>
            <w:tcW w:w="1531" w:type="dxa"/>
            <w:tcBorders>
              <w:top w:val="nil"/>
              <w:left w:val="nil"/>
              <w:bottom w:val="nil"/>
              <w:right w:val="single" w:sz="4" w:space="0" w:color="auto"/>
            </w:tcBorders>
            <w:noWrap/>
          </w:tcPr>
          <w:p w14:paraId="06623750"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Identical</w:t>
            </w:r>
          </w:p>
        </w:tc>
        <w:tc>
          <w:tcPr>
            <w:tcW w:w="1370" w:type="dxa"/>
            <w:tcBorders>
              <w:top w:val="nil"/>
              <w:left w:val="nil"/>
              <w:bottom w:val="nil"/>
              <w:right w:val="single" w:sz="4" w:space="0" w:color="auto"/>
            </w:tcBorders>
          </w:tcPr>
          <w:p w14:paraId="00F0B8BB" w14:textId="77777777" w:rsidR="00D831D2" w:rsidRPr="00446CF3" w:rsidRDefault="00D831D2" w:rsidP="00D831D2">
            <w:pPr>
              <w:spacing w:after="0" w:line="240" w:lineRule="auto"/>
              <w:jc w:val="center"/>
              <w:rPr>
                <w:rFonts w:ascii="Arial" w:hAnsi="Arial"/>
                <w:color w:val="000000" w:themeColor="text1"/>
                <w:sz w:val="18"/>
                <w:szCs w:val="18"/>
                <w:lang w:bidi="ar-JO"/>
              </w:rPr>
            </w:pPr>
            <w:r w:rsidRPr="00446CF3">
              <w:rPr>
                <w:rFonts w:ascii="Arial" w:hAnsi="Arial"/>
                <w:color w:val="000000" w:themeColor="text1"/>
                <w:sz w:val="18"/>
                <w:szCs w:val="18"/>
                <w:rtl/>
                <w:lang w:bidi="ar-JO"/>
              </w:rPr>
              <w:t>(2020)98.0</w:t>
            </w:r>
          </w:p>
        </w:tc>
        <w:tc>
          <w:tcPr>
            <w:tcW w:w="1299" w:type="dxa"/>
            <w:tcBorders>
              <w:top w:val="nil"/>
              <w:left w:val="nil"/>
              <w:bottom w:val="nil"/>
              <w:right w:val="single" w:sz="4" w:space="0" w:color="auto"/>
            </w:tcBorders>
            <w:noWrap/>
          </w:tcPr>
          <w:p w14:paraId="2DEB880B"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lang w:bidi="ar-JO"/>
              </w:rPr>
              <w:t>98.0</w:t>
            </w:r>
          </w:p>
        </w:tc>
        <w:tc>
          <w:tcPr>
            <w:tcW w:w="1341" w:type="dxa"/>
            <w:tcBorders>
              <w:top w:val="nil"/>
              <w:left w:val="nil"/>
              <w:bottom w:val="nil"/>
              <w:right w:val="single" w:sz="4" w:space="0" w:color="auto"/>
            </w:tcBorders>
          </w:tcPr>
          <w:p w14:paraId="3FCEEAFC"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No change</w:t>
            </w:r>
          </w:p>
          <w:p w14:paraId="0019947D" w14:textId="77777777" w:rsidR="00D831D2" w:rsidRPr="00446CF3" w:rsidRDefault="00D831D2" w:rsidP="00D831D2">
            <w:pPr>
              <w:bidi w:val="0"/>
              <w:spacing w:after="0" w:line="240" w:lineRule="auto"/>
              <w:jc w:val="center"/>
              <w:rPr>
                <w:rFonts w:ascii="Arial" w:hAnsi="Arial"/>
                <w:color w:val="000000" w:themeColor="text1"/>
                <w:sz w:val="18"/>
                <w:szCs w:val="18"/>
              </w:rPr>
            </w:pPr>
          </w:p>
        </w:tc>
      </w:tr>
      <w:tr w:rsidR="00D831D2" w:rsidRPr="00446CF3" w14:paraId="773937A9" w14:textId="77777777" w:rsidTr="00E6392C">
        <w:trPr>
          <w:trHeight w:val="389"/>
        </w:trPr>
        <w:tc>
          <w:tcPr>
            <w:tcW w:w="4241" w:type="dxa"/>
            <w:tcBorders>
              <w:top w:val="nil"/>
              <w:left w:val="single" w:sz="4" w:space="0" w:color="auto"/>
              <w:bottom w:val="single" w:sz="4" w:space="0" w:color="auto"/>
              <w:right w:val="single" w:sz="4" w:space="0" w:color="auto"/>
            </w:tcBorders>
            <w:noWrap/>
            <w:vAlign w:val="center"/>
          </w:tcPr>
          <w:p w14:paraId="01752995" w14:textId="77777777" w:rsidR="00D831D2" w:rsidRPr="00446CF3" w:rsidRDefault="00D831D2" w:rsidP="00D831D2">
            <w:pPr>
              <w:bidi w:val="0"/>
              <w:spacing w:after="0" w:line="240" w:lineRule="auto"/>
              <w:ind w:left="323"/>
              <w:jc w:val="both"/>
              <w:rPr>
                <w:rFonts w:ascii="Arial" w:hAnsi="Arial"/>
                <w:color w:val="000000" w:themeColor="text1"/>
                <w:sz w:val="18"/>
                <w:szCs w:val="18"/>
              </w:rPr>
            </w:pPr>
            <w:r w:rsidRPr="00446CF3">
              <w:rPr>
                <w:rFonts w:ascii="Arial" w:hAnsi="Arial"/>
                <w:color w:val="000000" w:themeColor="text1"/>
                <w:sz w:val="18"/>
                <w:szCs w:val="18"/>
              </w:rPr>
              <w:t>Proportion of population covered by a mobile network, by technology/ 3G (PCBS, 2021, percentage)</w:t>
            </w:r>
          </w:p>
        </w:tc>
        <w:tc>
          <w:tcPr>
            <w:tcW w:w="1531" w:type="dxa"/>
            <w:tcBorders>
              <w:top w:val="nil"/>
              <w:left w:val="nil"/>
              <w:bottom w:val="single" w:sz="4" w:space="0" w:color="auto"/>
              <w:right w:val="single" w:sz="4" w:space="0" w:color="auto"/>
            </w:tcBorders>
            <w:noWrap/>
          </w:tcPr>
          <w:p w14:paraId="06C8F3CD"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Identical</w:t>
            </w:r>
          </w:p>
        </w:tc>
        <w:tc>
          <w:tcPr>
            <w:tcW w:w="1370" w:type="dxa"/>
            <w:tcBorders>
              <w:top w:val="nil"/>
              <w:left w:val="nil"/>
              <w:bottom w:val="single" w:sz="4" w:space="0" w:color="auto"/>
              <w:right w:val="single" w:sz="4" w:space="0" w:color="auto"/>
            </w:tcBorders>
          </w:tcPr>
          <w:p w14:paraId="663DBB90" w14:textId="77777777" w:rsidR="00D831D2" w:rsidRPr="00446CF3" w:rsidRDefault="00D831D2" w:rsidP="00D831D2">
            <w:pPr>
              <w:spacing w:after="0" w:line="240" w:lineRule="auto"/>
              <w:jc w:val="center"/>
              <w:rPr>
                <w:rFonts w:ascii="Arial" w:hAnsi="Arial"/>
                <w:color w:val="000000" w:themeColor="text1"/>
                <w:sz w:val="18"/>
                <w:szCs w:val="18"/>
                <w:lang w:bidi="ar-JO"/>
              </w:rPr>
            </w:pPr>
            <w:r w:rsidRPr="00446CF3">
              <w:rPr>
                <w:rFonts w:ascii="Arial" w:hAnsi="Arial"/>
                <w:color w:val="000000" w:themeColor="text1"/>
                <w:sz w:val="18"/>
                <w:szCs w:val="18"/>
                <w:rtl/>
                <w:lang w:bidi="ar-JO"/>
              </w:rPr>
              <w:t>(2020)55.0</w:t>
            </w:r>
          </w:p>
        </w:tc>
        <w:tc>
          <w:tcPr>
            <w:tcW w:w="1299" w:type="dxa"/>
            <w:tcBorders>
              <w:top w:val="nil"/>
              <w:left w:val="nil"/>
              <w:bottom w:val="single" w:sz="4" w:space="0" w:color="auto"/>
              <w:right w:val="single" w:sz="4" w:space="0" w:color="auto"/>
            </w:tcBorders>
            <w:noWrap/>
          </w:tcPr>
          <w:p w14:paraId="69518293" w14:textId="77777777" w:rsidR="00D831D2" w:rsidRPr="00446CF3" w:rsidRDefault="00D831D2" w:rsidP="00D831D2">
            <w:pPr>
              <w:spacing w:after="0" w:line="240" w:lineRule="auto"/>
              <w:jc w:val="center"/>
              <w:rPr>
                <w:rFonts w:ascii="Arial" w:hAnsi="Arial"/>
                <w:color w:val="000000" w:themeColor="text1"/>
                <w:sz w:val="18"/>
                <w:szCs w:val="18"/>
                <w:rtl/>
                <w:lang w:bidi="ar-JO"/>
              </w:rPr>
            </w:pPr>
            <w:r w:rsidRPr="00446CF3">
              <w:rPr>
                <w:rFonts w:ascii="Arial" w:hAnsi="Arial"/>
                <w:color w:val="000000" w:themeColor="text1"/>
                <w:sz w:val="18"/>
                <w:szCs w:val="18"/>
                <w:lang w:bidi="ar-JO"/>
              </w:rPr>
              <w:t>56.0</w:t>
            </w:r>
          </w:p>
        </w:tc>
        <w:tc>
          <w:tcPr>
            <w:tcW w:w="1341" w:type="dxa"/>
            <w:tcBorders>
              <w:top w:val="nil"/>
              <w:left w:val="nil"/>
              <w:bottom w:val="single" w:sz="4" w:space="0" w:color="auto"/>
              <w:right w:val="single" w:sz="4" w:space="0" w:color="auto"/>
            </w:tcBorders>
          </w:tcPr>
          <w:p w14:paraId="770B4247" w14:textId="77777777" w:rsidR="00D831D2" w:rsidRPr="00446CF3" w:rsidRDefault="00D831D2" w:rsidP="00D831D2">
            <w:pPr>
              <w:bidi w:val="0"/>
              <w:spacing w:after="0" w:line="240" w:lineRule="auto"/>
              <w:jc w:val="center"/>
              <w:rPr>
                <w:rFonts w:ascii="Arial" w:hAnsi="Arial"/>
                <w:color w:val="000000" w:themeColor="text1"/>
                <w:sz w:val="18"/>
                <w:szCs w:val="18"/>
              </w:rPr>
            </w:pPr>
            <w:r w:rsidRPr="00446CF3">
              <w:rPr>
                <w:rFonts w:ascii="Arial" w:hAnsi="Arial"/>
                <w:color w:val="000000" w:themeColor="text1"/>
                <w:sz w:val="18"/>
                <w:szCs w:val="18"/>
              </w:rPr>
              <w:t>Increase</w:t>
            </w:r>
          </w:p>
          <w:p w14:paraId="05FA87D2" w14:textId="77777777" w:rsidR="00D831D2" w:rsidRPr="00446CF3" w:rsidRDefault="00D831D2" w:rsidP="00D831D2">
            <w:pPr>
              <w:bidi w:val="0"/>
              <w:spacing w:after="0" w:line="240" w:lineRule="auto"/>
              <w:jc w:val="center"/>
              <w:rPr>
                <w:rFonts w:ascii="Arial" w:hAnsi="Arial"/>
                <w:color w:val="000000" w:themeColor="text1"/>
                <w:sz w:val="18"/>
                <w:szCs w:val="18"/>
              </w:rPr>
            </w:pPr>
          </w:p>
        </w:tc>
      </w:tr>
    </w:tbl>
    <w:p w14:paraId="69194D52" w14:textId="77777777" w:rsidR="0071415F" w:rsidRPr="00446CF3" w:rsidRDefault="0071415F" w:rsidP="0071415F">
      <w:pPr>
        <w:bidi w:val="0"/>
        <w:spacing w:after="0" w:line="240" w:lineRule="auto"/>
        <w:jc w:val="both"/>
        <w:rPr>
          <w:rFonts w:ascii="Times New Roman" w:hAnsi="Times New Roman" w:cs="Times New Roman"/>
          <w:b/>
          <w:iCs/>
          <w:color w:val="000000" w:themeColor="text1"/>
          <w:sz w:val="24"/>
          <w:szCs w:val="24"/>
        </w:rPr>
      </w:pPr>
    </w:p>
    <w:p w14:paraId="0AB8379B"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446CF3">
        <w:rPr>
          <w:rFonts w:ascii="Times New Roman" w:hAnsi="Times New Roman" w:cs="Times New Roman"/>
          <w:b/>
          <w:bCs/>
          <w:color w:val="000000" w:themeColor="text1"/>
          <w:sz w:val="24"/>
          <w:szCs w:val="24"/>
        </w:rPr>
        <w:t xml:space="preserve">b. Reported </w:t>
      </w:r>
      <w:r w:rsidR="001F478A" w:rsidRPr="00446CF3">
        <w:rPr>
          <w:rFonts w:ascii="Times New Roman" w:hAnsi="Times New Roman" w:cs="Times New Roman"/>
          <w:b/>
          <w:bCs/>
          <w:color w:val="000000" w:themeColor="text1"/>
          <w:sz w:val="24"/>
          <w:szCs w:val="24"/>
        </w:rPr>
        <w:t>i</w:t>
      </w:r>
      <w:r w:rsidRPr="00446CF3">
        <w:rPr>
          <w:rFonts w:ascii="Times New Roman" w:hAnsi="Times New Roman" w:cs="Times New Roman"/>
          <w:b/>
          <w:bCs/>
          <w:color w:val="000000" w:themeColor="text1"/>
          <w:sz w:val="24"/>
          <w:szCs w:val="24"/>
        </w:rPr>
        <w:t xml:space="preserve">ndicators by </w:t>
      </w:r>
      <w:r w:rsidR="001F478A" w:rsidRPr="00446CF3">
        <w:rPr>
          <w:rFonts w:ascii="Times New Roman" w:hAnsi="Times New Roman" w:cs="Times New Roman"/>
          <w:b/>
          <w:bCs/>
          <w:color w:val="000000" w:themeColor="text1"/>
          <w:sz w:val="24"/>
          <w:szCs w:val="24"/>
        </w:rPr>
        <w:t>o</w:t>
      </w:r>
      <w:r w:rsidRPr="00446CF3">
        <w:rPr>
          <w:rFonts w:ascii="Times New Roman" w:hAnsi="Times New Roman" w:cs="Times New Roman"/>
          <w:b/>
          <w:bCs/>
          <w:color w:val="000000" w:themeColor="text1"/>
          <w:sz w:val="24"/>
          <w:szCs w:val="24"/>
        </w:rPr>
        <w:t xml:space="preserve">ther </w:t>
      </w:r>
      <w:r w:rsidR="001F478A" w:rsidRPr="00446CF3">
        <w:rPr>
          <w:rFonts w:ascii="Times New Roman" w:hAnsi="Times New Roman" w:cs="Times New Roman"/>
          <w:b/>
          <w:bCs/>
          <w:color w:val="000000" w:themeColor="text1"/>
          <w:sz w:val="24"/>
          <w:szCs w:val="24"/>
        </w:rPr>
        <w:t>s</w:t>
      </w:r>
      <w:r w:rsidRPr="00446CF3">
        <w:rPr>
          <w:rFonts w:ascii="Times New Roman" w:hAnsi="Times New Roman" w:cs="Times New Roman"/>
          <w:b/>
          <w:bCs/>
          <w:color w:val="000000" w:themeColor="text1"/>
          <w:sz w:val="24"/>
          <w:szCs w:val="24"/>
        </w:rPr>
        <w:t>ources</w:t>
      </w:r>
    </w:p>
    <w:p w14:paraId="5839EF9A" w14:textId="77777777" w:rsidR="0071415F" w:rsidRPr="0090647B" w:rsidRDefault="0071415F" w:rsidP="005D19F1">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446CF3">
        <w:rPr>
          <w:rFonts w:ascii="Times New Roman" w:hAnsi="Times New Roman" w:cs="Times New Roman"/>
          <w:color w:val="000000" w:themeColor="text1"/>
          <w:sz w:val="24"/>
          <w:szCs w:val="24"/>
        </w:rPr>
        <w:t xml:space="preserve">There are </w:t>
      </w:r>
      <w:r w:rsidR="001F478A" w:rsidRPr="00446CF3">
        <w:rPr>
          <w:rFonts w:ascii="Times New Roman" w:hAnsi="Times New Roman" w:cs="Times New Roman"/>
          <w:color w:val="000000" w:themeColor="text1"/>
          <w:sz w:val="24"/>
          <w:szCs w:val="24"/>
        </w:rPr>
        <w:t xml:space="preserve">an </w:t>
      </w:r>
      <w:r w:rsidRPr="00446CF3">
        <w:rPr>
          <w:rFonts w:ascii="Times New Roman" w:hAnsi="Times New Roman" w:cs="Times New Roman"/>
          <w:color w:val="000000" w:themeColor="text1"/>
          <w:sz w:val="24"/>
          <w:szCs w:val="24"/>
        </w:rPr>
        <w:t xml:space="preserve">additional </w:t>
      </w:r>
      <w:r w:rsidR="005D19F1" w:rsidRPr="00446CF3">
        <w:rPr>
          <w:rFonts w:ascii="Times New Roman" w:hAnsi="Times New Roman" w:cs="Times New Roman"/>
          <w:color w:val="000000" w:themeColor="text1"/>
          <w:sz w:val="24"/>
          <w:szCs w:val="24"/>
        </w:rPr>
        <w:t>two</w:t>
      </w:r>
      <w:r w:rsidR="001F478A" w:rsidRPr="00446CF3">
        <w:rPr>
          <w:rFonts w:ascii="Times New Roman" w:hAnsi="Times New Roman" w:cs="Times New Roman"/>
          <w:color w:val="000000" w:themeColor="text1"/>
          <w:sz w:val="24"/>
          <w:szCs w:val="24"/>
        </w:rPr>
        <w:t xml:space="preserve"> indicators</w:t>
      </w:r>
      <w:r w:rsidRPr="00446CF3">
        <w:rPr>
          <w:rFonts w:ascii="Times New Roman" w:hAnsi="Times New Roman" w:cs="Times New Roman"/>
          <w:color w:val="000000" w:themeColor="text1"/>
          <w:sz w:val="24"/>
          <w:szCs w:val="24"/>
        </w:rPr>
        <w:t xml:space="preserve"> reported by other sources that </w:t>
      </w:r>
      <w:r w:rsidR="001F478A" w:rsidRPr="00446CF3">
        <w:rPr>
          <w:rFonts w:ascii="Times New Roman" w:hAnsi="Times New Roman" w:cs="Times New Roman"/>
          <w:color w:val="000000" w:themeColor="text1"/>
          <w:sz w:val="24"/>
          <w:szCs w:val="24"/>
        </w:rPr>
        <w:t xml:space="preserve">are </w:t>
      </w:r>
      <w:r w:rsidRPr="00446CF3">
        <w:rPr>
          <w:rFonts w:ascii="Times New Roman" w:hAnsi="Times New Roman" w:cs="Times New Roman"/>
          <w:color w:val="000000" w:themeColor="text1"/>
          <w:sz w:val="24"/>
          <w:szCs w:val="24"/>
        </w:rPr>
        <w:t xml:space="preserve">available on UNSD-Database for Goal 9 referring to </w:t>
      </w:r>
      <w:r w:rsidR="001F478A" w:rsidRPr="00446CF3">
        <w:rPr>
          <w:rFonts w:ascii="Times New Roman" w:hAnsi="Times New Roman" w:cs="Times New Roman"/>
          <w:color w:val="000000" w:themeColor="text1"/>
          <w:sz w:val="24"/>
          <w:szCs w:val="24"/>
        </w:rPr>
        <w:t>two</w:t>
      </w:r>
      <w:r w:rsidRPr="00446CF3">
        <w:rPr>
          <w:rFonts w:ascii="Times New Roman" w:hAnsi="Times New Roman" w:cs="Times New Roman"/>
          <w:color w:val="000000" w:themeColor="text1"/>
          <w:sz w:val="24"/>
          <w:szCs w:val="24"/>
        </w:rPr>
        <w:t xml:space="preserve"> of the </w:t>
      </w:r>
      <w:r w:rsidR="001F478A" w:rsidRPr="00446CF3">
        <w:rPr>
          <w:rFonts w:ascii="Times New Roman" w:hAnsi="Times New Roman" w:cs="Times New Roman"/>
          <w:color w:val="000000" w:themeColor="text1"/>
          <w:sz w:val="24"/>
          <w:szCs w:val="24"/>
        </w:rPr>
        <w:t>nine</w:t>
      </w:r>
      <w:r w:rsidRPr="00446CF3">
        <w:rPr>
          <w:rFonts w:ascii="Times New Roman" w:hAnsi="Times New Roman" w:cs="Times New Roman"/>
          <w:color w:val="000000" w:themeColor="text1"/>
          <w:sz w:val="24"/>
          <w:szCs w:val="24"/>
        </w:rPr>
        <w:t>targets</w:t>
      </w:r>
      <w:r w:rsidR="001F478A" w:rsidRPr="00446CF3">
        <w:rPr>
          <w:rFonts w:ascii="Times New Roman" w:hAnsi="Times New Roman" w:cs="Times New Roman"/>
          <w:color w:val="000000" w:themeColor="text1"/>
          <w:sz w:val="24"/>
          <w:szCs w:val="24"/>
        </w:rPr>
        <w:t>;</w:t>
      </w:r>
      <w:r w:rsidR="001F478A" w:rsidRPr="00446CF3">
        <w:rPr>
          <w:rFonts w:ascii="Times New Roman" w:hAnsi="Times New Roman" w:cs="Times New Roman"/>
          <w:sz w:val="24"/>
          <w:szCs w:val="24"/>
        </w:rPr>
        <w:t>t</w:t>
      </w:r>
      <w:r w:rsidRPr="00446CF3">
        <w:rPr>
          <w:rFonts w:ascii="Times New Roman" w:hAnsi="Times New Roman" w:cs="Times New Roman"/>
          <w:sz w:val="24"/>
          <w:szCs w:val="24"/>
        </w:rPr>
        <w:t>herefore, 8</w:t>
      </w:r>
      <w:r>
        <w:rPr>
          <w:rFonts w:ascii="Times New Roman" w:hAnsi="Times New Roman" w:cs="Times New Roman"/>
          <w:sz w:val="24"/>
          <w:szCs w:val="24"/>
        </w:rPr>
        <w:t xml:space="preserve">8.8%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Pr="00345E00">
        <w:rPr>
          <w:rFonts w:ascii="Times New Roman" w:hAnsi="Times New Roman" w:cs="Times New Roman"/>
          <w:sz w:val="24"/>
          <w:szCs w:val="24"/>
        </w:rPr>
        <w:t>eight</w:t>
      </w:r>
      <w:r>
        <w:rPr>
          <w:rFonts w:ascii="Times New Roman" w:hAnsi="Times New Roman" w:cs="Times New Roman"/>
          <w:sz w:val="24"/>
          <w:szCs w:val="24"/>
        </w:rPr>
        <w:t xml:space="preserve">out of </w:t>
      </w:r>
      <w:r w:rsidRPr="005400EE">
        <w:rPr>
          <w:rFonts w:ascii="Times New Roman" w:hAnsi="Times New Roman" w:cs="Times New Roman"/>
          <w:sz w:val="24"/>
          <w:szCs w:val="24"/>
        </w:rPr>
        <w:t>nine</w:t>
      </w:r>
      <w:r>
        <w:rPr>
          <w:rFonts w:ascii="Times New Roman" w:hAnsi="Times New Roman" w:cs="Times New Roman"/>
          <w:sz w:val="24"/>
          <w:szCs w:val="24"/>
        </w:rPr>
        <w:t>)</w:t>
      </w:r>
      <w:r w:rsidR="001F478A">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1F478A">
        <w:rPr>
          <w:rFonts w:ascii="Times New Roman" w:hAnsi="Times New Roman" w:cs="Times New Roman"/>
          <w:sz w:val="24"/>
          <w:szCs w:val="24"/>
        </w:rPr>
        <w:t xml:space="preserve"> covered.</w:t>
      </w:r>
    </w:p>
    <w:p w14:paraId="41A9CCEC" w14:textId="77777777" w:rsidR="0071415F" w:rsidRPr="00025BA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A275BBE" w14:textId="77777777" w:rsidR="0071415F" w:rsidRPr="0090647B" w:rsidRDefault="0071415F" w:rsidP="0071415F">
      <w:pPr>
        <w:bidi w:val="0"/>
        <w:spacing w:after="0" w:line="240" w:lineRule="auto"/>
        <w:jc w:val="center"/>
        <w:rPr>
          <w:rFonts w:ascii="Arial" w:hAnsi="Arial"/>
          <w:b/>
          <w:bCs/>
          <w:color w:val="000000" w:themeColor="text1"/>
          <w:lang w:eastAsia="ar-SA"/>
        </w:rPr>
      </w:pPr>
      <w:r w:rsidRPr="0090647B">
        <w:rPr>
          <w:rFonts w:ascii="Arial" w:hAnsi="Arial"/>
          <w:b/>
          <w:bCs/>
          <w:color w:val="000000" w:themeColor="text1"/>
          <w:lang w:eastAsia="ar-SA"/>
        </w:rPr>
        <w:t xml:space="preserve">Table 9.2: List of SDGs </w:t>
      </w:r>
      <w:r w:rsidR="000A3092">
        <w:rPr>
          <w:rFonts w:ascii="Arial" w:hAnsi="Arial"/>
          <w:b/>
          <w:bCs/>
          <w:color w:val="000000" w:themeColor="text1"/>
          <w:lang w:eastAsia="ar-SA"/>
        </w:rPr>
        <w:t>I</w:t>
      </w:r>
      <w:r w:rsidRPr="0090647B">
        <w:rPr>
          <w:rFonts w:ascii="Arial" w:hAnsi="Arial"/>
          <w:b/>
          <w:bCs/>
          <w:color w:val="000000" w:themeColor="text1"/>
          <w:lang w:eastAsia="ar-SA"/>
        </w:rPr>
        <w:t xml:space="preserve">ndicators </w:t>
      </w:r>
      <w:r w:rsidR="000A3092">
        <w:rPr>
          <w:rFonts w:ascii="Arial" w:hAnsi="Arial"/>
          <w:b/>
          <w:bCs/>
          <w:color w:val="000000" w:themeColor="text1"/>
          <w:lang w:eastAsia="ar-SA"/>
        </w:rPr>
        <w:t>R</w:t>
      </w:r>
      <w:r w:rsidRPr="0090647B">
        <w:rPr>
          <w:rFonts w:ascii="Arial" w:hAnsi="Arial"/>
          <w:b/>
          <w:bCs/>
          <w:color w:val="000000" w:themeColor="text1"/>
          <w:lang w:eastAsia="ar-SA"/>
        </w:rPr>
        <w:t xml:space="preserve">eleased by </w:t>
      </w:r>
      <w:r w:rsidRPr="00E6392C">
        <w:rPr>
          <w:rFonts w:ascii="Arial" w:hAnsi="Arial"/>
          <w:b/>
          <w:color w:val="000000" w:themeColor="text1"/>
        </w:rPr>
        <w:t>Other Sources</w:t>
      </w:r>
    </w:p>
    <w:p w14:paraId="42F751FA" w14:textId="77777777" w:rsidR="0071415F" w:rsidRPr="0090647B" w:rsidRDefault="0071415F" w:rsidP="0071415F">
      <w:pPr>
        <w:bidi w:val="0"/>
        <w:spacing w:after="0" w:line="240" w:lineRule="auto"/>
        <w:jc w:val="center"/>
        <w:rPr>
          <w:rStyle w:val="Bodytext8pt"/>
          <w:bCs w:val="0"/>
          <w:color w:val="000000" w:themeColor="text1"/>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90647B" w14:paraId="336B61EE" w14:textId="77777777" w:rsidTr="0071415F">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0C860" w14:textId="77777777" w:rsidR="0071415F" w:rsidRPr="0090647B" w:rsidRDefault="0071415F" w:rsidP="0071415F">
            <w:pPr>
              <w:bidi w:val="0"/>
              <w:spacing w:after="0" w:line="240" w:lineRule="auto"/>
              <w:jc w:val="center"/>
              <w:rPr>
                <w:rFonts w:ascii="Arial" w:hAnsi="Arial"/>
                <w:b/>
                <w:bCs/>
                <w:color w:val="000000" w:themeColor="text1"/>
                <w:sz w:val="18"/>
                <w:szCs w:val="18"/>
              </w:rPr>
            </w:pPr>
            <w:r w:rsidRPr="0090647B">
              <w:rPr>
                <w:rFonts w:ascii="Arial" w:hAnsi="Arial"/>
                <w:b/>
                <w:bCs/>
                <w:color w:val="000000" w:themeColor="text1"/>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0FE3DB93" w14:textId="77777777" w:rsidR="0071415F" w:rsidRPr="0090647B" w:rsidRDefault="0071415F" w:rsidP="0071415F">
            <w:pPr>
              <w:bidi w:val="0"/>
              <w:spacing w:after="0" w:line="240" w:lineRule="auto"/>
              <w:jc w:val="center"/>
              <w:rPr>
                <w:color w:val="000000" w:themeColor="text1"/>
              </w:rPr>
            </w:pPr>
            <w:r w:rsidRPr="0090647B">
              <w:rPr>
                <w:rFonts w:ascii="Arial" w:hAnsi="Arial"/>
                <w:b/>
                <w:bCs/>
                <w:color w:val="000000" w:themeColor="text1"/>
                <w:sz w:val="18"/>
                <w:szCs w:val="18"/>
              </w:rPr>
              <w:t>Most Recent Year</w:t>
            </w:r>
          </w:p>
        </w:tc>
      </w:tr>
      <w:tr w:rsidR="0071415F" w:rsidRPr="0090647B" w14:paraId="3C210615" w14:textId="77777777" w:rsidTr="00D556CC">
        <w:trPr>
          <w:trHeight w:val="389"/>
        </w:trPr>
        <w:tc>
          <w:tcPr>
            <w:tcW w:w="6826" w:type="dxa"/>
            <w:tcBorders>
              <w:top w:val="single" w:sz="4" w:space="0" w:color="auto"/>
              <w:left w:val="single" w:sz="4" w:space="0" w:color="auto"/>
              <w:right w:val="single" w:sz="4" w:space="0" w:color="auto"/>
            </w:tcBorders>
            <w:shd w:val="clear" w:color="auto" w:fill="auto"/>
            <w:noWrap/>
            <w:vAlign w:val="center"/>
          </w:tcPr>
          <w:p w14:paraId="3998C4E6" w14:textId="77777777" w:rsidR="0071415F" w:rsidRPr="0090647B" w:rsidRDefault="00D556CC" w:rsidP="00D556CC">
            <w:pPr>
              <w:tabs>
                <w:tab w:val="left" w:pos="9072"/>
              </w:tabs>
              <w:bidi w:val="0"/>
              <w:spacing w:after="0" w:line="240" w:lineRule="auto"/>
              <w:rPr>
                <w:rFonts w:ascii="Arial" w:hAnsi="Arial"/>
                <w:color w:val="000000" w:themeColor="text1"/>
                <w:sz w:val="18"/>
                <w:szCs w:val="18"/>
              </w:rPr>
            </w:pPr>
            <w:r>
              <w:rPr>
                <w:rFonts w:ascii="Arial" w:hAnsi="Arial"/>
                <w:b/>
                <w:bCs/>
                <w:color w:val="000000" w:themeColor="text1"/>
                <w:sz w:val="18"/>
                <w:szCs w:val="18"/>
              </w:rPr>
              <w:t>Indicator  9.1.2</w:t>
            </w:r>
            <w:r w:rsidRPr="00D556CC">
              <w:rPr>
                <w:rFonts w:ascii="Arial" w:hAnsi="Arial"/>
                <w:color w:val="000000" w:themeColor="text1"/>
                <w:sz w:val="18"/>
                <w:szCs w:val="18"/>
              </w:rPr>
              <w:t>Passenger and freight volumes, by mode of transport</w:t>
            </w:r>
          </w:p>
        </w:tc>
        <w:tc>
          <w:tcPr>
            <w:tcW w:w="2234" w:type="dxa"/>
            <w:tcBorders>
              <w:top w:val="single" w:sz="4" w:space="0" w:color="auto"/>
              <w:left w:val="nil"/>
              <w:right w:val="single" w:sz="4" w:space="0" w:color="auto"/>
            </w:tcBorders>
            <w:vAlign w:val="center"/>
          </w:tcPr>
          <w:p w14:paraId="34C67270" w14:textId="77777777" w:rsidR="0071415F" w:rsidRPr="0090647B" w:rsidRDefault="0071415F" w:rsidP="00D556CC">
            <w:pPr>
              <w:spacing w:after="0" w:line="240" w:lineRule="auto"/>
              <w:ind w:right="57"/>
              <w:jc w:val="center"/>
              <w:rPr>
                <w:rFonts w:ascii="Arial" w:hAnsi="Arial"/>
                <w:color w:val="000000" w:themeColor="text1"/>
                <w:sz w:val="18"/>
                <w:szCs w:val="18"/>
                <w:rtl/>
              </w:rPr>
            </w:pPr>
            <w:r w:rsidRPr="0090647B">
              <w:rPr>
                <w:rFonts w:ascii="Arial" w:hAnsi="Arial" w:hint="cs"/>
                <w:color w:val="000000" w:themeColor="text1"/>
                <w:sz w:val="18"/>
                <w:szCs w:val="18"/>
                <w:rtl/>
              </w:rPr>
              <w:t>2019</w:t>
            </w:r>
          </w:p>
        </w:tc>
      </w:tr>
      <w:tr w:rsidR="0071415F" w:rsidRPr="0090647B" w14:paraId="45B1802E" w14:textId="77777777" w:rsidTr="00D556CC">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333D6" w14:textId="77777777" w:rsidR="0071415F" w:rsidRDefault="0071415F" w:rsidP="00D556CC">
            <w:pPr>
              <w:tabs>
                <w:tab w:val="left" w:pos="9072"/>
              </w:tabs>
              <w:bidi w:val="0"/>
              <w:spacing w:after="0" w:line="240" w:lineRule="auto"/>
              <w:rPr>
                <w:rFonts w:ascii="Arial" w:hAnsi="Arial"/>
                <w:color w:val="000000" w:themeColor="text1"/>
                <w:sz w:val="18"/>
                <w:szCs w:val="18"/>
              </w:rPr>
            </w:pPr>
            <w:r w:rsidRPr="0090647B">
              <w:rPr>
                <w:rFonts w:ascii="Arial" w:hAnsi="Arial"/>
                <w:b/>
                <w:bCs/>
                <w:color w:val="000000" w:themeColor="text1"/>
                <w:sz w:val="18"/>
                <w:szCs w:val="18"/>
              </w:rPr>
              <w:t>Indicator  9.a.1</w:t>
            </w:r>
            <w:r w:rsidRPr="0090647B">
              <w:rPr>
                <w:rFonts w:ascii="Arial" w:hAnsi="Arial"/>
                <w:color w:val="000000" w:themeColor="text1"/>
                <w:sz w:val="18"/>
                <w:szCs w:val="18"/>
              </w:rPr>
              <w:t xml:space="preserve"> Total official international support (official development assistance plus other official flows) to infrastructure</w:t>
            </w:r>
          </w:p>
          <w:p w14:paraId="62187B45" w14:textId="77777777" w:rsidR="008766D9" w:rsidRPr="0090647B" w:rsidRDefault="008766D9" w:rsidP="008766D9">
            <w:pPr>
              <w:tabs>
                <w:tab w:val="left" w:pos="9072"/>
              </w:tabs>
              <w:bidi w:val="0"/>
              <w:spacing w:after="0" w:line="240" w:lineRule="auto"/>
              <w:rPr>
                <w:rFonts w:ascii="Arial" w:hAnsi="Arial"/>
                <w:color w:val="000000" w:themeColor="text1"/>
                <w:sz w:val="18"/>
                <w:szCs w:val="18"/>
              </w:rPr>
            </w:pPr>
          </w:p>
        </w:tc>
        <w:tc>
          <w:tcPr>
            <w:tcW w:w="2234" w:type="dxa"/>
            <w:tcBorders>
              <w:top w:val="single" w:sz="4" w:space="0" w:color="auto"/>
              <w:left w:val="nil"/>
              <w:bottom w:val="single" w:sz="4" w:space="0" w:color="auto"/>
              <w:right w:val="single" w:sz="4" w:space="0" w:color="auto"/>
            </w:tcBorders>
            <w:vAlign w:val="center"/>
          </w:tcPr>
          <w:p w14:paraId="603E00CC" w14:textId="77777777" w:rsidR="0071415F" w:rsidRPr="0090647B" w:rsidRDefault="00366A4F" w:rsidP="00D556CC">
            <w:pPr>
              <w:tabs>
                <w:tab w:val="left" w:pos="9072"/>
              </w:tabs>
              <w:spacing w:after="0" w:line="240" w:lineRule="auto"/>
              <w:ind w:right="57"/>
              <w:jc w:val="center"/>
              <w:rPr>
                <w:rFonts w:ascii="Arial" w:hAnsi="Arial"/>
                <w:color w:val="000000" w:themeColor="text1"/>
                <w:sz w:val="18"/>
                <w:szCs w:val="18"/>
                <w:rtl/>
              </w:rPr>
            </w:pPr>
            <w:r>
              <w:rPr>
                <w:rFonts w:ascii="Arial" w:hAnsi="Arial"/>
                <w:color w:val="000000" w:themeColor="text1"/>
                <w:sz w:val="18"/>
                <w:szCs w:val="18"/>
              </w:rPr>
              <w:t>2019</w:t>
            </w:r>
          </w:p>
        </w:tc>
      </w:tr>
    </w:tbl>
    <w:p w14:paraId="458F3808" w14:textId="77777777" w:rsidR="0071415F" w:rsidRPr="0090647B" w:rsidRDefault="0071415F" w:rsidP="0071415F">
      <w:pPr>
        <w:tabs>
          <w:tab w:val="left" w:pos="9072"/>
        </w:tabs>
        <w:bidi w:val="0"/>
        <w:spacing w:after="0" w:line="240" w:lineRule="auto"/>
        <w:jc w:val="center"/>
        <w:rPr>
          <w:rFonts w:ascii="Arial" w:hAnsi="Arial"/>
          <w:b/>
          <w:bCs/>
          <w:color w:val="000000" w:themeColor="text1"/>
        </w:rPr>
      </w:pPr>
    </w:p>
    <w:p w14:paraId="22656426"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9.1.1 Proportion of the rural population who live within 2 km of an all season road</w:t>
      </w:r>
    </w:p>
    <w:p w14:paraId="26BFC618"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61F5AB7"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Proportion of the rural population who live within 2 km of an all season road was 91.1% in Palestine for </w:t>
      </w:r>
      <w:r w:rsidR="000A3092">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year 2020.</w:t>
      </w:r>
      <w:r w:rsidR="00C97515">
        <w:rPr>
          <w:rStyle w:val="FootnoteReference"/>
          <w:rFonts w:ascii="Times New Roman" w:hAnsi="Times New Roman" w:cs="Times New Roman"/>
          <w:color w:val="000000" w:themeColor="text1"/>
          <w:sz w:val="24"/>
          <w:szCs w:val="24"/>
        </w:rPr>
        <w:footnoteReference w:id="7"/>
      </w:r>
    </w:p>
    <w:p w14:paraId="1BE7E9B6"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AFDACAE"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Indicator 9.2.1 Manufacturing value added as a proportion of GDP and per capita</w:t>
      </w:r>
    </w:p>
    <w:p w14:paraId="60D66693"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C2A0DAA"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Indicator 9.2.1.1 Manufacturing value added as a proportion of GDP at constant prices</w:t>
      </w:r>
    </w:p>
    <w:p w14:paraId="145AFAB1" w14:textId="77777777" w:rsidR="00CC4A68" w:rsidRPr="008128C6" w:rsidRDefault="00CC4A68" w:rsidP="00CC4A68">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1501A2B"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 xml:space="preserve">Manufacturing value added as a proportion of GDP at constant prices </w:t>
      </w:r>
      <w:r>
        <w:rPr>
          <w:rFonts w:ascii="Times New Roman" w:hAnsi="Times New Roman" w:cs="Times New Roman"/>
          <w:color w:val="000000" w:themeColor="text1"/>
          <w:sz w:val="24"/>
          <w:szCs w:val="24"/>
        </w:rPr>
        <w:t>was12.2</w:t>
      </w:r>
      <w:r w:rsidRPr="008128C6">
        <w:rPr>
          <w:rFonts w:ascii="Times New Roman" w:hAnsi="Times New Roman" w:cs="Times New Roman"/>
          <w:color w:val="000000" w:themeColor="text1"/>
          <w:sz w:val="24"/>
          <w:szCs w:val="24"/>
        </w:rPr>
        <w:t>% in Palestine</w:t>
      </w:r>
      <w:r>
        <w:rPr>
          <w:rFonts w:ascii="Times New Roman" w:hAnsi="Times New Roman" w:cs="Times New Roman"/>
          <w:color w:val="000000" w:themeColor="text1"/>
          <w:sz w:val="24"/>
          <w:szCs w:val="24"/>
        </w:rPr>
        <w:t xml:space="preserve"> for year 2021</w:t>
      </w:r>
      <w:r w:rsidRPr="008128C6">
        <w:rPr>
          <w:rFonts w:ascii="Times New Roman" w:hAnsi="Times New Roman" w:cs="Times New Roman"/>
          <w:color w:val="000000" w:themeColor="text1"/>
          <w:sz w:val="24"/>
          <w:szCs w:val="24"/>
        </w:rPr>
        <w:t xml:space="preserve">. While manufacturing value added as a proportion of GDP for </w:t>
      </w:r>
      <w:r w:rsidR="00CC4A68">
        <w:rPr>
          <w:rFonts w:ascii="Times New Roman" w:hAnsi="Times New Roman" w:cs="Times New Roman"/>
          <w:color w:val="000000" w:themeColor="text1"/>
          <w:sz w:val="24"/>
          <w:szCs w:val="24"/>
        </w:rPr>
        <w:t>the</w:t>
      </w:r>
      <w:r w:rsidRPr="008128C6">
        <w:rPr>
          <w:rFonts w:ascii="Times New Roman" w:hAnsi="Times New Roman" w:cs="Times New Roman"/>
          <w:color w:val="000000" w:themeColor="text1"/>
          <w:sz w:val="24"/>
          <w:szCs w:val="24"/>
        </w:rPr>
        <w:t xml:space="preserve"> West Bank </w:t>
      </w:r>
      <w:r>
        <w:rPr>
          <w:rFonts w:ascii="Times New Roman" w:hAnsi="Times New Roman" w:cs="Times New Roman"/>
          <w:color w:val="000000" w:themeColor="text1"/>
          <w:sz w:val="24"/>
          <w:szCs w:val="24"/>
        </w:rPr>
        <w:t>was</w:t>
      </w:r>
      <w:r w:rsidRPr="008128C6">
        <w:rPr>
          <w:rFonts w:ascii="Times New Roman" w:hAnsi="Times New Roman" w:cs="Times New Roman"/>
          <w:color w:val="000000" w:themeColor="text1"/>
          <w:sz w:val="24"/>
          <w:szCs w:val="24"/>
        </w:rPr>
        <w:t xml:space="preserve"> 1</w:t>
      </w:r>
      <w:r>
        <w:rPr>
          <w:rFonts w:ascii="Times New Roman" w:hAnsi="Times New Roman" w:cs="Times New Roman"/>
          <w:color w:val="000000" w:themeColor="text1"/>
          <w:sz w:val="24"/>
          <w:szCs w:val="24"/>
        </w:rPr>
        <w:t>3</w:t>
      </w:r>
      <w:r w:rsidRPr="008128C6">
        <w:rPr>
          <w:rFonts w:ascii="Times New Roman" w:hAnsi="Times New Roman" w:cs="Times New Roman"/>
          <w:color w:val="000000" w:themeColor="text1"/>
          <w:sz w:val="24"/>
          <w:szCs w:val="24"/>
        </w:rPr>
        <w:t xml:space="preserve">.2%, in </w:t>
      </w:r>
      <w:r w:rsidR="000A3092">
        <w:rPr>
          <w:rFonts w:ascii="Times New Roman" w:hAnsi="Times New Roman" w:cs="Times New Roman"/>
          <w:color w:val="000000" w:themeColor="text1"/>
          <w:sz w:val="24"/>
          <w:szCs w:val="24"/>
        </w:rPr>
        <w:t xml:space="preserve">the </w:t>
      </w:r>
      <w:r w:rsidRPr="008128C6">
        <w:rPr>
          <w:rFonts w:ascii="Times New Roman" w:hAnsi="Times New Roman" w:cs="Times New Roman"/>
          <w:color w:val="000000" w:themeColor="text1"/>
          <w:sz w:val="24"/>
          <w:szCs w:val="24"/>
        </w:rPr>
        <w:t xml:space="preserve">Gaza Strip results show </w:t>
      </w:r>
      <w:r w:rsidR="000A3092">
        <w:rPr>
          <w:rFonts w:ascii="Times New Roman" w:hAnsi="Times New Roman" w:cs="Times New Roman"/>
          <w:color w:val="000000" w:themeColor="text1"/>
          <w:sz w:val="24"/>
          <w:szCs w:val="24"/>
        </w:rPr>
        <w:t>m</w:t>
      </w:r>
      <w:r w:rsidRPr="008128C6">
        <w:rPr>
          <w:rFonts w:ascii="Times New Roman" w:hAnsi="Times New Roman" w:cs="Times New Roman"/>
          <w:color w:val="000000" w:themeColor="text1"/>
          <w:sz w:val="24"/>
          <w:szCs w:val="24"/>
        </w:rPr>
        <w:t>anufacturing value added as a proportion of GDP</w:t>
      </w:r>
      <w:r w:rsidR="000A3092">
        <w:rPr>
          <w:rFonts w:ascii="Times New Roman" w:hAnsi="Times New Roman" w:cs="Times New Roman"/>
          <w:color w:val="000000" w:themeColor="text1"/>
          <w:sz w:val="24"/>
          <w:szCs w:val="24"/>
        </w:rPr>
        <w:t xml:space="preserve">reached </w:t>
      </w:r>
      <w:r>
        <w:rPr>
          <w:rFonts w:ascii="Times New Roman" w:hAnsi="Times New Roman" w:cs="Times New Roman"/>
          <w:color w:val="000000" w:themeColor="text1"/>
          <w:sz w:val="24"/>
          <w:szCs w:val="24"/>
        </w:rPr>
        <w:t>7.2</w:t>
      </w:r>
      <w:r w:rsidRPr="008128C6">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for the same </w:t>
      </w:r>
      <w:r w:rsidR="00CC4A68">
        <w:rPr>
          <w:rFonts w:ascii="Times New Roman" w:hAnsi="Times New Roman" w:cs="Times New Roman"/>
          <w:color w:val="000000" w:themeColor="text1"/>
          <w:sz w:val="24"/>
          <w:szCs w:val="24"/>
        </w:rPr>
        <w:t>year</w:t>
      </w:r>
      <w:r w:rsidRPr="008128C6">
        <w:rPr>
          <w:rFonts w:ascii="Times New Roman" w:hAnsi="Times New Roman" w:cs="Times New Roman"/>
          <w:color w:val="000000" w:themeColor="text1"/>
          <w:sz w:val="24"/>
          <w:szCs w:val="24"/>
        </w:rPr>
        <w:t>.</w:t>
      </w:r>
    </w:p>
    <w:p w14:paraId="79088A22" w14:textId="77777777" w:rsidR="00F3507C" w:rsidRDefault="00F3507C" w:rsidP="00F3507C">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7A82221" w14:textId="77777777" w:rsidR="00F3507C" w:rsidRPr="00F3507C" w:rsidRDefault="00F3507C" w:rsidP="00F3507C">
      <w:pPr>
        <w:bidi w:val="0"/>
        <w:spacing w:after="0" w:line="240" w:lineRule="auto"/>
        <w:rPr>
          <w:rFonts w:ascii="Arial" w:hAnsi="Arial"/>
          <w:b/>
          <w:bCs/>
          <w:color w:val="000000" w:themeColor="text1"/>
          <w:sz w:val="14"/>
          <w:szCs w:val="14"/>
          <w:lang w:eastAsia="ar-SA"/>
        </w:rPr>
      </w:pPr>
    </w:p>
    <w:p w14:paraId="68322108" w14:textId="77777777" w:rsidR="0071415F" w:rsidRPr="0090647B" w:rsidRDefault="0071415F" w:rsidP="00E93DD8">
      <w:pPr>
        <w:bidi w:val="0"/>
        <w:spacing w:after="0" w:line="240" w:lineRule="auto"/>
        <w:jc w:val="center"/>
        <w:rPr>
          <w:rFonts w:ascii="Arial" w:hAnsi="Arial"/>
          <w:b/>
          <w:bCs/>
          <w:color w:val="000000" w:themeColor="text1"/>
          <w:lang w:eastAsia="ar-SA"/>
        </w:rPr>
      </w:pPr>
      <w:r w:rsidRPr="00632FF1">
        <w:rPr>
          <w:rFonts w:ascii="Arial" w:hAnsi="Arial"/>
          <w:b/>
          <w:bCs/>
          <w:color w:val="000000" w:themeColor="text1"/>
          <w:lang w:eastAsia="ar-SA"/>
        </w:rPr>
        <w:t xml:space="preserve">Manufacturing </w:t>
      </w:r>
      <w:r w:rsidR="000A3092">
        <w:rPr>
          <w:rFonts w:ascii="Arial" w:hAnsi="Arial"/>
          <w:b/>
          <w:bCs/>
          <w:color w:val="000000" w:themeColor="text1"/>
          <w:lang w:eastAsia="ar-SA"/>
        </w:rPr>
        <w:t>V</w:t>
      </w:r>
      <w:r w:rsidRPr="00632FF1">
        <w:rPr>
          <w:rFonts w:ascii="Arial" w:hAnsi="Arial"/>
          <w:b/>
          <w:bCs/>
          <w:color w:val="000000" w:themeColor="text1"/>
          <w:lang w:eastAsia="ar-SA"/>
        </w:rPr>
        <w:t xml:space="preserve">alue </w:t>
      </w:r>
      <w:r w:rsidR="000A3092">
        <w:rPr>
          <w:rFonts w:ascii="Arial" w:hAnsi="Arial"/>
          <w:b/>
          <w:bCs/>
          <w:color w:val="000000" w:themeColor="text1"/>
          <w:lang w:eastAsia="ar-SA"/>
        </w:rPr>
        <w:t>A</w:t>
      </w:r>
      <w:r w:rsidRPr="00632FF1">
        <w:rPr>
          <w:rFonts w:ascii="Arial" w:hAnsi="Arial"/>
          <w:b/>
          <w:bCs/>
          <w:color w:val="000000" w:themeColor="text1"/>
          <w:lang w:eastAsia="ar-SA"/>
        </w:rPr>
        <w:t xml:space="preserve">dded as a </w:t>
      </w:r>
      <w:r w:rsidR="000A3092">
        <w:rPr>
          <w:rFonts w:ascii="Arial" w:hAnsi="Arial"/>
          <w:b/>
          <w:bCs/>
          <w:color w:val="000000" w:themeColor="text1"/>
          <w:lang w:eastAsia="ar-SA"/>
        </w:rPr>
        <w:t>P</w:t>
      </w:r>
      <w:r w:rsidRPr="00632FF1">
        <w:rPr>
          <w:rFonts w:ascii="Arial" w:hAnsi="Arial"/>
          <w:b/>
          <w:bCs/>
          <w:color w:val="000000" w:themeColor="text1"/>
          <w:lang w:eastAsia="ar-SA"/>
        </w:rPr>
        <w:t xml:space="preserve">roportion of GDP, </w:t>
      </w:r>
      <w:r w:rsidR="00E93DD8" w:rsidRPr="00632FF1">
        <w:rPr>
          <w:rFonts w:ascii="Arial" w:hAnsi="Arial"/>
          <w:b/>
          <w:bCs/>
          <w:color w:val="000000" w:themeColor="text1"/>
          <w:lang w:eastAsia="ar-SA"/>
        </w:rPr>
        <w:t>2015</w:t>
      </w:r>
      <w:r w:rsidRPr="00632FF1">
        <w:rPr>
          <w:rFonts w:ascii="Arial" w:hAnsi="Arial"/>
          <w:b/>
          <w:bCs/>
          <w:color w:val="000000" w:themeColor="text1"/>
          <w:lang w:eastAsia="ar-SA"/>
        </w:rPr>
        <w:t>-2021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76B34B52" w14:textId="77777777" w:rsidTr="0071415F">
        <w:trPr>
          <w:trHeight w:val="3290"/>
        </w:trPr>
        <w:tc>
          <w:tcPr>
            <w:tcW w:w="9286" w:type="dxa"/>
            <w:shd w:val="clear" w:color="auto" w:fill="auto"/>
          </w:tcPr>
          <w:p w14:paraId="662A0FF6" w14:textId="77777777" w:rsidR="0071415F" w:rsidRPr="0090647B" w:rsidRDefault="0071415F" w:rsidP="0071415F">
            <w:pPr>
              <w:tabs>
                <w:tab w:val="left" w:pos="9072"/>
              </w:tabs>
              <w:bidi w:val="0"/>
              <w:spacing w:after="0" w:line="240" w:lineRule="auto"/>
              <w:jc w:val="center"/>
              <w:rPr>
                <w:rFonts w:ascii="Arial" w:hAnsi="Arial"/>
                <w:b/>
                <w:bCs/>
                <w:color w:val="000000" w:themeColor="text1"/>
                <w:lang w:val="it-IT"/>
              </w:rPr>
            </w:pPr>
            <w:r w:rsidRPr="0090647B">
              <w:rPr>
                <w:rFonts w:ascii="Times New Roman" w:hAnsi="Times New Roman" w:cs="Times New Roman"/>
                <w:noProof/>
                <w:color w:val="000000" w:themeColor="text1"/>
              </w:rPr>
              <w:lastRenderedPageBreak/>
              <w:drawing>
                <wp:inline distT="0" distB="0" distL="0" distR="0" wp14:anchorId="07777D62" wp14:editId="0E11BB4C">
                  <wp:extent cx="5764530" cy="2027555"/>
                  <wp:effectExtent l="0" t="0" r="7620" b="0"/>
                  <wp:docPr id="206" name="Char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bl>
    <w:p w14:paraId="575D8BC3" w14:textId="77777777" w:rsidR="00E300A7" w:rsidRDefault="0071415F" w:rsidP="00E300A7">
      <w:pPr>
        <w:bidi w:val="0"/>
        <w:spacing w:after="0" w:line="240" w:lineRule="auto"/>
        <w:ind w:left="720" w:hanging="720"/>
        <w:rPr>
          <w:rFonts w:ascii="Arial" w:hAnsi="Arial"/>
          <w:color w:val="000000" w:themeColor="text1"/>
          <w:sz w:val="18"/>
          <w:szCs w:val="18"/>
        </w:rPr>
      </w:pPr>
      <w:r w:rsidRPr="0090647B">
        <w:rPr>
          <w:rFonts w:ascii="Arial" w:hAnsi="Arial"/>
          <w:b/>
          <w:bCs/>
          <w:color w:val="000000" w:themeColor="text1"/>
          <w:sz w:val="18"/>
          <w:szCs w:val="18"/>
        </w:rPr>
        <w:t xml:space="preserve">Source: Palestinian Central Bureau of </w:t>
      </w:r>
      <w:r w:rsidR="00C66B88" w:rsidRPr="0090647B">
        <w:rPr>
          <w:rFonts w:ascii="Arial" w:hAnsi="Arial"/>
          <w:b/>
          <w:bCs/>
          <w:color w:val="000000" w:themeColor="text1"/>
          <w:sz w:val="18"/>
          <w:szCs w:val="18"/>
        </w:rPr>
        <w:t>Statistics,</w:t>
      </w:r>
      <w:r w:rsidR="00C66B88" w:rsidRPr="0090647B">
        <w:rPr>
          <w:rFonts w:ascii="Arial" w:hAnsi="Arial"/>
          <w:color w:val="000000" w:themeColor="text1"/>
          <w:sz w:val="18"/>
          <w:szCs w:val="18"/>
        </w:rPr>
        <w:t xml:space="preserve"> National</w:t>
      </w:r>
      <w:r w:rsidRPr="0090647B">
        <w:rPr>
          <w:rFonts w:ascii="Arial" w:hAnsi="Arial"/>
          <w:color w:val="000000" w:themeColor="text1"/>
          <w:sz w:val="18"/>
          <w:szCs w:val="18"/>
        </w:rPr>
        <w:t xml:space="preserve"> Accounts at Current and Constant Prices, </w:t>
      </w:r>
      <w:r w:rsidR="00A25FCF">
        <w:rPr>
          <w:rFonts w:ascii="Arial" w:hAnsi="Arial"/>
          <w:color w:val="000000" w:themeColor="text1"/>
          <w:sz w:val="18"/>
          <w:szCs w:val="18"/>
        </w:rPr>
        <w:t>2015</w:t>
      </w:r>
      <w:r w:rsidR="00E300A7">
        <w:rPr>
          <w:rFonts w:ascii="Arial" w:hAnsi="Arial"/>
          <w:color w:val="000000" w:themeColor="text1"/>
          <w:sz w:val="18"/>
          <w:szCs w:val="18"/>
        </w:rPr>
        <w:t xml:space="preserve">-2021. Ramallah - Palestine. </w:t>
      </w:r>
    </w:p>
    <w:p w14:paraId="3AC7A529" w14:textId="77777777" w:rsidR="0071415F" w:rsidRPr="0029489D" w:rsidRDefault="0071415F" w:rsidP="00E300A7">
      <w:pPr>
        <w:bidi w:val="0"/>
        <w:spacing w:after="0" w:line="240" w:lineRule="auto"/>
        <w:ind w:left="720" w:hanging="720"/>
        <w:rPr>
          <w:rFonts w:ascii="Arial" w:hAnsi="Arial"/>
          <w:color w:val="000000" w:themeColor="text1"/>
          <w:sz w:val="18"/>
          <w:szCs w:val="18"/>
        </w:rPr>
      </w:pPr>
      <w:r w:rsidRPr="008128C6">
        <w:rPr>
          <w:rFonts w:ascii="Arial" w:hAnsi="Arial"/>
          <w:color w:val="000000" w:themeColor="text1"/>
          <w:sz w:val="18"/>
          <w:szCs w:val="18"/>
        </w:rPr>
        <w:t>*Data excluded those parts of Jerusalem, which were annexed</w:t>
      </w:r>
      <w:r>
        <w:rPr>
          <w:rFonts w:ascii="Arial" w:hAnsi="Arial"/>
          <w:color w:val="000000" w:themeColor="text1"/>
          <w:sz w:val="18"/>
          <w:szCs w:val="18"/>
        </w:rPr>
        <w:t xml:space="preserve"> by Israeli Occupation in 1967.</w:t>
      </w:r>
    </w:p>
    <w:p w14:paraId="1817F043" w14:textId="77777777" w:rsidR="004243BA" w:rsidRPr="0029489D" w:rsidRDefault="004243BA" w:rsidP="004243BA">
      <w:pPr>
        <w:bidi w:val="0"/>
        <w:spacing w:after="0" w:line="240" w:lineRule="auto"/>
        <w:rPr>
          <w:rFonts w:ascii="Arial" w:hAnsi="Arial"/>
          <w:color w:val="000000" w:themeColor="text1"/>
          <w:sz w:val="18"/>
          <w:szCs w:val="18"/>
        </w:rPr>
      </w:pPr>
    </w:p>
    <w:p w14:paraId="6968F010"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 xml:space="preserve">Indicator 9.2.1.2 </w:t>
      </w:r>
      <w:r w:rsidRPr="00446CF3">
        <w:rPr>
          <w:rFonts w:ascii="Times New Roman" w:hAnsi="Times New Roman" w:cs="Times New Roman"/>
          <w:b/>
          <w:bCs/>
          <w:i/>
          <w:iCs/>
          <w:color w:val="000000" w:themeColor="text1"/>
          <w:sz w:val="24"/>
          <w:szCs w:val="24"/>
        </w:rPr>
        <w:t>Manufacturing value added per capita</w:t>
      </w:r>
    </w:p>
    <w:p w14:paraId="79CE78B7" w14:textId="77777777" w:rsidR="004243BA" w:rsidRPr="00446CF3" w:rsidRDefault="004243BA" w:rsidP="004243BA">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0F9FBB2" w14:textId="77777777" w:rsidR="0071415F" w:rsidRPr="00446CF3" w:rsidRDefault="0071415F" w:rsidP="003C1A18">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Manufacturing value added per capita recorded </w:t>
      </w:r>
      <w:r w:rsidR="00366A4F" w:rsidRPr="00446CF3">
        <w:rPr>
          <w:rFonts w:ascii="Times New Roman" w:hAnsi="Times New Roman" w:cs="Times New Roman"/>
          <w:color w:val="000000" w:themeColor="text1"/>
          <w:sz w:val="24"/>
          <w:szCs w:val="24"/>
        </w:rPr>
        <w:t xml:space="preserve">an </w:t>
      </w:r>
      <w:r w:rsidR="003C1A18" w:rsidRPr="00446CF3">
        <w:rPr>
          <w:rFonts w:ascii="Times New Roman" w:hAnsi="Times New Roman" w:cs="Times New Roman"/>
          <w:color w:val="000000" w:themeColor="text1"/>
          <w:sz w:val="24"/>
          <w:szCs w:val="24"/>
        </w:rPr>
        <w:t>de</w:t>
      </w:r>
      <w:r w:rsidR="00366A4F" w:rsidRPr="00446CF3">
        <w:rPr>
          <w:rFonts w:ascii="Times New Roman" w:hAnsi="Times New Roman" w:cs="Times New Roman"/>
          <w:color w:val="000000" w:themeColor="text1"/>
          <w:sz w:val="24"/>
          <w:szCs w:val="24"/>
        </w:rPr>
        <w:t>crease</w:t>
      </w:r>
      <w:r w:rsidRPr="00446CF3">
        <w:rPr>
          <w:rFonts w:ascii="Times New Roman" w:hAnsi="Times New Roman" w:cs="Times New Roman"/>
          <w:color w:val="000000" w:themeColor="text1"/>
          <w:sz w:val="24"/>
          <w:szCs w:val="24"/>
        </w:rPr>
        <w:t xml:space="preserve"> in </w:t>
      </w:r>
      <w:r w:rsidR="00366A4F" w:rsidRPr="00446CF3">
        <w:rPr>
          <w:rFonts w:ascii="Times New Roman" w:hAnsi="Times New Roman" w:cs="Times New Roman"/>
          <w:color w:val="000000" w:themeColor="text1"/>
          <w:sz w:val="24"/>
          <w:szCs w:val="24"/>
        </w:rPr>
        <w:t xml:space="preserve">2021 </w:t>
      </w:r>
      <w:r w:rsidRPr="00446CF3">
        <w:rPr>
          <w:rFonts w:ascii="Times New Roman" w:hAnsi="Times New Roman" w:cs="Times New Roman"/>
          <w:color w:val="000000" w:themeColor="text1"/>
          <w:sz w:val="24"/>
          <w:szCs w:val="24"/>
        </w:rPr>
        <w:t xml:space="preserve">compared to </w:t>
      </w:r>
      <w:r w:rsidR="003C1A18" w:rsidRPr="00446CF3">
        <w:rPr>
          <w:rFonts w:ascii="Times New Roman" w:hAnsi="Times New Roman" w:cs="Times New Roman"/>
          <w:color w:val="000000" w:themeColor="text1"/>
          <w:sz w:val="24"/>
          <w:szCs w:val="24"/>
        </w:rPr>
        <w:t>2019</w:t>
      </w:r>
      <w:r w:rsidRPr="00446CF3">
        <w:rPr>
          <w:rFonts w:ascii="Times New Roman" w:hAnsi="Times New Roman" w:cs="Times New Roman"/>
          <w:color w:val="000000" w:themeColor="text1"/>
          <w:sz w:val="24"/>
          <w:szCs w:val="24"/>
        </w:rPr>
        <w:t xml:space="preserve">, reaching </w:t>
      </w:r>
      <w:r w:rsidR="003C1A18" w:rsidRPr="00446CF3">
        <w:rPr>
          <w:rFonts w:ascii="Times New Roman" w:hAnsi="Times New Roman" w:cs="Times New Roman"/>
          <w:color w:val="000000" w:themeColor="text1"/>
          <w:sz w:val="24"/>
          <w:szCs w:val="24"/>
        </w:rPr>
        <w:t>312.4</w:t>
      </w:r>
      <w:r w:rsidRPr="00446CF3">
        <w:rPr>
          <w:rFonts w:ascii="Times New Roman" w:hAnsi="Times New Roman" w:cs="Times New Roman"/>
          <w:color w:val="000000" w:themeColor="text1"/>
          <w:sz w:val="24"/>
          <w:szCs w:val="24"/>
        </w:rPr>
        <w:t xml:space="preserve"> USD in Palestine. </w:t>
      </w:r>
      <w:r w:rsidR="004A40F1" w:rsidRPr="00446CF3">
        <w:rPr>
          <w:rFonts w:ascii="Times New Roman" w:hAnsi="Times New Roman" w:cs="Times New Roman"/>
          <w:color w:val="000000" w:themeColor="text1"/>
          <w:sz w:val="24"/>
          <w:szCs w:val="24"/>
        </w:rPr>
        <w:t xml:space="preserve">While manufacturing value added per capita for the West Bank </w:t>
      </w:r>
      <w:r w:rsidR="003C1A18" w:rsidRPr="00446CF3">
        <w:rPr>
          <w:rFonts w:ascii="Times New Roman" w:hAnsi="Times New Roman" w:cs="Times New Roman"/>
          <w:color w:val="000000" w:themeColor="text1"/>
          <w:sz w:val="24"/>
          <w:szCs w:val="24"/>
        </w:rPr>
        <w:t>in</w:t>
      </w:r>
      <w:r w:rsidR="004A40F1" w:rsidRPr="00446CF3">
        <w:rPr>
          <w:rFonts w:ascii="Times New Roman" w:hAnsi="Times New Roman" w:cs="Times New Roman"/>
          <w:color w:val="000000" w:themeColor="text1"/>
          <w:sz w:val="24"/>
          <w:szCs w:val="24"/>
        </w:rPr>
        <w:t xml:space="preserve">creased by </w:t>
      </w:r>
      <w:r w:rsidR="003C1A18" w:rsidRPr="00446CF3">
        <w:rPr>
          <w:rFonts w:ascii="Times New Roman" w:hAnsi="Times New Roman" w:cs="Times New Roman"/>
          <w:color w:val="000000" w:themeColor="text1"/>
          <w:sz w:val="24"/>
          <w:szCs w:val="24"/>
        </w:rPr>
        <w:t>0.3</w:t>
      </w:r>
      <w:r w:rsidR="004A40F1" w:rsidRPr="00446CF3">
        <w:rPr>
          <w:rFonts w:ascii="Times New Roman" w:hAnsi="Times New Roman" w:cs="Times New Roman"/>
          <w:color w:val="000000" w:themeColor="text1"/>
          <w:sz w:val="24"/>
          <w:szCs w:val="24"/>
        </w:rPr>
        <w:t xml:space="preserve"> % in </w:t>
      </w:r>
      <w:r w:rsidR="003C1A18" w:rsidRPr="00446CF3">
        <w:rPr>
          <w:rFonts w:ascii="Times New Roman" w:hAnsi="Times New Roman" w:cs="Times New Roman"/>
          <w:color w:val="000000" w:themeColor="text1"/>
          <w:sz w:val="24"/>
          <w:szCs w:val="24"/>
        </w:rPr>
        <w:t>2012</w:t>
      </w:r>
      <w:r w:rsidR="004A40F1" w:rsidRPr="00446CF3">
        <w:rPr>
          <w:rFonts w:ascii="Times New Roman" w:hAnsi="Times New Roman" w:cs="Times New Roman"/>
          <w:color w:val="000000" w:themeColor="text1"/>
          <w:sz w:val="24"/>
          <w:szCs w:val="24"/>
        </w:rPr>
        <w:t xml:space="preserve"> compared to 2</w:t>
      </w:r>
      <w:r w:rsidR="003C1A18" w:rsidRPr="00446CF3">
        <w:rPr>
          <w:rFonts w:ascii="Times New Roman" w:hAnsi="Times New Roman" w:cs="Times New Roman"/>
          <w:color w:val="000000" w:themeColor="text1"/>
          <w:sz w:val="24"/>
          <w:szCs w:val="24"/>
        </w:rPr>
        <w:t>020</w:t>
      </w:r>
      <w:r w:rsidR="004A40F1" w:rsidRPr="00446CF3">
        <w:rPr>
          <w:rFonts w:ascii="Times New Roman" w:hAnsi="Times New Roman" w:cs="Times New Roman"/>
          <w:color w:val="000000" w:themeColor="text1"/>
          <w:sz w:val="24"/>
          <w:szCs w:val="24"/>
        </w:rPr>
        <w:t xml:space="preserve"> to reach </w:t>
      </w:r>
      <w:r w:rsidR="003C1A18" w:rsidRPr="00446CF3">
        <w:rPr>
          <w:rFonts w:ascii="Times New Roman" w:hAnsi="Times New Roman" w:cs="Times New Roman"/>
          <w:color w:val="000000" w:themeColor="text1"/>
          <w:sz w:val="24"/>
          <w:szCs w:val="24"/>
        </w:rPr>
        <w:t>506.0</w:t>
      </w:r>
      <w:r w:rsidR="004A40F1" w:rsidRPr="00446CF3">
        <w:rPr>
          <w:rFonts w:ascii="Times New Roman" w:hAnsi="Times New Roman" w:cs="Times New Roman"/>
          <w:color w:val="000000" w:themeColor="text1"/>
          <w:sz w:val="24"/>
          <w:szCs w:val="24"/>
        </w:rPr>
        <w:t xml:space="preserve"> USD. In Gaza Strip the results show a decrease by </w:t>
      </w:r>
      <w:r w:rsidR="003C1A18" w:rsidRPr="00446CF3">
        <w:rPr>
          <w:rFonts w:ascii="Times New Roman" w:hAnsi="Times New Roman" w:cs="Times New Roman"/>
          <w:color w:val="000000" w:themeColor="text1"/>
          <w:sz w:val="24"/>
          <w:szCs w:val="24"/>
        </w:rPr>
        <w:t>1.5</w:t>
      </w:r>
      <w:r w:rsidR="004A40F1" w:rsidRPr="00446CF3">
        <w:rPr>
          <w:rFonts w:ascii="Times New Roman" w:hAnsi="Times New Roman" w:cs="Times New Roman"/>
          <w:color w:val="000000" w:themeColor="text1"/>
          <w:sz w:val="24"/>
          <w:szCs w:val="24"/>
        </w:rPr>
        <w:t xml:space="preserve">% to reach </w:t>
      </w:r>
      <w:r w:rsidR="003C1A18" w:rsidRPr="00446CF3">
        <w:rPr>
          <w:rFonts w:ascii="Times New Roman" w:hAnsi="Times New Roman" w:cs="Times New Roman"/>
          <w:color w:val="000000" w:themeColor="text1"/>
          <w:sz w:val="24"/>
          <w:szCs w:val="24"/>
        </w:rPr>
        <w:t>53.5</w:t>
      </w:r>
      <w:r w:rsidR="004A40F1" w:rsidRPr="00446CF3">
        <w:rPr>
          <w:rFonts w:ascii="Times New Roman" w:hAnsi="Times New Roman" w:cs="Times New Roman"/>
          <w:color w:val="000000" w:themeColor="text1"/>
          <w:sz w:val="24"/>
          <w:szCs w:val="24"/>
        </w:rPr>
        <w:t xml:space="preserve"> USD.</w:t>
      </w:r>
    </w:p>
    <w:p w14:paraId="11398ED8" w14:textId="77777777" w:rsidR="0071415F" w:rsidRPr="00446CF3" w:rsidRDefault="0071415F" w:rsidP="0071415F">
      <w:pPr>
        <w:tabs>
          <w:tab w:val="left" w:pos="9072"/>
        </w:tabs>
        <w:bidi w:val="0"/>
        <w:spacing w:after="0" w:line="240" w:lineRule="auto"/>
        <w:jc w:val="center"/>
        <w:rPr>
          <w:rFonts w:ascii="Arial" w:hAnsi="Arial"/>
          <w:b/>
          <w:bCs/>
          <w:color w:val="000000" w:themeColor="text1"/>
        </w:rPr>
      </w:pPr>
    </w:p>
    <w:p w14:paraId="6829AA44" w14:textId="77777777" w:rsidR="0071415F" w:rsidRPr="008128C6" w:rsidRDefault="004A40F1" w:rsidP="00366A4F">
      <w:pPr>
        <w:tabs>
          <w:tab w:val="left" w:pos="9072"/>
        </w:tabs>
        <w:bidi w:val="0"/>
        <w:spacing w:after="0" w:line="240" w:lineRule="auto"/>
        <w:jc w:val="center"/>
        <w:rPr>
          <w:rFonts w:ascii="Arial" w:hAnsi="Arial"/>
          <w:b/>
          <w:bCs/>
          <w:color w:val="000000" w:themeColor="text1"/>
        </w:rPr>
      </w:pPr>
      <w:r w:rsidRPr="00446CF3">
        <w:rPr>
          <w:rFonts w:ascii="Arial" w:hAnsi="Arial"/>
          <w:b/>
          <w:bCs/>
          <w:color w:val="000000" w:themeColor="text1"/>
        </w:rPr>
        <w:t>Manufacturing Value Added Per Capita, 2015-2021 (USD)</w:t>
      </w:r>
    </w:p>
    <w:tbl>
      <w:tblPr>
        <w:tblW w:w="9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6"/>
      </w:tblGrid>
      <w:tr w:rsidR="0071415F" w:rsidRPr="008128C6" w14:paraId="435522AE" w14:textId="77777777" w:rsidTr="00536909">
        <w:trPr>
          <w:trHeight w:val="3569"/>
        </w:trPr>
        <w:tc>
          <w:tcPr>
            <w:tcW w:w="9119" w:type="dxa"/>
            <w:shd w:val="clear" w:color="auto" w:fill="auto"/>
          </w:tcPr>
          <w:p w14:paraId="2175E815" w14:textId="77777777" w:rsidR="0071415F" w:rsidRPr="008128C6" w:rsidRDefault="0071415F" w:rsidP="0071415F">
            <w:pPr>
              <w:tabs>
                <w:tab w:val="left" w:pos="9072"/>
              </w:tabs>
              <w:bidi w:val="0"/>
              <w:spacing w:after="0" w:line="240" w:lineRule="auto"/>
              <w:jc w:val="center"/>
              <w:rPr>
                <w:rFonts w:ascii="Arial" w:hAnsi="Arial"/>
                <w:b/>
                <w:bCs/>
                <w:color w:val="000000" w:themeColor="text1"/>
                <w:lang w:val="it-IT"/>
              </w:rPr>
            </w:pPr>
            <w:r w:rsidRPr="008128C6">
              <w:rPr>
                <w:rFonts w:ascii="Times New Roman" w:hAnsi="Times New Roman" w:cs="Times New Roman"/>
                <w:noProof/>
                <w:color w:val="000000" w:themeColor="text1"/>
              </w:rPr>
              <w:drawing>
                <wp:inline distT="0" distB="0" distL="0" distR="0" wp14:anchorId="594B09E8" wp14:editId="2EC7E512">
                  <wp:extent cx="5709285" cy="2162175"/>
                  <wp:effectExtent l="0" t="0" r="5715" b="0"/>
                  <wp:docPr id="207"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bl>
    <w:p w14:paraId="342037C4" w14:textId="77777777" w:rsidR="0071415F" w:rsidRPr="00446CF3" w:rsidRDefault="0071415F" w:rsidP="003C1A18">
      <w:pPr>
        <w:bidi w:val="0"/>
        <w:spacing w:after="0" w:line="240" w:lineRule="auto"/>
        <w:ind w:left="720" w:hanging="720"/>
        <w:jc w:val="both"/>
        <w:rPr>
          <w:rFonts w:ascii="Arial" w:hAnsi="Arial"/>
          <w:iCs/>
          <w:color w:val="000000" w:themeColor="text1"/>
          <w:sz w:val="18"/>
          <w:szCs w:val="18"/>
        </w:rPr>
      </w:pPr>
      <w:r w:rsidRPr="00446CF3">
        <w:rPr>
          <w:rFonts w:ascii="Arial" w:hAnsi="Arial"/>
          <w:b/>
          <w:bCs/>
          <w:iCs/>
          <w:color w:val="000000" w:themeColor="text1"/>
          <w:sz w:val="18"/>
          <w:szCs w:val="18"/>
        </w:rPr>
        <w:t>Source: Palestinian Central Bureau of Statistics,</w:t>
      </w:r>
      <w:r w:rsidRPr="00446CF3">
        <w:rPr>
          <w:rFonts w:ascii="Arial" w:hAnsi="Arial"/>
          <w:iCs/>
          <w:color w:val="000000" w:themeColor="text1"/>
          <w:sz w:val="18"/>
          <w:szCs w:val="18"/>
        </w:rPr>
        <w:t xml:space="preserve">National Accounts at Current and Constant Prices, </w:t>
      </w:r>
      <w:r w:rsidR="00A25FCF" w:rsidRPr="00446CF3">
        <w:rPr>
          <w:rFonts w:ascii="Arial" w:hAnsi="Arial"/>
          <w:iCs/>
          <w:color w:val="000000" w:themeColor="text1"/>
          <w:sz w:val="18"/>
          <w:szCs w:val="18"/>
        </w:rPr>
        <w:t>2015</w:t>
      </w:r>
      <w:r w:rsidRPr="00446CF3">
        <w:rPr>
          <w:rFonts w:ascii="Arial" w:hAnsi="Arial"/>
          <w:iCs/>
          <w:color w:val="000000" w:themeColor="text1"/>
          <w:sz w:val="18"/>
          <w:szCs w:val="18"/>
        </w:rPr>
        <w:t>-202</w:t>
      </w:r>
      <w:r w:rsidR="003C1A18" w:rsidRPr="00446CF3">
        <w:rPr>
          <w:rFonts w:ascii="Arial" w:hAnsi="Arial"/>
          <w:iCs/>
          <w:color w:val="000000" w:themeColor="text1"/>
          <w:sz w:val="18"/>
          <w:szCs w:val="18"/>
        </w:rPr>
        <w:t>1</w:t>
      </w:r>
      <w:r w:rsidRPr="00446CF3">
        <w:rPr>
          <w:rFonts w:ascii="Arial" w:hAnsi="Arial"/>
          <w:iCs/>
          <w:color w:val="000000" w:themeColor="text1"/>
          <w:sz w:val="18"/>
          <w:szCs w:val="18"/>
        </w:rPr>
        <w:t>. Ramallah - Palestine.</w:t>
      </w:r>
    </w:p>
    <w:p w14:paraId="530829C7" w14:textId="77777777" w:rsidR="0071415F" w:rsidRPr="00446CF3" w:rsidRDefault="0071415F" w:rsidP="0071415F">
      <w:pPr>
        <w:bidi w:val="0"/>
        <w:spacing w:after="0" w:line="240" w:lineRule="auto"/>
        <w:jc w:val="both"/>
        <w:rPr>
          <w:rFonts w:ascii="Arial" w:hAnsi="Arial"/>
          <w:iCs/>
          <w:color w:val="000000" w:themeColor="text1"/>
          <w:sz w:val="18"/>
          <w:szCs w:val="18"/>
        </w:rPr>
      </w:pPr>
      <w:r w:rsidRPr="00446CF3">
        <w:rPr>
          <w:rFonts w:ascii="Arial" w:hAnsi="Arial"/>
          <w:iCs/>
          <w:color w:val="000000" w:themeColor="text1"/>
          <w:sz w:val="18"/>
          <w:szCs w:val="18"/>
        </w:rPr>
        <w:t xml:space="preserve">*Data excluded those parts of Jerusalem which were annexed by </w:t>
      </w:r>
      <w:r w:rsidR="000A3092" w:rsidRPr="00446CF3">
        <w:rPr>
          <w:rFonts w:ascii="Arial" w:hAnsi="Arial"/>
          <w:iCs/>
          <w:color w:val="000000" w:themeColor="text1"/>
          <w:sz w:val="18"/>
          <w:szCs w:val="18"/>
        </w:rPr>
        <w:t xml:space="preserve">the </w:t>
      </w:r>
      <w:r w:rsidRPr="00446CF3">
        <w:rPr>
          <w:rFonts w:ascii="Arial" w:hAnsi="Arial"/>
          <w:iCs/>
          <w:color w:val="000000" w:themeColor="text1"/>
          <w:sz w:val="18"/>
          <w:szCs w:val="18"/>
        </w:rPr>
        <w:t>Israeli Occupation in 1967.</w:t>
      </w:r>
    </w:p>
    <w:p w14:paraId="7B378D62" w14:textId="77777777" w:rsidR="00C70E73" w:rsidRPr="00446CF3" w:rsidRDefault="00C70E73" w:rsidP="0071415F">
      <w:pPr>
        <w:autoSpaceDE w:val="0"/>
        <w:autoSpaceDN w:val="0"/>
        <w:bidi w:val="0"/>
        <w:adjustRightInd w:val="0"/>
        <w:spacing w:after="0" w:line="240" w:lineRule="auto"/>
        <w:jc w:val="both"/>
        <w:rPr>
          <w:rFonts w:ascii="Arial" w:hAnsi="Arial"/>
          <w:iCs/>
          <w:color w:val="000000" w:themeColor="text1"/>
          <w:sz w:val="18"/>
          <w:szCs w:val="18"/>
        </w:rPr>
      </w:pPr>
    </w:p>
    <w:p w14:paraId="1D37DD7E" w14:textId="77777777" w:rsidR="0071415F" w:rsidRPr="00446CF3" w:rsidRDefault="0071415F" w:rsidP="00C70E73">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446CF3">
        <w:rPr>
          <w:rFonts w:ascii="Times New Roman" w:hAnsi="Times New Roman" w:cs="Times New Roman"/>
          <w:b/>
          <w:bCs/>
          <w:i/>
          <w:iCs/>
          <w:color w:val="000000" w:themeColor="text1"/>
          <w:sz w:val="24"/>
          <w:szCs w:val="24"/>
        </w:rPr>
        <w:t>Indicator 9.2.1.3 Manufacturing value added as a proportion of GDP at current prices</w:t>
      </w:r>
    </w:p>
    <w:p w14:paraId="0338EC0A" w14:textId="77777777" w:rsidR="00A92234" w:rsidRPr="00446CF3"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9C3F720" w14:textId="77777777" w:rsidR="00F3507C" w:rsidRPr="00446CF3" w:rsidRDefault="0071415F" w:rsidP="003C1A18">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Manufacturing value added as a proportion of GDP </w:t>
      </w:r>
      <w:r w:rsidR="000A3092" w:rsidRPr="00446CF3">
        <w:rPr>
          <w:rFonts w:ascii="Times New Roman" w:hAnsi="Times New Roman" w:cs="Times New Roman"/>
          <w:color w:val="000000" w:themeColor="text1"/>
          <w:sz w:val="24"/>
          <w:szCs w:val="24"/>
        </w:rPr>
        <w:t>reached</w:t>
      </w:r>
      <w:r w:rsidRPr="00446CF3">
        <w:rPr>
          <w:rFonts w:ascii="Times New Roman" w:hAnsi="Times New Roman" w:cs="Times New Roman"/>
          <w:color w:val="000000" w:themeColor="text1"/>
          <w:sz w:val="24"/>
          <w:szCs w:val="24"/>
        </w:rPr>
        <w:t xml:space="preserve"> </w:t>
      </w:r>
      <w:r w:rsidR="003C1A18" w:rsidRPr="00446CF3">
        <w:rPr>
          <w:rFonts w:ascii="Times New Roman" w:hAnsi="Times New Roman" w:cs="Times New Roman"/>
          <w:color w:val="000000" w:themeColor="text1"/>
          <w:sz w:val="24"/>
          <w:szCs w:val="24"/>
        </w:rPr>
        <w:t>11.2</w:t>
      </w:r>
      <w:r w:rsidRPr="00446CF3">
        <w:rPr>
          <w:rFonts w:ascii="Times New Roman" w:hAnsi="Times New Roman" w:cs="Times New Roman"/>
          <w:color w:val="000000" w:themeColor="text1"/>
          <w:sz w:val="24"/>
          <w:szCs w:val="24"/>
        </w:rPr>
        <w:t xml:space="preserve">% for </w:t>
      </w:r>
      <w:r w:rsidR="000A3092" w:rsidRPr="00446CF3">
        <w:rPr>
          <w:rFonts w:ascii="Times New Roman" w:hAnsi="Times New Roman" w:cs="Times New Roman"/>
          <w:color w:val="000000" w:themeColor="text1"/>
          <w:sz w:val="24"/>
          <w:szCs w:val="24"/>
        </w:rPr>
        <w:t xml:space="preserve">the </w:t>
      </w:r>
      <w:r w:rsidRPr="00446CF3">
        <w:rPr>
          <w:rFonts w:ascii="Times New Roman" w:hAnsi="Times New Roman" w:cs="Times New Roman"/>
          <w:color w:val="000000" w:themeColor="text1"/>
          <w:sz w:val="24"/>
          <w:szCs w:val="24"/>
        </w:rPr>
        <w:t xml:space="preserve">year 2021 in Palestine. While manufacturing value added as a proportion of GDP for </w:t>
      </w:r>
      <w:r w:rsidR="00B4792E" w:rsidRPr="00446CF3">
        <w:rPr>
          <w:rFonts w:ascii="Times New Roman" w:hAnsi="Times New Roman" w:cs="Times New Roman"/>
          <w:color w:val="000000" w:themeColor="text1"/>
          <w:sz w:val="24"/>
          <w:szCs w:val="24"/>
        </w:rPr>
        <w:t xml:space="preserve">the </w:t>
      </w:r>
      <w:r w:rsidRPr="00446CF3">
        <w:rPr>
          <w:rFonts w:ascii="Times New Roman" w:hAnsi="Times New Roman" w:cs="Times New Roman"/>
          <w:color w:val="000000" w:themeColor="text1"/>
          <w:sz w:val="24"/>
          <w:szCs w:val="24"/>
        </w:rPr>
        <w:t xml:space="preserve">WestBank was </w:t>
      </w:r>
      <w:r w:rsidR="003C1A18" w:rsidRPr="00446CF3">
        <w:rPr>
          <w:rFonts w:ascii="Times New Roman" w:hAnsi="Times New Roman" w:cs="Times New Roman"/>
          <w:color w:val="000000" w:themeColor="text1"/>
          <w:sz w:val="24"/>
          <w:szCs w:val="24"/>
        </w:rPr>
        <w:t>12.7</w:t>
      </w:r>
      <w:r w:rsidRPr="00446CF3">
        <w:rPr>
          <w:rFonts w:ascii="Times New Roman" w:hAnsi="Times New Roman" w:cs="Times New Roman"/>
          <w:color w:val="000000" w:themeColor="text1"/>
          <w:sz w:val="24"/>
          <w:szCs w:val="24"/>
        </w:rPr>
        <w:t xml:space="preserve">%, in </w:t>
      </w:r>
      <w:r w:rsidR="000A3092" w:rsidRPr="00446CF3">
        <w:rPr>
          <w:rFonts w:ascii="Times New Roman" w:hAnsi="Times New Roman" w:cs="Times New Roman"/>
          <w:color w:val="000000" w:themeColor="text1"/>
          <w:sz w:val="24"/>
          <w:szCs w:val="24"/>
        </w:rPr>
        <w:t xml:space="preserve">the </w:t>
      </w:r>
      <w:r w:rsidRPr="00446CF3">
        <w:rPr>
          <w:rFonts w:ascii="Times New Roman" w:hAnsi="Times New Roman" w:cs="Times New Roman"/>
          <w:color w:val="000000" w:themeColor="text1"/>
          <w:sz w:val="24"/>
          <w:szCs w:val="24"/>
        </w:rPr>
        <w:t xml:space="preserve">Gaza Strip results show the proportion </w:t>
      </w:r>
      <w:r w:rsidR="000A3092" w:rsidRPr="00446CF3">
        <w:rPr>
          <w:rFonts w:ascii="Times New Roman" w:hAnsi="Times New Roman" w:cs="Times New Roman"/>
          <w:color w:val="000000" w:themeColor="text1"/>
          <w:sz w:val="24"/>
          <w:szCs w:val="24"/>
        </w:rPr>
        <w:t>at</w:t>
      </w:r>
      <w:r w:rsidRPr="00446CF3">
        <w:rPr>
          <w:rFonts w:ascii="Times New Roman" w:hAnsi="Times New Roman" w:cs="Times New Roman"/>
          <w:color w:val="000000" w:themeColor="text1"/>
          <w:sz w:val="24"/>
          <w:szCs w:val="24"/>
        </w:rPr>
        <w:t xml:space="preserve"> </w:t>
      </w:r>
      <w:r w:rsidR="003C1A18" w:rsidRPr="00446CF3">
        <w:rPr>
          <w:rFonts w:ascii="Times New Roman" w:hAnsi="Times New Roman" w:cs="Times New Roman"/>
          <w:color w:val="000000" w:themeColor="text1"/>
          <w:sz w:val="24"/>
          <w:szCs w:val="24"/>
        </w:rPr>
        <w:t>3.9</w:t>
      </w:r>
      <w:r w:rsidRPr="00446CF3">
        <w:rPr>
          <w:rFonts w:ascii="Times New Roman" w:hAnsi="Times New Roman" w:cs="Times New Roman"/>
          <w:color w:val="000000" w:themeColor="text1"/>
          <w:sz w:val="24"/>
          <w:szCs w:val="24"/>
        </w:rPr>
        <w:t>% in 2021.</w:t>
      </w:r>
    </w:p>
    <w:p w14:paraId="2DEC6902" w14:textId="77777777" w:rsidR="006E49BE" w:rsidRPr="00446CF3"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1854F29" w14:textId="77777777" w:rsidR="006E49BE" w:rsidRPr="00446CF3"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23AC524"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3A9C979" w14:textId="77777777" w:rsidR="00446CF3" w:rsidRPr="00446CF3" w:rsidRDefault="00446CF3" w:rsidP="00446CF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3A3072B" w14:textId="77777777" w:rsidR="006E49BE" w:rsidRPr="00446CF3"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056B8C9" w14:textId="77777777" w:rsidR="006E49BE" w:rsidRPr="00446CF3"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49FBF1C0"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446CF3">
        <w:rPr>
          <w:rFonts w:ascii="Times New Roman" w:hAnsi="Times New Roman" w:cs="Times New Roman"/>
          <w:b/>
          <w:bCs/>
          <w:i/>
          <w:iCs/>
          <w:color w:val="000000" w:themeColor="text1"/>
          <w:sz w:val="24"/>
          <w:szCs w:val="24"/>
        </w:rPr>
        <w:lastRenderedPageBreak/>
        <w:t>Indicator 9.2.2 Manufacturing employment as a proportion of total employment</w:t>
      </w:r>
    </w:p>
    <w:p w14:paraId="617640F8" w14:textId="77777777" w:rsidR="00A92234" w:rsidRPr="00446CF3"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0A74B5B" w14:textId="77777777" w:rsidR="0071415F" w:rsidRPr="00446CF3" w:rsidRDefault="0071415F" w:rsidP="00F1032B">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The proportion of the manufacturing sector in Palestine </w:t>
      </w:r>
      <w:r w:rsidR="00366A4F" w:rsidRPr="00446CF3">
        <w:rPr>
          <w:rFonts w:ascii="Times New Roman" w:hAnsi="Times New Roman" w:cs="Times New Roman"/>
          <w:color w:val="000000" w:themeColor="text1"/>
          <w:sz w:val="24"/>
          <w:szCs w:val="24"/>
        </w:rPr>
        <w:t xml:space="preserve">increased </w:t>
      </w:r>
      <w:r w:rsidRPr="00446CF3">
        <w:rPr>
          <w:rFonts w:ascii="Times New Roman" w:hAnsi="Times New Roman" w:cs="Times New Roman"/>
          <w:color w:val="000000" w:themeColor="text1"/>
          <w:sz w:val="24"/>
          <w:szCs w:val="24"/>
        </w:rPr>
        <w:t xml:space="preserve">from </w:t>
      </w:r>
      <w:r w:rsidR="00382D88" w:rsidRPr="00446CF3">
        <w:rPr>
          <w:rFonts w:ascii="Times New Roman" w:hAnsi="Times New Roman" w:cs="Times New Roman"/>
          <w:color w:val="000000" w:themeColor="text1"/>
          <w:sz w:val="24"/>
          <w:szCs w:val="24"/>
        </w:rPr>
        <w:t>12.2</w:t>
      </w:r>
      <w:r w:rsidRPr="00446CF3">
        <w:rPr>
          <w:rFonts w:ascii="Times New Roman" w:hAnsi="Times New Roman" w:cs="Times New Roman"/>
          <w:color w:val="000000" w:themeColor="text1"/>
          <w:sz w:val="24"/>
          <w:szCs w:val="24"/>
        </w:rPr>
        <w:t xml:space="preserve">% in </w:t>
      </w:r>
      <w:r w:rsidR="00382D88" w:rsidRPr="00446CF3">
        <w:rPr>
          <w:rFonts w:ascii="Times New Roman" w:hAnsi="Times New Roman" w:cs="Times New Roman"/>
          <w:color w:val="000000" w:themeColor="text1"/>
          <w:sz w:val="24"/>
          <w:szCs w:val="24"/>
        </w:rPr>
        <w:t>2015</w:t>
      </w:r>
      <w:r w:rsidRPr="00446CF3">
        <w:rPr>
          <w:rFonts w:ascii="Times New Roman" w:hAnsi="Times New Roman" w:cs="Times New Roman"/>
          <w:color w:val="000000" w:themeColor="text1"/>
          <w:sz w:val="24"/>
          <w:szCs w:val="24"/>
        </w:rPr>
        <w:t xml:space="preserve"> to 12.</w:t>
      </w:r>
      <w:r w:rsidR="00F1032B" w:rsidRPr="00446CF3">
        <w:rPr>
          <w:rFonts w:ascii="Times New Roman" w:hAnsi="Times New Roman" w:cs="Times New Roman"/>
          <w:color w:val="000000" w:themeColor="text1"/>
          <w:sz w:val="24"/>
          <w:szCs w:val="24"/>
        </w:rPr>
        <w:t>4</w:t>
      </w:r>
      <w:r w:rsidRPr="00446CF3">
        <w:rPr>
          <w:rFonts w:ascii="Times New Roman" w:hAnsi="Times New Roman" w:cs="Times New Roman"/>
          <w:color w:val="000000" w:themeColor="text1"/>
          <w:sz w:val="24"/>
          <w:szCs w:val="24"/>
        </w:rPr>
        <w:t xml:space="preserve">% in </w:t>
      </w:r>
      <w:r w:rsidR="00366A4F" w:rsidRPr="00446CF3">
        <w:rPr>
          <w:rFonts w:ascii="Times New Roman" w:hAnsi="Times New Roman" w:cs="Times New Roman"/>
          <w:color w:val="000000" w:themeColor="text1"/>
          <w:sz w:val="24"/>
          <w:szCs w:val="24"/>
        </w:rPr>
        <w:t>2022</w:t>
      </w:r>
      <w:r w:rsidRPr="00446CF3">
        <w:rPr>
          <w:rFonts w:ascii="Times New Roman" w:hAnsi="Times New Roman" w:cs="Times New Roman"/>
          <w:color w:val="000000" w:themeColor="text1"/>
          <w:sz w:val="24"/>
          <w:szCs w:val="24"/>
        </w:rPr>
        <w:t xml:space="preserve">; </w:t>
      </w:r>
      <w:r w:rsidR="004A40F1" w:rsidRPr="00446CF3">
        <w:rPr>
          <w:rFonts w:ascii="Times New Roman" w:hAnsi="Times New Roman" w:cs="Times New Roman"/>
          <w:color w:val="000000" w:themeColor="text1"/>
          <w:sz w:val="24"/>
          <w:szCs w:val="24"/>
        </w:rPr>
        <w:t xml:space="preserve">the percentage in the West Bank reached 14.9% in 2015 and </w:t>
      </w:r>
      <w:r w:rsidR="00F1032B" w:rsidRPr="00446CF3">
        <w:rPr>
          <w:rFonts w:ascii="Times New Roman" w:hAnsi="Times New Roman" w:cs="Times New Roman"/>
          <w:color w:val="000000" w:themeColor="text1"/>
          <w:sz w:val="24"/>
          <w:szCs w:val="24"/>
        </w:rPr>
        <w:t>14.2</w:t>
      </w:r>
      <w:r w:rsidR="004A40F1" w:rsidRPr="00446CF3">
        <w:rPr>
          <w:rFonts w:ascii="Times New Roman" w:hAnsi="Times New Roman" w:cs="Times New Roman"/>
          <w:color w:val="000000" w:themeColor="text1"/>
          <w:sz w:val="24"/>
          <w:szCs w:val="24"/>
        </w:rPr>
        <w:t xml:space="preserve">% in </w:t>
      </w:r>
      <w:r w:rsidR="00F1032B" w:rsidRPr="00446CF3">
        <w:rPr>
          <w:rFonts w:ascii="Times New Roman" w:hAnsi="Times New Roman" w:cs="Times New Roman"/>
          <w:color w:val="000000" w:themeColor="text1"/>
          <w:sz w:val="24"/>
          <w:szCs w:val="24"/>
        </w:rPr>
        <w:t>2022</w:t>
      </w:r>
      <w:r w:rsidR="004A40F1" w:rsidRPr="00446CF3">
        <w:rPr>
          <w:rFonts w:ascii="Times New Roman" w:hAnsi="Times New Roman" w:cs="Times New Roman"/>
          <w:color w:val="000000" w:themeColor="text1"/>
          <w:sz w:val="24"/>
          <w:szCs w:val="24"/>
        </w:rPr>
        <w:t xml:space="preserve"> while it increased in the Gaza Strip from 5.8% to </w:t>
      </w:r>
      <w:r w:rsidR="00F1032B" w:rsidRPr="00446CF3">
        <w:rPr>
          <w:rFonts w:ascii="Times New Roman" w:hAnsi="Times New Roman" w:cs="Times New Roman"/>
          <w:color w:val="000000" w:themeColor="text1"/>
          <w:sz w:val="24"/>
          <w:szCs w:val="24"/>
        </w:rPr>
        <w:t>7.2</w:t>
      </w:r>
      <w:r w:rsidR="004A40F1" w:rsidRPr="00446CF3">
        <w:rPr>
          <w:rFonts w:ascii="Times New Roman" w:hAnsi="Times New Roman" w:cs="Times New Roman"/>
          <w:color w:val="000000" w:themeColor="text1"/>
          <w:sz w:val="24"/>
          <w:szCs w:val="24"/>
        </w:rPr>
        <w:t>% for the same period.</w:t>
      </w:r>
    </w:p>
    <w:p w14:paraId="7D028CB0"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5DC49B3" w14:textId="77777777" w:rsidR="0071415F" w:rsidRPr="00446CF3"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4F044B57" w14:textId="77777777" w:rsidR="0071415F" w:rsidRPr="00446CF3" w:rsidRDefault="004A40F1" w:rsidP="00366A4F">
      <w:pPr>
        <w:tabs>
          <w:tab w:val="left" w:pos="9072"/>
        </w:tabs>
        <w:bidi w:val="0"/>
        <w:spacing w:after="0" w:line="240" w:lineRule="auto"/>
        <w:jc w:val="center"/>
        <w:rPr>
          <w:rFonts w:ascii="Arial" w:hAnsi="Arial"/>
          <w:b/>
          <w:bCs/>
          <w:color w:val="000000" w:themeColor="text1"/>
        </w:rPr>
      </w:pPr>
      <w:r w:rsidRPr="00446CF3">
        <w:rPr>
          <w:rFonts w:ascii="Arial" w:hAnsi="Arial"/>
          <w:b/>
          <w:bCs/>
          <w:color w:val="000000" w:themeColor="text1"/>
        </w:rPr>
        <w:t>Proportion of Manufacturing Sector Out of Total Employment, 2015-2022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446CF3" w14:paraId="79173D00" w14:textId="77777777" w:rsidTr="0071415F">
        <w:tc>
          <w:tcPr>
            <w:tcW w:w="9286" w:type="dxa"/>
            <w:shd w:val="clear" w:color="auto" w:fill="auto"/>
          </w:tcPr>
          <w:p w14:paraId="72CB3759" w14:textId="77777777" w:rsidR="0071415F" w:rsidRPr="00446CF3" w:rsidRDefault="0071415F" w:rsidP="0071415F">
            <w:pPr>
              <w:tabs>
                <w:tab w:val="left" w:pos="9072"/>
              </w:tabs>
              <w:bidi w:val="0"/>
              <w:spacing w:after="0" w:line="240" w:lineRule="auto"/>
              <w:jc w:val="center"/>
              <w:rPr>
                <w:rFonts w:ascii="Arial" w:hAnsi="Arial"/>
                <w:b/>
                <w:bCs/>
                <w:color w:val="000000" w:themeColor="text1"/>
                <w:lang w:val="it-IT"/>
              </w:rPr>
            </w:pPr>
            <w:r w:rsidRPr="00446CF3">
              <w:rPr>
                <w:rFonts w:ascii="Arial" w:hAnsi="Arial"/>
                <w:b/>
                <w:bCs/>
                <w:noProof/>
                <w:color w:val="000000" w:themeColor="text1"/>
              </w:rPr>
              <w:drawing>
                <wp:inline distT="0" distB="0" distL="0" distR="0" wp14:anchorId="45ABAA92" wp14:editId="65BB845E">
                  <wp:extent cx="5486400" cy="1948180"/>
                  <wp:effectExtent l="0" t="0" r="0" b="0"/>
                  <wp:docPr id="87" name="Chart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bl>
    <w:p w14:paraId="0B8C29F5" w14:textId="77777777" w:rsidR="0071415F" w:rsidRPr="00446CF3" w:rsidRDefault="0071415F" w:rsidP="00E300A7">
      <w:pPr>
        <w:bidi w:val="0"/>
        <w:spacing w:after="0" w:line="240" w:lineRule="auto"/>
        <w:ind w:left="720" w:hanging="720"/>
        <w:jc w:val="both"/>
        <w:rPr>
          <w:rFonts w:ascii="Arial" w:hAnsi="Arial"/>
          <w:color w:val="000000" w:themeColor="text1"/>
          <w:sz w:val="18"/>
          <w:szCs w:val="18"/>
        </w:rPr>
      </w:pPr>
      <w:r w:rsidRPr="00446CF3">
        <w:rPr>
          <w:rFonts w:ascii="Arial" w:hAnsi="Arial"/>
          <w:b/>
          <w:bCs/>
          <w:color w:val="000000" w:themeColor="text1"/>
          <w:sz w:val="18"/>
          <w:szCs w:val="18"/>
        </w:rPr>
        <w:t xml:space="preserve">Source: Palestinian Central Bureau of Statistics, </w:t>
      </w:r>
      <w:r w:rsidRPr="00446CF3">
        <w:rPr>
          <w:rFonts w:ascii="Arial" w:hAnsi="Arial"/>
          <w:color w:val="000000" w:themeColor="text1"/>
          <w:sz w:val="18"/>
          <w:szCs w:val="18"/>
        </w:rPr>
        <w:t xml:space="preserve">Labour Force Survey Database: </w:t>
      </w:r>
      <w:r w:rsidR="00A25FCF" w:rsidRPr="00446CF3">
        <w:rPr>
          <w:rFonts w:ascii="Arial" w:hAnsi="Arial"/>
          <w:color w:val="000000" w:themeColor="text1"/>
          <w:sz w:val="18"/>
          <w:szCs w:val="18"/>
        </w:rPr>
        <w:t>2015</w:t>
      </w:r>
      <w:r w:rsidRPr="00446CF3">
        <w:rPr>
          <w:rFonts w:ascii="Arial" w:hAnsi="Arial"/>
          <w:color w:val="000000" w:themeColor="text1"/>
          <w:sz w:val="18"/>
          <w:szCs w:val="18"/>
        </w:rPr>
        <w:t>-2021.  Ramallah - Palestine.</w:t>
      </w:r>
    </w:p>
    <w:p w14:paraId="1B324059" w14:textId="77777777" w:rsidR="009E4880" w:rsidRPr="00446CF3" w:rsidRDefault="009E4880" w:rsidP="009E4880">
      <w:pPr>
        <w:bidi w:val="0"/>
        <w:spacing w:after="0" w:line="240" w:lineRule="auto"/>
        <w:jc w:val="both"/>
        <w:rPr>
          <w:rFonts w:ascii="Arial" w:hAnsi="Arial"/>
          <w:color w:val="000000" w:themeColor="text1"/>
          <w:sz w:val="18"/>
          <w:szCs w:val="18"/>
        </w:rPr>
      </w:pPr>
    </w:p>
    <w:p w14:paraId="71DB4D7A" w14:textId="77777777" w:rsidR="0071415F" w:rsidRPr="00446CF3" w:rsidRDefault="004A40F1" w:rsidP="00E41744">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446CF3">
        <w:rPr>
          <w:rFonts w:ascii="Times New Roman" w:hAnsi="Times New Roman" w:cs="Times New Roman"/>
          <w:color w:val="000000" w:themeColor="text1"/>
          <w:sz w:val="24"/>
          <w:szCs w:val="24"/>
        </w:rPr>
        <w:t xml:space="preserve">Employment in the manufacturing sector </w:t>
      </w:r>
      <w:r w:rsidR="00E41744" w:rsidRPr="00446CF3">
        <w:rPr>
          <w:rFonts w:ascii="Times New Roman" w:hAnsi="Times New Roman" w:cs="Times New Roman"/>
          <w:color w:val="000000" w:themeColor="text1"/>
          <w:sz w:val="24"/>
          <w:szCs w:val="24"/>
        </w:rPr>
        <w:t>in</w:t>
      </w:r>
      <w:r w:rsidRPr="00446CF3">
        <w:rPr>
          <w:rFonts w:ascii="Times New Roman" w:hAnsi="Times New Roman" w:cs="Times New Roman"/>
          <w:color w:val="000000" w:themeColor="text1"/>
          <w:sz w:val="24"/>
          <w:szCs w:val="24"/>
        </w:rPr>
        <w:t xml:space="preserve">creased for both men and women. For women it </w:t>
      </w:r>
      <w:r w:rsidR="007F3A15" w:rsidRPr="00446CF3">
        <w:rPr>
          <w:rFonts w:ascii="Times New Roman" w:hAnsi="Times New Roman" w:cs="Times New Roman"/>
          <w:color w:val="000000" w:themeColor="text1"/>
          <w:sz w:val="24"/>
          <w:szCs w:val="24"/>
        </w:rPr>
        <w:t>in</w:t>
      </w:r>
      <w:r w:rsidRPr="00446CF3">
        <w:rPr>
          <w:rFonts w:ascii="Times New Roman" w:hAnsi="Times New Roman" w:cs="Times New Roman"/>
          <w:color w:val="000000" w:themeColor="text1"/>
          <w:sz w:val="24"/>
          <w:szCs w:val="24"/>
        </w:rPr>
        <w:t xml:space="preserve">creased to </w:t>
      </w:r>
      <w:r w:rsidR="007F3A15" w:rsidRPr="00446CF3">
        <w:rPr>
          <w:rFonts w:ascii="Times New Roman" w:hAnsi="Times New Roman" w:cs="Times New Roman"/>
          <w:color w:val="000000" w:themeColor="text1"/>
          <w:sz w:val="24"/>
          <w:szCs w:val="24"/>
        </w:rPr>
        <w:t>8.8</w:t>
      </w:r>
      <w:r w:rsidRPr="00446CF3">
        <w:rPr>
          <w:rFonts w:ascii="Times New Roman" w:hAnsi="Times New Roman" w:cs="Times New Roman"/>
          <w:color w:val="000000" w:themeColor="text1"/>
          <w:sz w:val="24"/>
          <w:szCs w:val="24"/>
        </w:rPr>
        <w:t>% in</w:t>
      </w:r>
      <w:r w:rsidR="007F3A15" w:rsidRPr="00446CF3">
        <w:rPr>
          <w:rFonts w:ascii="Times New Roman" w:hAnsi="Times New Roman" w:cs="Times New Roman"/>
          <w:color w:val="000000" w:themeColor="text1"/>
          <w:sz w:val="24"/>
          <w:szCs w:val="24"/>
        </w:rPr>
        <w:t xml:space="preserve"> 2022</w:t>
      </w:r>
      <w:r w:rsidRPr="00446CF3">
        <w:rPr>
          <w:rFonts w:ascii="Times New Roman" w:hAnsi="Times New Roman" w:cs="Times New Roman"/>
          <w:color w:val="000000" w:themeColor="text1"/>
          <w:sz w:val="24"/>
          <w:szCs w:val="24"/>
        </w:rPr>
        <w:t xml:space="preserve"> compared with </w:t>
      </w:r>
      <w:r w:rsidR="007F3A15" w:rsidRPr="00446CF3">
        <w:rPr>
          <w:rFonts w:ascii="Times New Roman" w:hAnsi="Times New Roman" w:cs="Times New Roman"/>
          <w:color w:val="000000" w:themeColor="text1"/>
          <w:sz w:val="24"/>
          <w:szCs w:val="24"/>
        </w:rPr>
        <w:t>6.6</w:t>
      </w:r>
      <w:r w:rsidRPr="00446CF3">
        <w:rPr>
          <w:rFonts w:ascii="Times New Roman" w:hAnsi="Times New Roman" w:cs="Times New Roman"/>
          <w:color w:val="000000" w:themeColor="text1"/>
          <w:sz w:val="24"/>
          <w:szCs w:val="24"/>
        </w:rPr>
        <w:t xml:space="preserve">% in </w:t>
      </w:r>
      <w:r w:rsidR="007F3A15" w:rsidRPr="00446CF3">
        <w:rPr>
          <w:rFonts w:ascii="Times New Roman" w:hAnsi="Times New Roman" w:cs="Times New Roman"/>
          <w:color w:val="000000" w:themeColor="text1"/>
          <w:sz w:val="24"/>
          <w:szCs w:val="24"/>
        </w:rPr>
        <w:t>2021</w:t>
      </w:r>
      <w:r w:rsidRPr="00446CF3">
        <w:rPr>
          <w:rFonts w:ascii="Times New Roman" w:hAnsi="Times New Roman" w:cs="Times New Roman"/>
          <w:color w:val="000000" w:themeColor="text1"/>
          <w:sz w:val="24"/>
          <w:szCs w:val="24"/>
        </w:rPr>
        <w:t xml:space="preserve"> and for men it </w:t>
      </w:r>
      <w:r w:rsidR="007F3A15" w:rsidRPr="00446CF3">
        <w:rPr>
          <w:rFonts w:ascii="Times New Roman" w:hAnsi="Times New Roman" w:cs="Times New Roman"/>
          <w:color w:val="000000" w:themeColor="text1"/>
          <w:sz w:val="24"/>
          <w:szCs w:val="24"/>
        </w:rPr>
        <w:t>in</w:t>
      </w:r>
      <w:r w:rsidRPr="00446CF3">
        <w:rPr>
          <w:rFonts w:ascii="Times New Roman" w:hAnsi="Times New Roman" w:cs="Times New Roman"/>
          <w:color w:val="000000" w:themeColor="text1"/>
          <w:sz w:val="24"/>
          <w:szCs w:val="24"/>
        </w:rPr>
        <w:t xml:space="preserve">creased to </w:t>
      </w:r>
      <w:r w:rsidR="007F3A15" w:rsidRPr="00446CF3">
        <w:rPr>
          <w:rFonts w:ascii="Times New Roman" w:hAnsi="Times New Roman" w:cs="Times New Roman"/>
          <w:color w:val="000000" w:themeColor="text1"/>
          <w:sz w:val="24"/>
          <w:szCs w:val="24"/>
        </w:rPr>
        <w:t>13.1</w:t>
      </w:r>
      <w:r w:rsidRPr="00446CF3">
        <w:rPr>
          <w:rFonts w:ascii="Times New Roman" w:hAnsi="Times New Roman" w:cs="Times New Roman"/>
          <w:color w:val="000000" w:themeColor="text1"/>
          <w:sz w:val="24"/>
          <w:szCs w:val="24"/>
        </w:rPr>
        <w:t xml:space="preserve">% from </w:t>
      </w:r>
      <w:r w:rsidR="007F3A15" w:rsidRPr="00446CF3">
        <w:rPr>
          <w:rFonts w:ascii="Times New Roman" w:hAnsi="Times New Roman" w:cs="Times New Roman"/>
          <w:color w:val="000000" w:themeColor="text1"/>
          <w:sz w:val="24"/>
          <w:szCs w:val="24"/>
        </w:rPr>
        <w:t>12.9</w:t>
      </w:r>
      <w:r w:rsidRPr="00446CF3">
        <w:rPr>
          <w:rFonts w:ascii="Times New Roman" w:hAnsi="Times New Roman" w:cs="Times New Roman"/>
          <w:color w:val="000000" w:themeColor="text1"/>
          <w:sz w:val="24"/>
          <w:szCs w:val="24"/>
        </w:rPr>
        <w:t>% in the same period.</w:t>
      </w:r>
      <w:r w:rsidR="0071415F" w:rsidRPr="00446CF3">
        <w:rPr>
          <w:rFonts w:ascii="Times New Roman" w:hAnsi="Times New Roman" w:cs="Times New Roman"/>
          <w:color w:val="000000" w:themeColor="text1"/>
          <w:sz w:val="24"/>
          <w:szCs w:val="24"/>
        </w:rPr>
        <w:t xml:space="preserve"> </w:t>
      </w:r>
    </w:p>
    <w:p w14:paraId="0538358A" w14:textId="77777777" w:rsidR="009E4880" w:rsidRPr="00446CF3" w:rsidRDefault="009E4880" w:rsidP="009E488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86A981E" w14:textId="77777777" w:rsidR="0071415F" w:rsidRPr="00446CF3" w:rsidRDefault="004A40F1" w:rsidP="0071415F">
      <w:pPr>
        <w:tabs>
          <w:tab w:val="left" w:pos="9072"/>
        </w:tabs>
        <w:bidi w:val="0"/>
        <w:spacing w:after="0" w:line="240" w:lineRule="auto"/>
        <w:jc w:val="center"/>
        <w:rPr>
          <w:rFonts w:ascii="Arial" w:hAnsi="Arial"/>
          <w:b/>
          <w:bCs/>
          <w:color w:val="000000" w:themeColor="text1"/>
        </w:rPr>
      </w:pPr>
      <w:r w:rsidRPr="00446CF3">
        <w:rPr>
          <w:rFonts w:ascii="Arial" w:hAnsi="Arial"/>
          <w:b/>
          <w:bCs/>
          <w:color w:val="000000" w:themeColor="text1"/>
        </w:rPr>
        <w:t>Proportion of Employment in the Manufacturing Sector by Sex,</w:t>
      </w:r>
    </w:p>
    <w:p w14:paraId="0C5A9E74" w14:textId="77777777" w:rsidR="0071415F" w:rsidRPr="0090647B" w:rsidRDefault="004A40F1" w:rsidP="007F3A15">
      <w:pPr>
        <w:tabs>
          <w:tab w:val="left" w:pos="9072"/>
        </w:tabs>
        <w:bidi w:val="0"/>
        <w:spacing w:after="0" w:line="240" w:lineRule="auto"/>
        <w:jc w:val="center"/>
        <w:rPr>
          <w:rFonts w:ascii="Arial" w:hAnsi="Arial"/>
          <w:b/>
          <w:bCs/>
          <w:color w:val="000000" w:themeColor="text1"/>
        </w:rPr>
      </w:pPr>
      <w:r w:rsidRPr="00446CF3">
        <w:rPr>
          <w:rFonts w:ascii="Arial" w:hAnsi="Arial"/>
          <w:b/>
          <w:bCs/>
          <w:color w:val="000000" w:themeColor="text1"/>
        </w:rPr>
        <w:t>2015-202</w:t>
      </w:r>
      <w:r w:rsidR="007F3A15" w:rsidRPr="00446CF3">
        <w:rPr>
          <w:rFonts w:ascii="Arial" w:hAnsi="Arial"/>
          <w:b/>
          <w:bCs/>
          <w:color w:val="000000" w:themeColor="text1"/>
        </w:rPr>
        <w:t>2</w:t>
      </w:r>
      <w:r w:rsidRPr="00446CF3">
        <w:rPr>
          <w:rFonts w:ascii="Arial" w:hAnsi="Arial"/>
          <w:b/>
          <w:bCs/>
          <w:color w:val="000000" w:themeColor="text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68246C42" w14:textId="77777777" w:rsidTr="0071415F">
        <w:tc>
          <w:tcPr>
            <w:tcW w:w="9286" w:type="dxa"/>
            <w:shd w:val="clear" w:color="auto" w:fill="auto"/>
          </w:tcPr>
          <w:p w14:paraId="0B7D7CAB" w14:textId="77777777" w:rsidR="0071415F" w:rsidRPr="0090647B" w:rsidRDefault="0071415F" w:rsidP="0071415F">
            <w:pPr>
              <w:tabs>
                <w:tab w:val="left" w:pos="9072"/>
              </w:tabs>
              <w:bidi w:val="0"/>
              <w:spacing w:after="0" w:line="240" w:lineRule="auto"/>
              <w:jc w:val="center"/>
              <w:rPr>
                <w:rFonts w:ascii="Arial" w:hAnsi="Arial"/>
                <w:b/>
                <w:bCs/>
                <w:color w:val="000000" w:themeColor="text1"/>
                <w:lang w:val="it-IT"/>
              </w:rPr>
            </w:pPr>
            <w:r w:rsidRPr="0090647B">
              <w:rPr>
                <w:rFonts w:ascii="Arial" w:hAnsi="Arial"/>
                <w:b/>
                <w:bCs/>
                <w:noProof/>
                <w:color w:val="000000" w:themeColor="text1"/>
              </w:rPr>
              <w:drawing>
                <wp:inline distT="0" distB="0" distL="0" distR="0" wp14:anchorId="65D2087A" wp14:editId="459C139A">
                  <wp:extent cx="5486400" cy="1948180"/>
                  <wp:effectExtent l="0" t="0" r="0" b="0"/>
                  <wp:docPr id="209"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bl>
    <w:p w14:paraId="585A0C66" w14:textId="77777777" w:rsidR="0071415F" w:rsidRPr="0090647B" w:rsidRDefault="0071415F" w:rsidP="007F3A15">
      <w:pPr>
        <w:bidi w:val="0"/>
        <w:spacing w:after="0" w:line="240" w:lineRule="auto"/>
        <w:ind w:left="720" w:hanging="720"/>
        <w:jc w:val="both"/>
        <w:rPr>
          <w:rFonts w:ascii="Arial" w:hAnsi="Arial"/>
          <w:color w:val="000000" w:themeColor="text1"/>
          <w:sz w:val="18"/>
          <w:szCs w:val="18"/>
        </w:rPr>
      </w:pPr>
      <w:r w:rsidRPr="0090647B">
        <w:rPr>
          <w:rFonts w:ascii="Arial" w:hAnsi="Arial"/>
          <w:b/>
          <w:bCs/>
          <w:color w:val="000000" w:themeColor="text1"/>
          <w:sz w:val="18"/>
          <w:szCs w:val="18"/>
        </w:rPr>
        <w:t xml:space="preserve">Source: Palestinian Central Bureau of Statistics, </w:t>
      </w:r>
      <w:r w:rsidRPr="0090647B">
        <w:rPr>
          <w:rFonts w:ascii="Arial" w:hAnsi="Arial"/>
          <w:color w:val="000000" w:themeColor="text1"/>
          <w:sz w:val="18"/>
          <w:szCs w:val="18"/>
        </w:rPr>
        <w:t xml:space="preserve">Labour Force Survey database </w:t>
      </w:r>
      <w:r w:rsidR="00A25FCF">
        <w:rPr>
          <w:rFonts w:ascii="Arial" w:hAnsi="Arial"/>
          <w:color w:val="000000" w:themeColor="text1"/>
          <w:sz w:val="18"/>
          <w:szCs w:val="18"/>
        </w:rPr>
        <w:t>2015</w:t>
      </w:r>
      <w:r w:rsidRPr="0090647B">
        <w:rPr>
          <w:rFonts w:ascii="Arial" w:hAnsi="Arial"/>
          <w:color w:val="000000" w:themeColor="text1"/>
          <w:sz w:val="18"/>
          <w:szCs w:val="18"/>
        </w:rPr>
        <w:t xml:space="preserve">- </w:t>
      </w:r>
      <w:r w:rsidRPr="0090647B">
        <w:rPr>
          <w:rFonts w:ascii="Arial" w:hAnsi="Arial" w:hint="cs"/>
          <w:color w:val="000000" w:themeColor="text1"/>
          <w:sz w:val="18"/>
          <w:szCs w:val="18"/>
          <w:rtl/>
        </w:rPr>
        <w:t>202</w:t>
      </w:r>
      <w:r w:rsidR="007F3A15">
        <w:rPr>
          <w:rFonts w:ascii="Arial" w:hAnsi="Arial"/>
          <w:color w:val="000000" w:themeColor="text1"/>
          <w:sz w:val="18"/>
          <w:szCs w:val="18"/>
        </w:rPr>
        <w:t>2</w:t>
      </w:r>
      <w:r w:rsidRPr="0090647B">
        <w:rPr>
          <w:rFonts w:ascii="Arial" w:hAnsi="Arial"/>
          <w:color w:val="000000" w:themeColor="text1"/>
          <w:sz w:val="18"/>
          <w:szCs w:val="18"/>
        </w:rPr>
        <w:t>.  Ramallah - Palestine.</w:t>
      </w:r>
    </w:p>
    <w:p w14:paraId="119A7887" w14:textId="77777777" w:rsidR="00C70E73" w:rsidRPr="008128C6" w:rsidRDefault="00C70E73" w:rsidP="00C70E73">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6E0E93DA" w14:textId="77777777" w:rsidR="0071415F" w:rsidRPr="00537CB3"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537CB3">
        <w:rPr>
          <w:rFonts w:ascii="Times New Roman" w:hAnsi="Times New Roman" w:cs="Times New Roman"/>
          <w:b/>
          <w:bCs/>
          <w:i/>
          <w:iCs/>
          <w:color w:val="000000" w:themeColor="text1"/>
          <w:sz w:val="24"/>
          <w:szCs w:val="24"/>
        </w:rPr>
        <w:t>Indicator 9.3.1 Proportion of Small-Scale Industries in Total Industry Value Added</w:t>
      </w:r>
    </w:p>
    <w:p w14:paraId="404B16F8" w14:textId="77777777" w:rsidR="00A92234" w:rsidRPr="00537CB3"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BBCFCD7" w14:textId="77777777" w:rsidR="0071415F" w:rsidRPr="00537CB3" w:rsidRDefault="0071415F" w:rsidP="00366A4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537CB3">
        <w:rPr>
          <w:rFonts w:ascii="Times New Roman" w:hAnsi="Times New Roman" w:cs="Times New Roman"/>
          <w:color w:val="000000" w:themeColor="text1"/>
          <w:sz w:val="24"/>
          <w:szCs w:val="24"/>
        </w:rPr>
        <w:t>There is a fluctuation in the proportion of small-scale industries in total industry value added in Palestine</w:t>
      </w:r>
      <w:r w:rsidR="00441B73" w:rsidRPr="00537CB3">
        <w:rPr>
          <w:rFonts w:ascii="Times New Roman" w:hAnsi="Times New Roman" w:cs="Times New Roman"/>
          <w:color w:val="000000" w:themeColor="text1"/>
          <w:sz w:val="24"/>
          <w:szCs w:val="24"/>
        </w:rPr>
        <w:t>. T</w:t>
      </w:r>
      <w:r w:rsidRPr="00537CB3">
        <w:rPr>
          <w:rFonts w:ascii="Times New Roman" w:hAnsi="Times New Roman" w:cs="Times New Roman"/>
          <w:color w:val="000000" w:themeColor="text1"/>
          <w:sz w:val="24"/>
          <w:szCs w:val="24"/>
        </w:rPr>
        <w:t xml:space="preserve">he highest percentage </w:t>
      </w:r>
      <w:r w:rsidR="00441B73" w:rsidRPr="00537CB3">
        <w:rPr>
          <w:rFonts w:ascii="Times New Roman" w:hAnsi="Times New Roman" w:cs="Times New Roman"/>
          <w:color w:val="000000" w:themeColor="text1"/>
          <w:sz w:val="24"/>
          <w:szCs w:val="24"/>
        </w:rPr>
        <w:t>reached</w:t>
      </w:r>
      <w:r w:rsidRPr="00537CB3">
        <w:rPr>
          <w:rFonts w:ascii="Times New Roman" w:hAnsi="Times New Roman" w:cs="Times New Roman"/>
          <w:color w:val="000000" w:themeColor="text1"/>
          <w:sz w:val="24"/>
          <w:szCs w:val="24"/>
        </w:rPr>
        <w:t xml:space="preserve"> 37.2% in 2002 and the lowest percentage was 16.1% in 2017. In </w:t>
      </w:r>
      <w:r w:rsidR="00366A4F" w:rsidRPr="00537CB3">
        <w:rPr>
          <w:rFonts w:ascii="Times New Roman" w:hAnsi="Times New Roman" w:cs="Times New Roman"/>
          <w:color w:val="000000" w:themeColor="text1"/>
          <w:sz w:val="24"/>
          <w:szCs w:val="24"/>
        </w:rPr>
        <w:t>2021</w:t>
      </w:r>
      <w:r w:rsidR="00441B73" w:rsidRPr="00537CB3">
        <w:rPr>
          <w:rFonts w:ascii="Times New Roman" w:hAnsi="Times New Roman" w:cs="Times New Roman"/>
          <w:color w:val="000000" w:themeColor="text1"/>
          <w:sz w:val="24"/>
          <w:szCs w:val="24"/>
        </w:rPr>
        <w:t>,</w:t>
      </w:r>
      <w:r w:rsidRPr="00537CB3">
        <w:rPr>
          <w:rFonts w:ascii="Times New Roman" w:hAnsi="Times New Roman" w:cs="Times New Roman"/>
          <w:color w:val="000000" w:themeColor="text1"/>
          <w:sz w:val="24"/>
          <w:szCs w:val="24"/>
        </w:rPr>
        <w:t xml:space="preserve"> the value </w:t>
      </w:r>
      <w:r w:rsidR="00441B73" w:rsidRPr="00537CB3">
        <w:rPr>
          <w:rFonts w:ascii="Times New Roman" w:hAnsi="Times New Roman" w:cs="Times New Roman"/>
          <w:color w:val="000000" w:themeColor="text1"/>
          <w:sz w:val="24"/>
          <w:szCs w:val="24"/>
        </w:rPr>
        <w:t>reached</w:t>
      </w:r>
      <w:r w:rsidRPr="00537CB3">
        <w:rPr>
          <w:rFonts w:ascii="Times New Roman" w:hAnsi="Times New Roman" w:cs="Times New Roman"/>
          <w:color w:val="000000" w:themeColor="text1"/>
          <w:sz w:val="24"/>
          <w:szCs w:val="24"/>
        </w:rPr>
        <w:t xml:space="preserve"> </w:t>
      </w:r>
      <w:r w:rsidR="00366A4F" w:rsidRPr="00537CB3">
        <w:rPr>
          <w:rFonts w:ascii="Times New Roman" w:hAnsi="Times New Roman" w:cs="Times New Roman"/>
          <w:color w:val="000000" w:themeColor="text1"/>
          <w:sz w:val="24"/>
          <w:szCs w:val="24"/>
        </w:rPr>
        <w:t>21.0</w:t>
      </w:r>
      <w:r w:rsidRPr="00537CB3">
        <w:rPr>
          <w:rFonts w:ascii="Times New Roman" w:hAnsi="Times New Roman" w:cs="Times New Roman"/>
          <w:color w:val="000000" w:themeColor="text1"/>
          <w:sz w:val="24"/>
          <w:szCs w:val="24"/>
        </w:rPr>
        <w:t>%.</w:t>
      </w:r>
    </w:p>
    <w:p w14:paraId="3C3C884A" w14:textId="77777777" w:rsidR="00366A4F" w:rsidRPr="00537CB3" w:rsidRDefault="00366A4F" w:rsidP="00366A4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94563F5" w14:textId="77777777" w:rsidR="001F12C6" w:rsidRPr="00537CB3" w:rsidRDefault="001F12C6" w:rsidP="001F12C6">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618AF7A" w14:textId="77777777" w:rsidR="001F12C6" w:rsidRPr="00537CB3" w:rsidRDefault="001F12C6" w:rsidP="001F12C6">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C10D6BB" w14:textId="77777777" w:rsidR="001F12C6" w:rsidRPr="00537CB3" w:rsidRDefault="001F12C6" w:rsidP="001F12C6">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D0A7DB5" w14:textId="77777777" w:rsidR="001F12C6" w:rsidRPr="00537CB3" w:rsidRDefault="001F12C6" w:rsidP="001F12C6">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6853DF4" w14:textId="77777777" w:rsidR="0071415F" w:rsidRPr="008128C6" w:rsidRDefault="0071415F" w:rsidP="00366A4F">
      <w:pPr>
        <w:tabs>
          <w:tab w:val="left" w:pos="9072"/>
        </w:tabs>
        <w:bidi w:val="0"/>
        <w:spacing w:after="0" w:line="240" w:lineRule="auto"/>
        <w:jc w:val="center"/>
        <w:rPr>
          <w:rFonts w:ascii="Arial" w:hAnsi="Arial"/>
          <w:b/>
          <w:bCs/>
          <w:color w:val="000000" w:themeColor="text1"/>
        </w:rPr>
      </w:pPr>
      <w:r w:rsidRPr="00537CB3">
        <w:rPr>
          <w:rFonts w:ascii="Arial" w:hAnsi="Arial"/>
          <w:b/>
          <w:bCs/>
          <w:color w:val="000000" w:themeColor="text1"/>
        </w:rPr>
        <w:lastRenderedPageBreak/>
        <w:t xml:space="preserve">Proportion of </w:t>
      </w:r>
      <w:r w:rsidR="00441B73" w:rsidRPr="00537CB3">
        <w:rPr>
          <w:rFonts w:ascii="Arial" w:hAnsi="Arial"/>
          <w:b/>
          <w:bCs/>
          <w:color w:val="000000" w:themeColor="text1"/>
        </w:rPr>
        <w:t>S</w:t>
      </w:r>
      <w:r w:rsidRPr="00537CB3">
        <w:rPr>
          <w:rFonts w:ascii="Arial" w:hAnsi="Arial"/>
          <w:b/>
          <w:bCs/>
          <w:color w:val="000000" w:themeColor="text1"/>
        </w:rPr>
        <w:t xml:space="preserve">mall-scale </w:t>
      </w:r>
      <w:r w:rsidR="00441B73" w:rsidRPr="00537CB3">
        <w:rPr>
          <w:rFonts w:ascii="Arial" w:hAnsi="Arial"/>
          <w:b/>
          <w:bCs/>
          <w:color w:val="000000" w:themeColor="text1"/>
        </w:rPr>
        <w:t>I</w:t>
      </w:r>
      <w:r w:rsidRPr="00537CB3">
        <w:rPr>
          <w:rFonts w:ascii="Arial" w:hAnsi="Arial"/>
          <w:b/>
          <w:bCs/>
          <w:color w:val="000000" w:themeColor="text1"/>
        </w:rPr>
        <w:t xml:space="preserve">ndustries in </w:t>
      </w:r>
      <w:r w:rsidR="00441B73" w:rsidRPr="00537CB3">
        <w:rPr>
          <w:rFonts w:ascii="Arial" w:hAnsi="Arial"/>
          <w:b/>
          <w:bCs/>
          <w:color w:val="000000" w:themeColor="text1"/>
        </w:rPr>
        <w:t>T</w:t>
      </w:r>
      <w:r w:rsidRPr="00537CB3">
        <w:rPr>
          <w:rFonts w:ascii="Arial" w:hAnsi="Arial"/>
          <w:b/>
          <w:bCs/>
          <w:color w:val="000000" w:themeColor="text1"/>
        </w:rPr>
        <w:t xml:space="preserve">otal </w:t>
      </w:r>
      <w:r w:rsidR="00441B73" w:rsidRPr="00537CB3">
        <w:rPr>
          <w:rFonts w:ascii="Arial" w:hAnsi="Arial"/>
          <w:b/>
          <w:bCs/>
          <w:color w:val="000000" w:themeColor="text1"/>
        </w:rPr>
        <w:t>I</w:t>
      </w:r>
      <w:r w:rsidRPr="00537CB3">
        <w:rPr>
          <w:rFonts w:ascii="Arial" w:hAnsi="Arial"/>
          <w:b/>
          <w:bCs/>
          <w:color w:val="000000" w:themeColor="text1"/>
        </w:rPr>
        <w:t xml:space="preserve">ndustry </w:t>
      </w:r>
      <w:r w:rsidR="00441B73" w:rsidRPr="00537CB3">
        <w:rPr>
          <w:rFonts w:ascii="Arial" w:hAnsi="Arial"/>
          <w:b/>
          <w:bCs/>
          <w:color w:val="000000" w:themeColor="text1"/>
        </w:rPr>
        <w:t>V</w:t>
      </w:r>
      <w:r w:rsidRPr="00537CB3">
        <w:rPr>
          <w:rFonts w:ascii="Arial" w:hAnsi="Arial"/>
          <w:b/>
          <w:bCs/>
          <w:color w:val="000000" w:themeColor="text1"/>
        </w:rPr>
        <w:t xml:space="preserve">alue </w:t>
      </w:r>
      <w:r w:rsidR="00441B73" w:rsidRPr="00537CB3">
        <w:rPr>
          <w:rFonts w:ascii="Arial" w:hAnsi="Arial"/>
          <w:b/>
          <w:bCs/>
          <w:color w:val="000000" w:themeColor="text1"/>
        </w:rPr>
        <w:t>A</w:t>
      </w:r>
      <w:r w:rsidRPr="00537CB3">
        <w:rPr>
          <w:rFonts w:ascii="Arial" w:hAnsi="Arial"/>
          <w:b/>
          <w:bCs/>
          <w:color w:val="000000" w:themeColor="text1"/>
        </w:rPr>
        <w:t xml:space="preserve">dded, </w:t>
      </w:r>
      <w:r w:rsidR="00E93DD8" w:rsidRPr="00537CB3">
        <w:rPr>
          <w:rFonts w:ascii="Arial" w:hAnsi="Arial"/>
          <w:b/>
          <w:bCs/>
          <w:color w:val="000000" w:themeColor="text1"/>
        </w:rPr>
        <w:t>2015</w:t>
      </w:r>
      <w:r w:rsidRPr="00537CB3">
        <w:rPr>
          <w:rFonts w:ascii="Arial" w:hAnsi="Arial"/>
          <w:b/>
          <w:bCs/>
          <w:color w:val="000000" w:themeColor="text1"/>
        </w:rPr>
        <w:t>-</w:t>
      </w:r>
      <w:r w:rsidR="00366A4F" w:rsidRPr="00537CB3">
        <w:rPr>
          <w:rFonts w:ascii="Arial" w:hAnsi="Arial"/>
          <w:b/>
          <w:bCs/>
          <w:color w:val="000000" w:themeColor="text1"/>
        </w:rPr>
        <w:t xml:space="preserve">2021 </w:t>
      </w:r>
      <w:r w:rsidRPr="00537CB3">
        <w:rPr>
          <w:rFonts w:ascii="Arial" w:hAnsi="Arial"/>
          <w:b/>
          <w:bCs/>
          <w:color w:val="000000" w:themeColor="text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8128C6" w14:paraId="0140E9B0" w14:textId="77777777" w:rsidTr="0071415F">
        <w:trPr>
          <w:trHeight w:val="3857"/>
        </w:trPr>
        <w:tc>
          <w:tcPr>
            <w:tcW w:w="9286" w:type="dxa"/>
            <w:shd w:val="clear" w:color="auto" w:fill="auto"/>
          </w:tcPr>
          <w:p w14:paraId="30A69222" w14:textId="77777777" w:rsidR="0071415F" w:rsidRPr="008128C6" w:rsidRDefault="0071415F" w:rsidP="0071415F">
            <w:pPr>
              <w:tabs>
                <w:tab w:val="left" w:pos="9072"/>
              </w:tabs>
              <w:bidi w:val="0"/>
              <w:spacing w:after="0" w:line="240" w:lineRule="auto"/>
              <w:jc w:val="center"/>
              <w:rPr>
                <w:rFonts w:ascii="Arial" w:hAnsi="Arial"/>
                <w:b/>
                <w:bCs/>
                <w:color w:val="000000" w:themeColor="text1"/>
                <w:lang w:val="it-IT"/>
              </w:rPr>
            </w:pPr>
            <w:r w:rsidRPr="008128C6">
              <w:rPr>
                <w:rFonts w:ascii="Times New Roman" w:hAnsi="Times New Roman" w:cs="Times New Roman"/>
                <w:noProof/>
                <w:color w:val="000000" w:themeColor="text1"/>
              </w:rPr>
              <w:drawing>
                <wp:inline distT="0" distB="0" distL="0" distR="0" wp14:anchorId="0FA8C846" wp14:editId="5917EA4A">
                  <wp:extent cx="5693410" cy="2409190"/>
                  <wp:effectExtent l="0" t="0" r="2540" b="0"/>
                  <wp:docPr id="88" name="Chart 1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bl>
    <w:p w14:paraId="3251B56B" w14:textId="77777777" w:rsidR="00E300A7" w:rsidRDefault="0071415F" w:rsidP="00F1032B">
      <w:pPr>
        <w:bidi w:val="0"/>
        <w:spacing w:after="0" w:line="240" w:lineRule="auto"/>
        <w:ind w:left="720" w:hanging="720"/>
        <w:jc w:val="both"/>
        <w:rPr>
          <w:rFonts w:ascii="Arial" w:hAnsi="Arial"/>
          <w:b/>
          <w:bCs/>
          <w:color w:val="000000" w:themeColor="text1"/>
          <w:sz w:val="18"/>
          <w:szCs w:val="18"/>
        </w:rPr>
      </w:pPr>
      <w:r w:rsidRPr="008128C6">
        <w:rPr>
          <w:rFonts w:ascii="Arial" w:hAnsi="Arial"/>
          <w:b/>
          <w:bCs/>
          <w:color w:val="000000" w:themeColor="text1"/>
          <w:sz w:val="18"/>
          <w:szCs w:val="18"/>
        </w:rPr>
        <w:t>Souse: Palestinian Central Bureau of Statistics, 202</w:t>
      </w:r>
      <w:r w:rsidR="00F1032B">
        <w:rPr>
          <w:rFonts w:ascii="Arial" w:hAnsi="Arial"/>
          <w:b/>
          <w:bCs/>
          <w:color w:val="000000" w:themeColor="text1"/>
          <w:sz w:val="18"/>
          <w:szCs w:val="18"/>
        </w:rPr>
        <w:t>2</w:t>
      </w:r>
      <w:r w:rsidRPr="008128C6">
        <w:rPr>
          <w:rFonts w:ascii="Arial" w:hAnsi="Arial"/>
          <w:b/>
          <w:bCs/>
          <w:color w:val="000000" w:themeColor="text1"/>
          <w:sz w:val="18"/>
          <w:szCs w:val="18"/>
        </w:rPr>
        <w:t>.</w:t>
      </w:r>
      <w:r w:rsidRPr="008128C6">
        <w:rPr>
          <w:rFonts w:ascii="Arial" w:hAnsi="Arial"/>
          <w:color w:val="000000" w:themeColor="text1"/>
          <w:sz w:val="18"/>
          <w:szCs w:val="18"/>
        </w:rPr>
        <w:t xml:space="preserve"> Economic Surveys Series </w:t>
      </w:r>
      <w:r w:rsidR="00A25FCF">
        <w:rPr>
          <w:rFonts w:ascii="Arial" w:hAnsi="Arial"/>
          <w:color w:val="000000" w:themeColor="text1"/>
          <w:sz w:val="18"/>
          <w:szCs w:val="18"/>
        </w:rPr>
        <w:t>2015</w:t>
      </w:r>
      <w:r w:rsidRPr="008128C6">
        <w:rPr>
          <w:rFonts w:ascii="Arial" w:hAnsi="Arial"/>
          <w:color w:val="000000" w:themeColor="text1"/>
          <w:sz w:val="18"/>
          <w:szCs w:val="18"/>
        </w:rPr>
        <w:t>- 20</w:t>
      </w:r>
      <w:r w:rsidR="00F1032B">
        <w:rPr>
          <w:rFonts w:ascii="Arial" w:hAnsi="Arial"/>
          <w:color w:val="000000" w:themeColor="text1"/>
          <w:sz w:val="18"/>
          <w:szCs w:val="18"/>
        </w:rPr>
        <w:t>21</w:t>
      </w:r>
      <w:r w:rsidRPr="008128C6">
        <w:rPr>
          <w:rFonts w:ascii="Arial" w:hAnsi="Arial"/>
          <w:b/>
          <w:bCs/>
          <w:color w:val="000000" w:themeColor="text1"/>
          <w:sz w:val="18"/>
          <w:szCs w:val="18"/>
        </w:rPr>
        <w:t>.</w:t>
      </w:r>
      <w:r w:rsidRPr="008128C6">
        <w:rPr>
          <w:rFonts w:ascii="Arial" w:hAnsi="Arial"/>
          <w:color w:val="000000" w:themeColor="text1"/>
          <w:sz w:val="18"/>
          <w:szCs w:val="18"/>
        </w:rPr>
        <w:t xml:space="preserve"> Ramallah - Palestine.</w:t>
      </w:r>
    </w:p>
    <w:p w14:paraId="03A9915C" w14:textId="77777777" w:rsidR="0071415F" w:rsidRPr="008128C6" w:rsidRDefault="0071415F" w:rsidP="00E300A7">
      <w:pPr>
        <w:bidi w:val="0"/>
        <w:spacing w:after="0" w:line="240" w:lineRule="auto"/>
        <w:ind w:left="720" w:hanging="720"/>
        <w:jc w:val="both"/>
        <w:rPr>
          <w:rFonts w:ascii="Arial" w:hAnsi="Arial"/>
          <w:b/>
          <w:bCs/>
          <w:color w:val="000000" w:themeColor="text1"/>
          <w:sz w:val="18"/>
          <w:szCs w:val="18"/>
          <w:rtl/>
        </w:rPr>
      </w:pPr>
      <w:r w:rsidRPr="008128C6">
        <w:rPr>
          <w:rFonts w:ascii="Arial" w:hAnsi="Arial"/>
          <w:color w:val="000000" w:themeColor="text1"/>
          <w:sz w:val="18"/>
          <w:szCs w:val="18"/>
        </w:rPr>
        <w:t>*Data excluded those parts of Jerusalem which were annexed by Israeli Occupation in 1967.</w:t>
      </w:r>
    </w:p>
    <w:p w14:paraId="1B3A19FA"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F0359B6"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Indicator 9.3.2 Proportion of small-scale industries with a loan or line of credit</w:t>
      </w:r>
    </w:p>
    <w:p w14:paraId="5E955AB1" w14:textId="77777777" w:rsidR="00A92234" w:rsidRPr="008128C6"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2C52A02"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 xml:space="preserve">The </w:t>
      </w:r>
      <w:r w:rsidR="00441B73">
        <w:rPr>
          <w:rFonts w:ascii="Times New Roman" w:hAnsi="Times New Roman" w:cs="Times New Roman"/>
          <w:color w:val="000000" w:themeColor="text1"/>
          <w:sz w:val="24"/>
          <w:szCs w:val="24"/>
        </w:rPr>
        <w:t>p</w:t>
      </w:r>
      <w:r w:rsidRPr="008128C6">
        <w:rPr>
          <w:rFonts w:ascii="Times New Roman" w:hAnsi="Times New Roman" w:cs="Times New Roman"/>
          <w:color w:val="000000" w:themeColor="text1"/>
          <w:sz w:val="24"/>
          <w:szCs w:val="24"/>
        </w:rPr>
        <w:t xml:space="preserve">roportion of small-scale industries with a loan or line of credit in Palestine increased in 2018 compared </w:t>
      </w:r>
      <w:r w:rsidR="00441B73">
        <w:rPr>
          <w:rFonts w:ascii="Times New Roman" w:hAnsi="Times New Roman" w:cs="Times New Roman"/>
          <w:color w:val="000000" w:themeColor="text1"/>
          <w:sz w:val="24"/>
          <w:szCs w:val="24"/>
        </w:rPr>
        <w:t>to</w:t>
      </w:r>
      <w:r w:rsidRPr="008128C6">
        <w:rPr>
          <w:rFonts w:ascii="Times New Roman" w:hAnsi="Times New Roman" w:cs="Times New Roman"/>
          <w:color w:val="000000" w:themeColor="text1"/>
          <w:sz w:val="24"/>
          <w:szCs w:val="24"/>
        </w:rPr>
        <w:t xml:space="preserve"> 2017 from 1.5% to 1.6%</w:t>
      </w:r>
      <w:r w:rsidR="004243BA">
        <w:rPr>
          <w:rFonts w:ascii="Times New Roman" w:hAnsi="Times New Roman" w:cs="Times New Roman"/>
          <w:color w:val="000000" w:themeColor="text1"/>
          <w:sz w:val="24"/>
          <w:szCs w:val="24"/>
        </w:rPr>
        <w:t>.</w:t>
      </w:r>
    </w:p>
    <w:p w14:paraId="00E94787" w14:textId="77777777" w:rsidR="0071415F" w:rsidRDefault="0071415F" w:rsidP="0071415F">
      <w:pPr>
        <w:tabs>
          <w:tab w:val="left" w:pos="9072"/>
        </w:tabs>
        <w:bidi w:val="0"/>
        <w:spacing w:after="0" w:line="240" w:lineRule="auto"/>
        <w:jc w:val="center"/>
        <w:rPr>
          <w:rFonts w:ascii="Arial" w:hAnsi="Arial"/>
          <w:b/>
          <w:bCs/>
          <w:color w:val="000000" w:themeColor="text1"/>
        </w:rPr>
      </w:pPr>
    </w:p>
    <w:p w14:paraId="1069AD62" w14:textId="77777777" w:rsidR="0071415F" w:rsidRPr="008128C6" w:rsidRDefault="0071415F" w:rsidP="006D0C5D">
      <w:pPr>
        <w:tabs>
          <w:tab w:val="left" w:pos="4018"/>
          <w:tab w:val="left" w:pos="9072"/>
        </w:tabs>
        <w:bidi w:val="0"/>
        <w:spacing w:after="0" w:line="240" w:lineRule="auto"/>
        <w:jc w:val="center"/>
        <w:rPr>
          <w:rFonts w:ascii="Arial" w:hAnsi="Arial"/>
          <w:b/>
          <w:bCs/>
          <w:color w:val="000000" w:themeColor="text1"/>
        </w:rPr>
      </w:pPr>
      <w:r w:rsidRPr="008128C6">
        <w:rPr>
          <w:rFonts w:ascii="Arial" w:hAnsi="Arial"/>
          <w:b/>
          <w:bCs/>
          <w:color w:val="000000" w:themeColor="text1"/>
        </w:rPr>
        <w:t xml:space="preserve">Proportion of </w:t>
      </w:r>
      <w:r w:rsidR="00441B73">
        <w:rPr>
          <w:rFonts w:ascii="Arial" w:hAnsi="Arial"/>
          <w:b/>
          <w:bCs/>
          <w:color w:val="000000" w:themeColor="text1"/>
        </w:rPr>
        <w:t>S</w:t>
      </w:r>
      <w:r w:rsidRPr="008128C6">
        <w:rPr>
          <w:rFonts w:ascii="Arial" w:hAnsi="Arial"/>
          <w:b/>
          <w:bCs/>
          <w:color w:val="000000" w:themeColor="text1"/>
        </w:rPr>
        <w:t>mall-</w:t>
      </w:r>
      <w:r w:rsidR="00441B73">
        <w:rPr>
          <w:rFonts w:ascii="Arial" w:hAnsi="Arial"/>
          <w:b/>
          <w:bCs/>
          <w:color w:val="000000" w:themeColor="text1"/>
        </w:rPr>
        <w:t>S</w:t>
      </w:r>
      <w:r w:rsidRPr="008128C6">
        <w:rPr>
          <w:rFonts w:ascii="Arial" w:hAnsi="Arial"/>
          <w:b/>
          <w:bCs/>
          <w:color w:val="000000" w:themeColor="text1"/>
        </w:rPr>
        <w:t xml:space="preserve">cale </w:t>
      </w:r>
      <w:r w:rsidR="00441B73">
        <w:rPr>
          <w:rFonts w:ascii="Arial" w:hAnsi="Arial"/>
          <w:b/>
          <w:bCs/>
          <w:color w:val="000000" w:themeColor="text1"/>
        </w:rPr>
        <w:t>I</w:t>
      </w:r>
      <w:r w:rsidRPr="008128C6">
        <w:rPr>
          <w:rFonts w:ascii="Arial" w:hAnsi="Arial"/>
          <w:b/>
          <w:bCs/>
          <w:color w:val="000000" w:themeColor="text1"/>
        </w:rPr>
        <w:t xml:space="preserve">ndustries with </w:t>
      </w:r>
      <w:r w:rsidR="00441B73">
        <w:rPr>
          <w:rFonts w:ascii="Arial" w:hAnsi="Arial"/>
          <w:b/>
          <w:bCs/>
          <w:color w:val="000000" w:themeColor="text1"/>
        </w:rPr>
        <w:t>AL</w:t>
      </w:r>
      <w:r w:rsidRPr="008128C6">
        <w:rPr>
          <w:rFonts w:ascii="Arial" w:hAnsi="Arial"/>
          <w:b/>
          <w:bCs/>
          <w:color w:val="000000" w:themeColor="text1"/>
        </w:rPr>
        <w:t xml:space="preserve">oan or </w:t>
      </w:r>
      <w:r w:rsidR="00441B73">
        <w:rPr>
          <w:rFonts w:ascii="Arial" w:hAnsi="Arial"/>
          <w:b/>
          <w:bCs/>
          <w:color w:val="000000" w:themeColor="text1"/>
        </w:rPr>
        <w:t>L</w:t>
      </w:r>
      <w:r w:rsidRPr="008128C6">
        <w:rPr>
          <w:rFonts w:ascii="Arial" w:hAnsi="Arial"/>
          <w:b/>
          <w:bCs/>
          <w:color w:val="000000" w:themeColor="text1"/>
        </w:rPr>
        <w:t xml:space="preserve">ine of </w:t>
      </w:r>
      <w:r w:rsidR="00441B73">
        <w:rPr>
          <w:rFonts w:ascii="Arial" w:hAnsi="Arial"/>
          <w:b/>
          <w:bCs/>
          <w:color w:val="000000" w:themeColor="text1"/>
        </w:rPr>
        <w:t>C</w:t>
      </w:r>
      <w:r w:rsidRPr="008128C6">
        <w:rPr>
          <w:rFonts w:ascii="Arial" w:hAnsi="Arial"/>
          <w:b/>
          <w:bCs/>
          <w:color w:val="000000" w:themeColor="text1"/>
        </w:rPr>
        <w:t>redit, 2017-2018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8128C6" w14:paraId="017A7085" w14:textId="77777777" w:rsidTr="0071415F">
        <w:tc>
          <w:tcPr>
            <w:tcW w:w="9286" w:type="dxa"/>
            <w:shd w:val="clear" w:color="auto" w:fill="auto"/>
          </w:tcPr>
          <w:p w14:paraId="412D49F1" w14:textId="77777777" w:rsidR="0071415F" w:rsidRPr="008128C6" w:rsidRDefault="0071415F" w:rsidP="0071415F">
            <w:pPr>
              <w:tabs>
                <w:tab w:val="left" w:pos="9072"/>
              </w:tabs>
              <w:bidi w:val="0"/>
              <w:spacing w:after="0" w:line="240" w:lineRule="auto"/>
              <w:jc w:val="center"/>
              <w:rPr>
                <w:rFonts w:ascii="Arial" w:hAnsi="Arial"/>
                <w:b/>
                <w:bCs/>
                <w:color w:val="000000" w:themeColor="text1"/>
                <w:lang w:val="it-IT"/>
              </w:rPr>
            </w:pPr>
            <w:r w:rsidRPr="008128C6">
              <w:rPr>
                <w:rFonts w:ascii="Times New Roman" w:hAnsi="Times New Roman" w:cs="Times New Roman"/>
                <w:b/>
                <w:bCs/>
                <w:i/>
                <w:iCs/>
                <w:noProof/>
                <w:color w:val="000000" w:themeColor="text1"/>
                <w:sz w:val="28"/>
                <w:szCs w:val="28"/>
              </w:rPr>
              <w:drawing>
                <wp:inline distT="0" distB="0" distL="0" distR="0" wp14:anchorId="0583EFF4" wp14:editId="319919AA">
                  <wp:extent cx="5653405" cy="1812925"/>
                  <wp:effectExtent l="0" t="0" r="0" b="0"/>
                  <wp:docPr id="211"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bl>
    <w:p w14:paraId="513B3E89" w14:textId="77777777" w:rsidR="00D90F52" w:rsidRPr="006E49BE" w:rsidRDefault="0071415F" w:rsidP="006E49BE">
      <w:pPr>
        <w:bidi w:val="0"/>
        <w:spacing w:after="0" w:line="240" w:lineRule="auto"/>
        <w:jc w:val="both"/>
        <w:rPr>
          <w:rFonts w:ascii="Arial" w:hAnsi="Arial"/>
          <w:b/>
          <w:bCs/>
          <w:color w:val="000000" w:themeColor="text1"/>
          <w:sz w:val="18"/>
          <w:szCs w:val="18"/>
        </w:rPr>
      </w:pPr>
      <w:r w:rsidRPr="008128C6">
        <w:rPr>
          <w:rFonts w:ascii="Arial" w:hAnsi="Arial"/>
          <w:b/>
          <w:bCs/>
          <w:color w:val="000000" w:themeColor="text1"/>
          <w:sz w:val="18"/>
          <w:szCs w:val="18"/>
        </w:rPr>
        <w:t>Sou</w:t>
      </w:r>
      <w:r w:rsidR="00441B73">
        <w:rPr>
          <w:rFonts w:ascii="Arial" w:hAnsi="Arial"/>
          <w:b/>
          <w:bCs/>
          <w:color w:val="000000" w:themeColor="text1"/>
          <w:sz w:val="18"/>
          <w:szCs w:val="18"/>
        </w:rPr>
        <w:t>rce</w:t>
      </w:r>
      <w:r w:rsidRPr="008128C6">
        <w:rPr>
          <w:rFonts w:ascii="Arial" w:hAnsi="Arial"/>
          <w:b/>
          <w:bCs/>
          <w:color w:val="000000" w:themeColor="text1"/>
          <w:sz w:val="18"/>
          <w:szCs w:val="18"/>
        </w:rPr>
        <w:t xml:space="preserve">: Palestinian Central Bureau of </w:t>
      </w:r>
      <w:r w:rsidR="00C66B88" w:rsidRPr="008128C6">
        <w:rPr>
          <w:rFonts w:ascii="Arial" w:hAnsi="Arial"/>
          <w:b/>
          <w:bCs/>
          <w:color w:val="000000" w:themeColor="text1"/>
          <w:sz w:val="18"/>
          <w:szCs w:val="18"/>
        </w:rPr>
        <w:t>Statistics,</w:t>
      </w:r>
      <w:r w:rsidR="00C66B88" w:rsidRPr="008128C6">
        <w:rPr>
          <w:rFonts w:ascii="Arial" w:hAnsi="Arial"/>
          <w:color w:val="000000" w:themeColor="text1"/>
          <w:sz w:val="18"/>
          <w:szCs w:val="18"/>
        </w:rPr>
        <w:t xml:space="preserve"> Economic</w:t>
      </w:r>
      <w:r w:rsidRPr="008128C6">
        <w:rPr>
          <w:rFonts w:ascii="Arial" w:hAnsi="Arial"/>
          <w:color w:val="000000" w:themeColor="text1"/>
          <w:sz w:val="18"/>
          <w:szCs w:val="18"/>
        </w:rPr>
        <w:t xml:space="preserve"> Surveys Series 2017- 2018</w:t>
      </w:r>
      <w:r w:rsidRPr="008128C6">
        <w:rPr>
          <w:rFonts w:ascii="Arial" w:hAnsi="Arial"/>
          <w:b/>
          <w:bCs/>
          <w:color w:val="000000" w:themeColor="text1"/>
          <w:sz w:val="18"/>
          <w:szCs w:val="18"/>
        </w:rPr>
        <w:t>.</w:t>
      </w:r>
      <w:r w:rsidRPr="008128C6">
        <w:rPr>
          <w:rFonts w:ascii="Arial" w:hAnsi="Arial"/>
          <w:color w:val="000000" w:themeColor="text1"/>
          <w:sz w:val="18"/>
          <w:szCs w:val="18"/>
        </w:rPr>
        <w:t xml:space="preserve"> Ramallah - Palestine.</w:t>
      </w:r>
      <w:r w:rsidRPr="008128C6">
        <w:rPr>
          <w:rFonts w:ascii="Arial" w:hAnsi="Arial"/>
          <w:b/>
          <w:bCs/>
          <w:color w:val="000000" w:themeColor="text1"/>
          <w:sz w:val="18"/>
          <w:szCs w:val="18"/>
        </w:rPr>
        <w:br/>
      </w:r>
      <w:r w:rsidRPr="008128C6">
        <w:rPr>
          <w:rFonts w:ascii="Arial" w:hAnsi="Arial"/>
          <w:color w:val="000000" w:themeColor="text1"/>
          <w:sz w:val="18"/>
          <w:szCs w:val="18"/>
        </w:rPr>
        <w:t xml:space="preserve">*Data excluded those parts of Jerusalem annexed by </w:t>
      </w:r>
      <w:r w:rsidR="00441B73">
        <w:rPr>
          <w:rFonts w:ascii="Arial" w:hAnsi="Arial"/>
          <w:color w:val="000000" w:themeColor="text1"/>
          <w:sz w:val="18"/>
          <w:szCs w:val="18"/>
        </w:rPr>
        <w:t xml:space="preserve">the </w:t>
      </w:r>
      <w:r w:rsidRPr="008128C6">
        <w:rPr>
          <w:rFonts w:ascii="Arial" w:hAnsi="Arial"/>
          <w:color w:val="000000" w:themeColor="text1"/>
          <w:sz w:val="18"/>
          <w:szCs w:val="18"/>
        </w:rPr>
        <w:t>Israeli Occupation in 1967.</w:t>
      </w:r>
    </w:p>
    <w:p w14:paraId="68DAEBA7" w14:textId="77777777" w:rsidR="00D90F52" w:rsidRDefault="00D90F52" w:rsidP="00D90F52">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18F61D3" w14:textId="77777777" w:rsidR="0071415F" w:rsidRDefault="0071415F" w:rsidP="00D90F52">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9.4.1 CO2 emission per unit of value added</w:t>
      </w:r>
    </w:p>
    <w:p w14:paraId="64A8B4AA" w14:textId="77777777" w:rsidR="00A92234" w:rsidRPr="0090647B"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727D5DE" w14:textId="77777777" w:rsidR="0071415F" w:rsidRDefault="0071415F" w:rsidP="00284152">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The total amount of carbon dioxide emissions in Palestine was </w:t>
      </w:r>
      <w:r w:rsidRPr="0090647B">
        <w:rPr>
          <w:rFonts w:ascii="Times New Roman" w:hAnsi="Times New Roman" w:cs="Times New Roman" w:hint="cs"/>
          <w:color w:val="000000" w:themeColor="text1"/>
          <w:sz w:val="24"/>
          <w:szCs w:val="24"/>
          <w:rtl/>
        </w:rPr>
        <w:t>344</w:t>
      </w:r>
      <w:r w:rsidRPr="0090647B">
        <w:rPr>
          <w:rFonts w:ascii="Times New Roman" w:hAnsi="Times New Roman" w:cs="Times New Roman"/>
          <w:color w:val="000000" w:themeColor="text1"/>
          <w:sz w:val="24"/>
          <w:szCs w:val="24"/>
        </w:rPr>
        <w:t xml:space="preserve"> tons /million USD in 2020 compared with </w:t>
      </w:r>
      <w:r w:rsidR="00284152">
        <w:rPr>
          <w:rFonts w:ascii="Times New Roman" w:hAnsi="Times New Roman" w:cs="Times New Roman"/>
          <w:color w:val="000000" w:themeColor="text1"/>
          <w:sz w:val="24"/>
          <w:szCs w:val="24"/>
        </w:rPr>
        <w:t>355</w:t>
      </w:r>
      <w:r w:rsidRPr="0090647B">
        <w:rPr>
          <w:rFonts w:ascii="Times New Roman" w:hAnsi="Times New Roman" w:cs="Times New Roman"/>
          <w:color w:val="000000" w:themeColor="text1"/>
          <w:sz w:val="24"/>
          <w:szCs w:val="24"/>
        </w:rPr>
        <w:t xml:space="preserve"> tons /million USD in </w:t>
      </w:r>
      <w:r w:rsidR="00284152">
        <w:rPr>
          <w:rFonts w:ascii="Times New Roman" w:hAnsi="Times New Roman" w:cs="Times New Roman"/>
          <w:color w:val="000000" w:themeColor="text1"/>
          <w:sz w:val="24"/>
          <w:szCs w:val="24"/>
        </w:rPr>
        <w:t>2015</w:t>
      </w:r>
      <w:r w:rsidRPr="0090647B">
        <w:rPr>
          <w:rFonts w:ascii="Times New Roman" w:hAnsi="Times New Roman" w:cs="Times New Roman"/>
          <w:color w:val="000000" w:themeColor="text1"/>
          <w:sz w:val="24"/>
          <w:szCs w:val="24"/>
        </w:rPr>
        <w:t>.</w:t>
      </w:r>
    </w:p>
    <w:p w14:paraId="0E448602"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5D5C4D4"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4ECEB82"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013A2AF"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C54DFD9"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F1C8496" w14:textId="77777777" w:rsidR="001F12C6" w:rsidRDefault="001F12C6" w:rsidP="001F12C6">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41758F7"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EBCD9D6" w14:textId="77777777" w:rsidR="006E49BE" w:rsidRPr="0090647B"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DFDEC56" w14:textId="77777777" w:rsidR="0071415F" w:rsidRPr="0090647B" w:rsidRDefault="0071415F" w:rsidP="00F3507C">
      <w:pPr>
        <w:tabs>
          <w:tab w:val="left" w:pos="9072"/>
        </w:tabs>
        <w:bidi w:val="0"/>
        <w:spacing w:after="0" w:line="240" w:lineRule="auto"/>
        <w:rPr>
          <w:rFonts w:ascii="Times New Roman" w:hAnsi="Times New Roman" w:cs="Times New Roman"/>
          <w:color w:val="000000" w:themeColor="text1"/>
          <w:sz w:val="24"/>
          <w:szCs w:val="24"/>
        </w:rPr>
      </w:pPr>
    </w:p>
    <w:p w14:paraId="71609A59" w14:textId="77777777" w:rsidR="0071415F" w:rsidRPr="0090647B" w:rsidRDefault="0071415F" w:rsidP="00E93DD8">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lastRenderedPageBreak/>
        <w:t xml:space="preserve">CO2 </w:t>
      </w:r>
      <w:r w:rsidR="00441B73">
        <w:rPr>
          <w:rFonts w:ascii="Arial" w:hAnsi="Arial"/>
          <w:b/>
          <w:bCs/>
          <w:color w:val="000000" w:themeColor="text1"/>
        </w:rPr>
        <w:t>E</w:t>
      </w:r>
      <w:r w:rsidRPr="0090647B">
        <w:rPr>
          <w:rFonts w:ascii="Arial" w:hAnsi="Arial"/>
          <w:b/>
          <w:bCs/>
          <w:color w:val="000000" w:themeColor="text1"/>
        </w:rPr>
        <w:t xml:space="preserve">mission </w:t>
      </w:r>
      <w:r w:rsidR="00441B73">
        <w:rPr>
          <w:rFonts w:ascii="Arial" w:hAnsi="Arial"/>
          <w:b/>
          <w:bCs/>
          <w:color w:val="000000" w:themeColor="text1"/>
        </w:rPr>
        <w:t>P</w:t>
      </w:r>
      <w:r w:rsidRPr="0090647B">
        <w:rPr>
          <w:rFonts w:ascii="Arial" w:hAnsi="Arial"/>
          <w:b/>
          <w:bCs/>
          <w:color w:val="000000" w:themeColor="text1"/>
        </w:rPr>
        <w:t>er</w:t>
      </w:r>
      <w:r w:rsidR="00441B73">
        <w:rPr>
          <w:rFonts w:ascii="Arial" w:hAnsi="Arial"/>
          <w:b/>
          <w:bCs/>
          <w:color w:val="000000" w:themeColor="text1"/>
        </w:rPr>
        <w:t>U</w:t>
      </w:r>
      <w:r w:rsidRPr="0090647B">
        <w:rPr>
          <w:rFonts w:ascii="Arial" w:hAnsi="Arial"/>
          <w:b/>
          <w:bCs/>
          <w:color w:val="000000" w:themeColor="text1"/>
        </w:rPr>
        <w:t xml:space="preserve">nit of </w:t>
      </w:r>
      <w:r w:rsidR="00441B73">
        <w:rPr>
          <w:rFonts w:ascii="Arial" w:hAnsi="Arial"/>
          <w:b/>
          <w:bCs/>
          <w:color w:val="000000" w:themeColor="text1"/>
        </w:rPr>
        <w:t>V</w:t>
      </w:r>
      <w:r w:rsidRPr="0090647B">
        <w:rPr>
          <w:rFonts w:ascii="Arial" w:hAnsi="Arial"/>
          <w:b/>
          <w:bCs/>
          <w:color w:val="000000" w:themeColor="text1"/>
        </w:rPr>
        <w:t xml:space="preserve">alue </w:t>
      </w:r>
      <w:r w:rsidR="00441B73">
        <w:rPr>
          <w:rFonts w:ascii="Arial" w:hAnsi="Arial"/>
          <w:b/>
          <w:bCs/>
          <w:color w:val="000000" w:themeColor="text1"/>
        </w:rPr>
        <w:t>A</w:t>
      </w:r>
      <w:r w:rsidRPr="0090647B">
        <w:rPr>
          <w:rFonts w:ascii="Arial" w:hAnsi="Arial"/>
          <w:b/>
          <w:bCs/>
          <w:color w:val="000000" w:themeColor="text1"/>
        </w:rPr>
        <w:t xml:space="preserve">dded, </w:t>
      </w:r>
      <w:r w:rsidR="00E93DD8">
        <w:rPr>
          <w:rFonts w:ascii="Arial" w:hAnsi="Arial"/>
          <w:b/>
          <w:bCs/>
          <w:color w:val="000000" w:themeColor="text1"/>
        </w:rPr>
        <w:t>2015</w:t>
      </w:r>
      <w:r w:rsidRPr="0090647B">
        <w:rPr>
          <w:rFonts w:ascii="Arial" w:hAnsi="Arial"/>
          <w:b/>
          <w:bCs/>
          <w:color w:val="000000" w:themeColor="text1"/>
        </w:rPr>
        <w:t>-2020 (Ton/USD Million)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15C2C6F8" w14:textId="77777777" w:rsidTr="0071415F">
        <w:tc>
          <w:tcPr>
            <w:tcW w:w="9286" w:type="dxa"/>
            <w:shd w:val="clear" w:color="auto" w:fill="auto"/>
          </w:tcPr>
          <w:p w14:paraId="220E32E2" w14:textId="77777777" w:rsidR="0071415F" w:rsidRPr="0090647B" w:rsidRDefault="0071415F" w:rsidP="0071415F">
            <w:pPr>
              <w:tabs>
                <w:tab w:val="left" w:pos="9072"/>
              </w:tabs>
              <w:bidi w:val="0"/>
              <w:spacing w:after="0" w:line="240" w:lineRule="auto"/>
              <w:jc w:val="center"/>
              <w:rPr>
                <w:rFonts w:ascii="Arial" w:hAnsi="Arial"/>
                <w:b/>
                <w:bCs/>
                <w:color w:val="000000" w:themeColor="text1"/>
              </w:rPr>
            </w:pPr>
            <w:r w:rsidRPr="0090647B">
              <w:rPr>
                <w:rFonts w:ascii="Arial" w:hAnsi="Arial"/>
                <w:b/>
                <w:bCs/>
                <w:noProof/>
                <w:color w:val="000000" w:themeColor="text1"/>
              </w:rPr>
              <w:drawing>
                <wp:inline distT="0" distB="0" distL="0" distR="0" wp14:anchorId="597A672C" wp14:editId="47D4E9B6">
                  <wp:extent cx="5486400" cy="1995805"/>
                  <wp:effectExtent l="0" t="0" r="0" b="0"/>
                  <wp:docPr id="212"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bl>
    <w:p w14:paraId="6C57DAC7" w14:textId="77777777" w:rsidR="0071415F" w:rsidRPr="0090647B" w:rsidRDefault="0071415F" w:rsidP="00E300A7">
      <w:pPr>
        <w:bidi w:val="0"/>
        <w:spacing w:after="0" w:line="240" w:lineRule="auto"/>
        <w:ind w:left="720" w:hanging="720"/>
        <w:rPr>
          <w:rFonts w:ascii="Arial" w:hAnsi="Arial"/>
          <w:color w:val="000000" w:themeColor="text1"/>
          <w:sz w:val="18"/>
          <w:szCs w:val="18"/>
        </w:rPr>
      </w:pPr>
      <w:r w:rsidRPr="0090647B">
        <w:rPr>
          <w:rFonts w:ascii="Arial" w:hAnsi="Arial"/>
          <w:b/>
          <w:bCs/>
          <w:color w:val="000000" w:themeColor="text1"/>
          <w:sz w:val="18"/>
          <w:szCs w:val="18"/>
        </w:rPr>
        <w:t xml:space="preserve">Source: Palestinian Central Bureau of Statistics, 2021.  </w:t>
      </w:r>
      <w:r w:rsidRPr="0090647B">
        <w:rPr>
          <w:rFonts w:ascii="Arial" w:hAnsi="Arial"/>
          <w:color w:val="000000" w:themeColor="text1"/>
          <w:sz w:val="18"/>
          <w:szCs w:val="18"/>
        </w:rPr>
        <w:t xml:space="preserve">Emissions to Air tables, </w:t>
      </w:r>
      <w:r w:rsidR="00874224">
        <w:rPr>
          <w:rFonts w:ascii="Arial" w:hAnsi="Arial"/>
          <w:color w:val="000000" w:themeColor="text1"/>
          <w:sz w:val="18"/>
          <w:szCs w:val="18"/>
        </w:rPr>
        <w:t>2015-</w:t>
      </w:r>
      <w:r w:rsidRPr="0090647B">
        <w:rPr>
          <w:rFonts w:ascii="Arial" w:hAnsi="Arial"/>
          <w:color w:val="000000" w:themeColor="text1"/>
          <w:sz w:val="18"/>
          <w:szCs w:val="18"/>
        </w:rPr>
        <w:t>2020.  Ramallah – Palestine.</w:t>
      </w:r>
    </w:p>
    <w:p w14:paraId="0170F776"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noProof/>
          <w:color w:val="000000" w:themeColor="text1"/>
          <w:bdr w:val="single" w:sz="4" w:space="0" w:color="auto" w:frame="1"/>
        </w:rPr>
      </w:pPr>
    </w:p>
    <w:p w14:paraId="65D22462"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BD3E97">
        <w:rPr>
          <w:rFonts w:ascii="Times New Roman" w:hAnsi="Times New Roman" w:cs="Times New Roman"/>
          <w:b/>
          <w:bCs/>
          <w:i/>
          <w:iCs/>
          <w:color w:val="000000" w:themeColor="text1"/>
          <w:sz w:val="24"/>
          <w:szCs w:val="24"/>
        </w:rPr>
        <w:t>Indicator 9.5.1 Research and development expenditure as a proportion of GDP</w:t>
      </w:r>
    </w:p>
    <w:p w14:paraId="49CABE7C" w14:textId="77777777" w:rsidR="00A92234" w:rsidRPr="00BD3E97"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1FA7C28" w14:textId="77777777" w:rsidR="0071415F" w:rsidRPr="00BD3E97"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 xml:space="preserve">The total </w:t>
      </w:r>
      <w:r w:rsidR="00441B73">
        <w:rPr>
          <w:rFonts w:ascii="Times New Roman" w:hAnsi="Times New Roman" w:cs="Times New Roman"/>
          <w:color w:val="000000" w:themeColor="text1"/>
          <w:sz w:val="24"/>
          <w:szCs w:val="24"/>
        </w:rPr>
        <w:t>e</w:t>
      </w:r>
      <w:r w:rsidRPr="00BD3E97">
        <w:rPr>
          <w:rFonts w:ascii="Times New Roman" w:hAnsi="Times New Roman" w:cs="Times New Roman"/>
          <w:color w:val="000000" w:themeColor="text1"/>
          <w:sz w:val="24"/>
          <w:szCs w:val="24"/>
        </w:rPr>
        <w:t xml:space="preserve">xpenditure on </w:t>
      </w:r>
      <w:r w:rsidR="00441B73">
        <w:rPr>
          <w:rFonts w:ascii="Times New Roman" w:hAnsi="Times New Roman" w:cs="Times New Roman"/>
          <w:color w:val="000000" w:themeColor="text1"/>
          <w:sz w:val="24"/>
          <w:szCs w:val="24"/>
        </w:rPr>
        <w:t>r</w:t>
      </w:r>
      <w:r w:rsidRPr="00BD3E97">
        <w:rPr>
          <w:rFonts w:ascii="Times New Roman" w:hAnsi="Times New Roman" w:cs="Times New Roman"/>
          <w:color w:val="000000" w:themeColor="text1"/>
          <w:sz w:val="24"/>
          <w:szCs w:val="24"/>
        </w:rPr>
        <w:t xml:space="preserve">esearch and development in Palestine as a proportion of GDP </w:t>
      </w:r>
      <w:r w:rsidR="00441B73">
        <w:rPr>
          <w:rFonts w:ascii="Times New Roman" w:hAnsi="Times New Roman" w:cs="Times New Roman"/>
          <w:color w:val="000000" w:themeColor="text1"/>
          <w:sz w:val="24"/>
          <w:szCs w:val="24"/>
        </w:rPr>
        <w:t>reached</w:t>
      </w:r>
      <w:r w:rsidRPr="00BD3E97">
        <w:rPr>
          <w:rFonts w:ascii="Times New Roman" w:hAnsi="Times New Roman" w:cs="Times New Roman"/>
          <w:color w:val="000000" w:themeColor="text1"/>
          <w:sz w:val="24"/>
          <w:szCs w:val="24"/>
        </w:rPr>
        <w:t xml:space="preserve"> 0.6% in 2013.</w:t>
      </w:r>
    </w:p>
    <w:p w14:paraId="0179CD99" w14:textId="77777777" w:rsidR="00441B73" w:rsidRDefault="00441B73"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8D10980" w14:textId="77777777" w:rsidR="0071415F" w:rsidRPr="00BD3E97" w:rsidRDefault="0071415F" w:rsidP="00441B73">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 xml:space="preserve">Total Expenditure on </w:t>
      </w:r>
      <w:r w:rsidR="00441B73">
        <w:rPr>
          <w:rFonts w:ascii="Times New Roman" w:hAnsi="Times New Roman" w:cs="Times New Roman"/>
          <w:color w:val="000000" w:themeColor="text1"/>
          <w:sz w:val="24"/>
          <w:szCs w:val="24"/>
        </w:rPr>
        <w:t>r</w:t>
      </w:r>
      <w:r w:rsidRPr="00BD3E97">
        <w:rPr>
          <w:rFonts w:ascii="Times New Roman" w:hAnsi="Times New Roman" w:cs="Times New Roman"/>
          <w:color w:val="000000" w:themeColor="text1"/>
          <w:sz w:val="24"/>
          <w:szCs w:val="24"/>
        </w:rPr>
        <w:t xml:space="preserve">esearch and development </w:t>
      </w:r>
      <w:r w:rsidR="00441B73">
        <w:rPr>
          <w:rFonts w:ascii="Times New Roman" w:hAnsi="Times New Roman" w:cs="Times New Roman"/>
          <w:color w:val="000000" w:themeColor="text1"/>
          <w:sz w:val="24"/>
          <w:szCs w:val="24"/>
        </w:rPr>
        <w:t>reached</w:t>
      </w:r>
      <w:r w:rsidRPr="00BD3E97">
        <w:rPr>
          <w:rFonts w:ascii="Times New Roman" w:hAnsi="Times New Roman" w:cs="Times New Roman"/>
          <w:color w:val="000000" w:themeColor="text1"/>
          <w:sz w:val="24"/>
          <w:szCs w:val="24"/>
        </w:rPr>
        <w:t xml:space="preserve"> USD 61.4 million, representing USD 24,641 per full-time equivalent researcher</w:t>
      </w:r>
      <w:r w:rsidR="00441B73">
        <w:rPr>
          <w:rFonts w:ascii="Times New Roman" w:hAnsi="Times New Roman" w:cs="Times New Roman"/>
          <w:color w:val="000000" w:themeColor="text1"/>
          <w:sz w:val="24"/>
          <w:szCs w:val="24"/>
        </w:rPr>
        <w:t>.</w:t>
      </w:r>
      <w:r w:rsidRPr="00BD3E97">
        <w:rPr>
          <w:rFonts w:ascii="Times New Roman" w:hAnsi="Times New Roman" w:cs="Times New Roman"/>
          <w:color w:val="000000" w:themeColor="text1"/>
          <w:sz w:val="24"/>
          <w:szCs w:val="24"/>
          <w:vertAlign w:val="superscript"/>
        </w:rPr>
        <w:footnoteReference w:id="8"/>
      </w:r>
    </w:p>
    <w:p w14:paraId="466656B3" w14:textId="77777777" w:rsidR="0071415F" w:rsidRPr="00BD3E97"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F18EAA4"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BD3E97">
        <w:rPr>
          <w:rFonts w:ascii="Times New Roman" w:hAnsi="Times New Roman" w:cs="Times New Roman"/>
          <w:b/>
          <w:bCs/>
          <w:i/>
          <w:iCs/>
          <w:color w:val="000000" w:themeColor="text1"/>
          <w:sz w:val="24"/>
          <w:szCs w:val="24"/>
        </w:rPr>
        <w:t xml:space="preserve">Indicator 9.5.2 Researchers (in full-time equivalent) per million </w:t>
      </w:r>
      <w:r w:rsidR="00874224" w:rsidRPr="00BD3E97">
        <w:rPr>
          <w:rFonts w:ascii="Times New Roman" w:hAnsi="Times New Roman" w:cs="Times New Roman"/>
          <w:b/>
          <w:bCs/>
          <w:i/>
          <w:iCs/>
          <w:color w:val="000000" w:themeColor="text1"/>
          <w:sz w:val="24"/>
          <w:szCs w:val="24"/>
        </w:rPr>
        <w:t>population</w:t>
      </w:r>
    </w:p>
    <w:p w14:paraId="59EE78B5" w14:textId="77777777" w:rsidR="00A92234" w:rsidRPr="00BD3E97"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tl/>
        </w:rPr>
      </w:pPr>
    </w:p>
    <w:p w14:paraId="2C999D82"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 xml:space="preserve">The total number of </w:t>
      </w:r>
      <w:r w:rsidR="00441B73">
        <w:rPr>
          <w:rFonts w:ascii="Times New Roman" w:hAnsi="Times New Roman" w:cs="Times New Roman"/>
          <w:color w:val="000000" w:themeColor="text1"/>
          <w:sz w:val="24"/>
          <w:szCs w:val="24"/>
        </w:rPr>
        <w:t>r</w:t>
      </w:r>
      <w:r w:rsidRPr="00BD3E97">
        <w:rPr>
          <w:rFonts w:ascii="Times New Roman" w:hAnsi="Times New Roman" w:cs="Times New Roman"/>
          <w:color w:val="000000" w:themeColor="text1"/>
          <w:sz w:val="24"/>
          <w:szCs w:val="24"/>
        </w:rPr>
        <w:t>esearchers (in full-time equivalent) in Palestine was 555.6 researcher/ million</w:t>
      </w:r>
      <w:r w:rsidR="00874224" w:rsidRPr="00BD3E97">
        <w:rPr>
          <w:rFonts w:ascii="Times New Roman" w:hAnsi="Times New Roman" w:cs="Times New Roman"/>
          <w:color w:val="000000" w:themeColor="text1"/>
          <w:sz w:val="24"/>
          <w:szCs w:val="24"/>
        </w:rPr>
        <w:t>population</w:t>
      </w:r>
      <w:r w:rsidRPr="00BD3E97">
        <w:rPr>
          <w:rFonts w:ascii="Times New Roman" w:hAnsi="Times New Roman" w:cs="Times New Roman"/>
          <w:color w:val="000000" w:themeColor="text1"/>
          <w:sz w:val="24"/>
          <w:szCs w:val="24"/>
        </w:rPr>
        <w:t xml:space="preserve"> in 2013. There were 4,533 researchers, which represent 2,492 </w:t>
      </w:r>
      <w:r w:rsidR="00322D8E" w:rsidRPr="00BD3E97">
        <w:rPr>
          <w:rFonts w:ascii="Times New Roman" w:hAnsi="Times New Roman" w:cs="Times New Roman"/>
          <w:color w:val="000000" w:themeColor="text1"/>
          <w:sz w:val="24"/>
          <w:szCs w:val="24"/>
        </w:rPr>
        <w:t>full-time equivalent</w:t>
      </w:r>
      <w:r w:rsidRPr="00BD3E97">
        <w:rPr>
          <w:rFonts w:ascii="Times New Roman" w:hAnsi="Times New Roman" w:cs="Times New Roman"/>
          <w:color w:val="000000" w:themeColor="text1"/>
          <w:sz w:val="24"/>
          <w:szCs w:val="24"/>
        </w:rPr>
        <w:t xml:space="preserve"> researchers, including 3,510 male and 1,023 female researchers.</w:t>
      </w:r>
    </w:p>
    <w:p w14:paraId="1C3C5155" w14:textId="77777777" w:rsidR="00F97268" w:rsidRPr="00BD3E97" w:rsidRDefault="00F97268" w:rsidP="00F97268">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108D9D5" w14:textId="77777777" w:rsidR="0071415F" w:rsidRPr="00BD3E97"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There were 8,715 employees in Research and Experimental Development (R&amp;D), representing 5,162 full-time equivalent (FTE) workers</w:t>
      </w:r>
      <w:r w:rsidR="00874224" w:rsidRPr="00BD3E97">
        <w:rPr>
          <w:rFonts w:ascii="Times New Roman" w:hAnsi="Times New Roman" w:cs="Times New Roman"/>
          <w:color w:val="000000" w:themeColor="text1"/>
          <w:sz w:val="24"/>
          <w:szCs w:val="24"/>
        </w:rPr>
        <w:t xml:space="preserve"> for </w:t>
      </w:r>
      <w:r w:rsidR="00385408" w:rsidRPr="00BD3E97">
        <w:rPr>
          <w:rFonts w:ascii="Times New Roman" w:hAnsi="Times New Roman" w:cs="Times New Roman"/>
          <w:color w:val="000000" w:themeColor="text1"/>
          <w:sz w:val="24"/>
          <w:szCs w:val="24"/>
        </w:rPr>
        <w:t xml:space="preserve">the </w:t>
      </w:r>
      <w:r w:rsidR="00874224" w:rsidRPr="00BD3E97">
        <w:rPr>
          <w:rFonts w:ascii="Times New Roman" w:hAnsi="Times New Roman" w:cs="Times New Roman"/>
          <w:color w:val="000000" w:themeColor="text1"/>
          <w:sz w:val="24"/>
          <w:szCs w:val="24"/>
        </w:rPr>
        <w:t>year 2013</w:t>
      </w:r>
      <w:r w:rsidR="00216ABF">
        <w:rPr>
          <w:rFonts w:ascii="Times New Roman" w:hAnsi="Times New Roman" w:cs="Times New Roman"/>
          <w:color w:val="000000" w:themeColor="text1"/>
          <w:sz w:val="24"/>
          <w:szCs w:val="24"/>
        </w:rPr>
        <w:t>.</w:t>
      </w:r>
      <w:r w:rsidR="00BE2EC0">
        <w:rPr>
          <w:rStyle w:val="FootnoteReference"/>
          <w:rFonts w:ascii="Times New Roman" w:hAnsi="Times New Roman" w:cs="Times New Roman"/>
          <w:color w:val="000000" w:themeColor="text1"/>
          <w:sz w:val="24"/>
          <w:szCs w:val="24"/>
        </w:rPr>
        <w:footnoteReference w:id="9"/>
      </w:r>
    </w:p>
    <w:p w14:paraId="5B99A3CF" w14:textId="77777777" w:rsidR="00322D8E" w:rsidRPr="00BD3E97" w:rsidRDefault="00322D8E" w:rsidP="00322D8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02E1777" w14:textId="77777777" w:rsidR="0071415F" w:rsidRPr="00537CB3"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tl/>
        </w:rPr>
      </w:pPr>
      <w:r w:rsidRPr="00537CB3">
        <w:rPr>
          <w:rFonts w:ascii="Times New Roman" w:hAnsi="Times New Roman" w:cs="Times New Roman"/>
          <w:b/>
          <w:bCs/>
          <w:i/>
          <w:iCs/>
          <w:color w:val="000000" w:themeColor="text1"/>
          <w:sz w:val="24"/>
          <w:szCs w:val="24"/>
        </w:rPr>
        <w:t xml:space="preserve">Indicator 9.b.1 Proportion of </w:t>
      </w:r>
      <w:r w:rsidR="00216ABF" w:rsidRPr="00537CB3">
        <w:rPr>
          <w:rFonts w:ascii="Times New Roman" w:hAnsi="Times New Roman" w:cs="Times New Roman"/>
          <w:b/>
          <w:bCs/>
          <w:i/>
          <w:iCs/>
          <w:color w:val="000000" w:themeColor="text1"/>
          <w:sz w:val="24"/>
          <w:szCs w:val="24"/>
        </w:rPr>
        <w:t>m</w:t>
      </w:r>
      <w:r w:rsidRPr="00537CB3">
        <w:rPr>
          <w:rFonts w:ascii="Times New Roman" w:hAnsi="Times New Roman" w:cs="Times New Roman"/>
          <w:b/>
          <w:bCs/>
          <w:i/>
          <w:iCs/>
          <w:color w:val="000000" w:themeColor="text1"/>
          <w:sz w:val="24"/>
          <w:szCs w:val="24"/>
        </w:rPr>
        <w:t xml:space="preserve">edium and </w:t>
      </w:r>
      <w:r w:rsidR="00216ABF" w:rsidRPr="00537CB3">
        <w:rPr>
          <w:rFonts w:ascii="Times New Roman" w:hAnsi="Times New Roman" w:cs="Times New Roman"/>
          <w:b/>
          <w:bCs/>
          <w:i/>
          <w:iCs/>
          <w:color w:val="000000" w:themeColor="text1"/>
          <w:sz w:val="24"/>
          <w:szCs w:val="24"/>
        </w:rPr>
        <w:t>h</w:t>
      </w:r>
      <w:r w:rsidRPr="00537CB3">
        <w:rPr>
          <w:rFonts w:ascii="Times New Roman" w:hAnsi="Times New Roman" w:cs="Times New Roman"/>
          <w:b/>
          <w:bCs/>
          <w:i/>
          <w:iCs/>
          <w:color w:val="000000" w:themeColor="text1"/>
          <w:sz w:val="24"/>
          <w:szCs w:val="24"/>
        </w:rPr>
        <w:t>igh-</w:t>
      </w:r>
      <w:r w:rsidR="00216ABF" w:rsidRPr="00537CB3">
        <w:rPr>
          <w:rFonts w:ascii="Times New Roman" w:hAnsi="Times New Roman" w:cs="Times New Roman"/>
          <w:b/>
          <w:bCs/>
          <w:i/>
          <w:iCs/>
          <w:color w:val="000000" w:themeColor="text1"/>
          <w:sz w:val="24"/>
          <w:szCs w:val="24"/>
        </w:rPr>
        <w:t>t</w:t>
      </w:r>
      <w:r w:rsidRPr="00537CB3">
        <w:rPr>
          <w:rFonts w:ascii="Times New Roman" w:hAnsi="Times New Roman" w:cs="Times New Roman"/>
          <w:b/>
          <w:bCs/>
          <w:i/>
          <w:iCs/>
          <w:color w:val="000000" w:themeColor="text1"/>
          <w:sz w:val="24"/>
          <w:szCs w:val="24"/>
        </w:rPr>
        <w:t xml:space="preserve">ech </w:t>
      </w:r>
      <w:r w:rsidR="00216ABF" w:rsidRPr="00537CB3">
        <w:rPr>
          <w:rFonts w:ascii="Times New Roman" w:hAnsi="Times New Roman" w:cs="Times New Roman"/>
          <w:b/>
          <w:bCs/>
          <w:i/>
          <w:iCs/>
          <w:color w:val="000000" w:themeColor="text1"/>
          <w:sz w:val="24"/>
          <w:szCs w:val="24"/>
        </w:rPr>
        <w:t>i</w:t>
      </w:r>
      <w:r w:rsidRPr="00537CB3">
        <w:rPr>
          <w:rFonts w:ascii="Times New Roman" w:hAnsi="Times New Roman" w:cs="Times New Roman"/>
          <w:b/>
          <w:bCs/>
          <w:i/>
          <w:iCs/>
          <w:color w:val="000000" w:themeColor="text1"/>
          <w:sz w:val="24"/>
          <w:szCs w:val="24"/>
        </w:rPr>
        <w:t xml:space="preserve">ndustry </w:t>
      </w:r>
      <w:r w:rsidR="00216ABF" w:rsidRPr="00537CB3">
        <w:rPr>
          <w:rFonts w:ascii="Times New Roman" w:hAnsi="Times New Roman" w:cs="Times New Roman"/>
          <w:b/>
          <w:bCs/>
          <w:i/>
          <w:iCs/>
          <w:color w:val="000000" w:themeColor="text1"/>
          <w:sz w:val="24"/>
          <w:szCs w:val="24"/>
        </w:rPr>
        <w:t>v</w:t>
      </w:r>
      <w:r w:rsidRPr="00537CB3">
        <w:rPr>
          <w:rFonts w:ascii="Times New Roman" w:hAnsi="Times New Roman" w:cs="Times New Roman"/>
          <w:b/>
          <w:bCs/>
          <w:i/>
          <w:iCs/>
          <w:color w:val="000000" w:themeColor="text1"/>
          <w:sz w:val="24"/>
          <w:szCs w:val="24"/>
        </w:rPr>
        <w:t xml:space="preserve">alue </w:t>
      </w:r>
      <w:r w:rsidR="00216ABF" w:rsidRPr="00537CB3">
        <w:rPr>
          <w:rFonts w:ascii="Times New Roman" w:hAnsi="Times New Roman" w:cs="Times New Roman"/>
          <w:b/>
          <w:bCs/>
          <w:i/>
          <w:iCs/>
          <w:color w:val="000000" w:themeColor="text1"/>
          <w:sz w:val="24"/>
          <w:szCs w:val="24"/>
        </w:rPr>
        <w:t>a</w:t>
      </w:r>
      <w:r w:rsidRPr="00537CB3">
        <w:rPr>
          <w:rFonts w:ascii="Times New Roman" w:hAnsi="Times New Roman" w:cs="Times New Roman"/>
          <w:b/>
          <w:bCs/>
          <w:i/>
          <w:iCs/>
          <w:color w:val="000000" w:themeColor="text1"/>
          <w:sz w:val="24"/>
          <w:szCs w:val="24"/>
        </w:rPr>
        <w:t xml:space="preserve">dded in </w:t>
      </w:r>
      <w:r w:rsidR="00216ABF" w:rsidRPr="00537CB3">
        <w:rPr>
          <w:rFonts w:ascii="Times New Roman" w:hAnsi="Times New Roman" w:cs="Times New Roman"/>
          <w:b/>
          <w:bCs/>
          <w:i/>
          <w:iCs/>
          <w:color w:val="000000" w:themeColor="text1"/>
          <w:sz w:val="24"/>
          <w:szCs w:val="24"/>
        </w:rPr>
        <w:t>t</w:t>
      </w:r>
      <w:r w:rsidRPr="00537CB3">
        <w:rPr>
          <w:rFonts w:ascii="Times New Roman" w:hAnsi="Times New Roman" w:cs="Times New Roman"/>
          <w:b/>
          <w:bCs/>
          <w:i/>
          <w:iCs/>
          <w:color w:val="000000" w:themeColor="text1"/>
          <w:sz w:val="24"/>
          <w:szCs w:val="24"/>
        </w:rPr>
        <w:t xml:space="preserve">otal </w:t>
      </w:r>
      <w:r w:rsidR="00216ABF" w:rsidRPr="00537CB3">
        <w:rPr>
          <w:rFonts w:ascii="Times New Roman" w:hAnsi="Times New Roman" w:cs="Times New Roman"/>
          <w:b/>
          <w:bCs/>
          <w:i/>
          <w:iCs/>
          <w:color w:val="000000" w:themeColor="text1"/>
          <w:sz w:val="24"/>
          <w:szCs w:val="24"/>
        </w:rPr>
        <w:t>v</w:t>
      </w:r>
      <w:r w:rsidRPr="00537CB3">
        <w:rPr>
          <w:rFonts w:ascii="Times New Roman" w:hAnsi="Times New Roman" w:cs="Times New Roman"/>
          <w:b/>
          <w:bCs/>
          <w:i/>
          <w:iCs/>
          <w:color w:val="000000" w:themeColor="text1"/>
          <w:sz w:val="24"/>
          <w:szCs w:val="24"/>
        </w:rPr>
        <w:t xml:space="preserve">alue </w:t>
      </w:r>
      <w:r w:rsidR="00216ABF" w:rsidRPr="00537CB3">
        <w:rPr>
          <w:rFonts w:ascii="Times New Roman" w:hAnsi="Times New Roman" w:cs="Times New Roman"/>
          <w:b/>
          <w:bCs/>
          <w:i/>
          <w:iCs/>
          <w:color w:val="000000" w:themeColor="text1"/>
          <w:sz w:val="24"/>
          <w:szCs w:val="24"/>
        </w:rPr>
        <w:t>a</w:t>
      </w:r>
      <w:r w:rsidRPr="00537CB3">
        <w:rPr>
          <w:rFonts w:ascii="Times New Roman" w:hAnsi="Times New Roman" w:cs="Times New Roman"/>
          <w:b/>
          <w:bCs/>
          <w:i/>
          <w:iCs/>
          <w:color w:val="000000" w:themeColor="text1"/>
          <w:sz w:val="24"/>
          <w:szCs w:val="24"/>
        </w:rPr>
        <w:t>dded</w:t>
      </w:r>
    </w:p>
    <w:p w14:paraId="7346ECD8" w14:textId="77777777" w:rsidR="004243BA" w:rsidRPr="00537CB3" w:rsidRDefault="004243BA" w:rsidP="004243BA">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tl/>
        </w:rPr>
      </w:pPr>
    </w:p>
    <w:p w14:paraId="02F918A7" w14:textId="77777777" w:rsidR="00360DB2" w:rsidRPr="00537CB3" w:rsidRDefault="00360DB2" w:rsidP="00360DB2">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537CB3">
        <w:rPr>
          <w:rFonts w:ascii="Times New Roman" w:hAnsi="Times New Roman" w:cs="Times New Roman"/>
          <w:color w:val="000000" w:themeColor="text1"/>
          <w:sz w:val="24"/>
          <w:szCs w:val="24"/>
        </w:rPr>
        <w:t xml:space="preserve">There is a decrease in the proportion of medium and high-tech industry value added in total value added in Palestine, the highest percentage was 9.8% in 2016 and the lowest percentage was 3.5% in 2021. </w:t>
      </w:r>
    </w:p>
    <w:p w14:paraId="29336DA6" w14:textId="77777777" w:rsidR="004243BA" w:rsidRPr="00537CB3" w:rsidRDefault="004243BA" w:rsidP="004243BA">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35024EE0" w14:textId="77777777" w:rsidR="00CF3F40" w:rsidRPr="00537CB3" w:rsidRDefault="00CF3F40" w:rsidP="00CF3F40">
      <w:pPr>
        <w:tabs>
          <w:tab w:val="left" w:pos="9072"/>
        </w:tabs>
        <w:bidi w:val="0"/>
        <w:spacing w:after="0" w:line="240" w:lineRule="auto"/>
        <w:jc w:val="center"/>
        <w:rPr>
          <w:rFonts w:ascii="Arial" w:hAnsi="Arial"/>
          <w:b/>
          <w:bCs/>
          <w:color w:val="000000" w:themeColor="text1"/>
        </w:rPr>
      </w:pPr>
    </w:p>
    <w:p w14:paraId="3498C27D" w14:textId="77777777" w:rsidR="001F12C6" w:rsidRPr="00537CB3" w:rsidRDefault="001F12C6" w:rsidP="001F12C6">
      <w:pPr>
        <w:tabs>
          <w:tab w:val="left" w:pos="9072"/>
        </w:tabs>
        <w:bidi w:val="0"/>
        <w:spacing w:after="0" w:line="240" w:lineRule="auto"/>
        <w:jc w:val="center"/>
        <w:rPr>
          <w:rFonts w:ascii="Arial" w:hAnsi="Arial"/>
          <w:b/>
          <w:bCs/>
          <w:color w:val="000000" w:themeColor="text1"/>
        </w:rPr>
      </w:pPr>
    </w:p>
    <w:p w14:paraId="636A0A74" w14:textId="77777777" w:rsidR="001F12C6" w:rsidRDefault="001F12C6" w:rsidP="001F12C6">
      <w:pPr>
        <w:tabs>
          <w:tab w:val="left" w:pos="9072"/>
        </w:tabs>
        <w:bidi w:val="0"/>
        <w:spacing w:after="0" w:line="240" w:lineRule="auto"/>
        <w:jc w:val="center"/>
        <w:rPr>
          <w:rFonts w:ascii="Arial" w:hAnsi="Arial"/>
          <w:b/>
          <w:bCs/>
          <w:color w:val="000000" w:themeColor="text1"/>
        </w:rPr>
      </w:pPr>
    </w:p>
    <w:p w14:paraId="761FE432" w14:textId="77777777" w:rsidR="00537CB3" w:rsidRPr="00537CB3" w:rsidRDefault="00537CB3" w:rsidP="00537CB3">
      <w:pPr>
        <w:tabs>
          <w:tab w:val="left" w:pos="9072"/>
        </w:tabs>
        <w:bidi w:val="0"/>
        <w:spacing w:after="0" w:line="240" w:lineRule="auto"/>
        <w:jc w:val="center"/>
        <w:rPr>
          <w:rFonts w:ascii="Arial" w:hAnsi="Arial"/>
          <w:b/>
          <w:bCs/>
          <w:color w:val="000000" w:themeColor="text1"/>
        </w:rPr>
      </w:pPr>
    </w:p>
    <w:p w14:paraId="40824D1F" w14:textId="77777777" w:rsidR="001F12C6" w:rsidRPr="00537CB3" w:rsidRDefault="001F12C6" w:rsidP="001F12C6">
      <w:pPr>
        <w:tabs>
          <w:tab w:val="left" w:pos="9072"/>
        </w:tabs>
        <w:bidi w:val="0"/>
        <w:spacing w:after="0" w:line="240" w:lineRule="auto"/>
        <w:jc w:val="center"/>
        <w:rPr>
          <w:rFonts w:ascii="Arial" w:hAnsi="Arial"/>
          <w:b/>
          <w:bCs/>
          <w:color w:val="000000" w:themeColor="text1"/>
        </w:rPr>
      </w:pPr>
    </w:p>
    <w:p w14:paraId="61D57AF2" w14:textId="77777777" w:rsidR="001F12C6" w:rsidRPr="00537CB3" w:rsidRDefault="001F12C6" w:rsidP="001F12C6">
      <w:pPr>
        <w:tabs>
          <w:tab w:val="left" w:pos="9072"/>
        </w:tabs>
        <w:bidi w:val="0"/>
        <w:spacing w:after="0" w:line="240" w:lineRule="auto"/>
        <w:jc w:val="center"/>
        <w:rPr>
          <w:rFonts w:ascii="Arial" w:hAnsi="Arial"/>
          <w:b/>
          <w:bCs/>
          <w:color w:val="000000" w:themeColor="text1"/>
        </w:rPr>
      </w:pPr>
    </w:p>
    <w:p w14:paraId="55DA8A34" w14:textId="77777777" w:rsidR="001F12C6" w:rsidRPr="00537CB3" w:rsidRDefault="001F12C6" w:rsidP="001F12C6">
      <w:pPr>
        <w:tabs>
          <w:tab w:val="left" w:pos="9072"/>
        </w:tabs>
        <w:bidi w:val="0"/>
        <w:spacing w:after="0" w:line="240" w:lineRule="auto"/>
        <w:jc w:val="center"/>
        <w:rPr>
          <w:rFonts w:ascii="Arial" w:hAnsi="Arial"/>
          <w:b/>
          <w:bCs/>
          <w:color w:val="000000" w:themeColor="text1"/>
        </w:rPr>
      </w:pPr>
    </w:p>
    <w:p w14:paraId="3BF4C322" w14:textId="77777777" w:rsidR="0071415F" w:rsidRDefault="0071415F" w:rsidP="00FD29A6">
      <w:pPr>
        <w:tabs>
          <w:tab w:val="left" w:pos="9072"/>
        </w:tabs>
        <w:bidi w:val="0"/>
        <w:spacing w:after="0" w:line="240" w:lineRule="auto"/>
        <w:jc w:val="center"/>
        <w:rPr>
          <w:rFonts w:ascii="Arial" w:hAnsi="Arial"/>
          <w:b/>
          <w:bCs/>
          <w:color w:val="000000" w:themeColor="text1"/>
        </w:rPr>
      </w:pPr>
      <w:r w:rsidRPr="00537CB3">
        <w:rPr>
          <w:rFonts w:ascii="Arial" w:hAnsi="Arial"/>
          <w:b/>
          <w:bCs/>
          <w:color w:val="000000" w:themeColor="text1"/>
        </w:rPr>
        <w:lastRenderedPageBreak/>
        <w:t xml:space="preserve">Proportion of </w:t>
      </w:r>
      <w:r w:rsidR="00216ABF" w:rsidRPr="00537CB3">
        <w:rPr>
          <w:rFonts w:ascii="Arial" w:hAnsi="Arial"/>
          <w:b/>
          <w:bCs/>
          <w:color w:val="000000" w:themeColor="text1"/>
        </w:rPr>
        <w:t>M</w:t>
      </w:r>
      <w:r w:rsidRPr="00537CB3">
        <w:rPr>
          <w:rFonts w:ascii="Arial" w:hAnsi="Arial"/>
          <w:b/>
          <w:bCs/>
          <w:color w:val="000000" w:themeColor="text1"/>
        </w:rPr>
        <w:t xml:space="preserve">edium and </w:t>
      </w:r>
      <w:r w:rsidR="00216ABF" w:rsidRPr="00537CB3">
        <w:rPr>
          <w:rFonts w:ascii="Arial" w:hAnsi="Arial"/>
          <w:b/>
          <w:bCs/>
          <w:color w:val="000000" w:themeColor="text1"/>
        </w:rPr>
        <w:t>H</w:t>
      </w:r>
      <w:r w:rsidRPr="00537CB3">
        <w:rPr>
          <w:rFonts w:ascii="Arial" w:hAnsi="Arial"/>
          <w:b/>
          <w:bCs/>
          <w:color w:val="000000" w:themeColor="text1"/>
        </w:rPr>
        <w:t>igh-</w:t>
      </w:r>
      <w:r w:rsidR="00216ABF" w:rsidRPr="00537CB3">
        <w:rPr>
          <w:rFonts w:ascii="Arial" w:hAnsi="Arial"/>
          <w:b/>
          <w:bCs/>
          <w:color w:val="000000" w:themeColor="text1"/>
        </w:rPr>
        <w:t>T</w:t>
      </w:r>
      <w:r w:rsidRPr="00537CB3">
        <w:rPr>
          <w:rFonts w:ascii="Arial" w:hAnsi="Arial"/>
          <w:b/>
          <w:bCs/>
          <w:color w:val="000000" w:themeColor="text1"/>
        </w:rPr>
        <w:t xml:space="preserve">ech </w:t>
      </w:r>
      <w:r w:rsidR="00216ABF" w:rsidRPr="00537CB3">
        <w:rPr>
          <w:rFonts w:ascii="Arial" w:hAnsi="Arial"/>
          <w:b/>
          <w:bCs/>
          <w:color w:val="000000" w:themeColor="text1"/>
        </w:rPr>
        <w:t>I</w:t>
      </w:r>
      <w:r w:rsidRPr="00537CB3">
        <w:rPr>
          <w:rFonts w:ascii="Arial" w:hAnsi="Arial"/>
          <w:b/>
          <w:bCs/>
          <w:color w:val="000000" w:themeColor="text1"/>
        </w:rPr>
        <w:t xml:space="preserve">ndustry </w:t>
      </w:r>
      <w:r w:rsidR="00216ABF" w:rsidRPr="00537CB3">
        <w:rPr>
          <w:rFonts w:ascii="Arial" w:hAnsi="Arial"/>
          <w:b/>
          <w:bCs/>
          <w:color w:val="000000" w:themeColor="text1"/>
        </w:rPr>
        <w:t>V</w:t>
      </w:r>
      <w:r w:rsidRPr="00537CB3">
        <w:rPr>
          <w:rFonts w:ascii="Arial" w:hAnsi="Arial"/>
          <w:b/>
          <w:bCs/>
          <w:color w:val="000000" w:themeColor="text1"/>
        </w:rPr>
        <w:t xml:space="preserve">alue </w:t>
      </w:r>
      <w:r w:rsidR="00216ABF" w:rsidRPr="00537CB3">
        <w:rPr>
          <w:rFonts w:ascii="Arial" w:hAnsi="Arial"/>
          <w:b/>
          <w:bCs/>
          <w:color w:val="000000" w:themeColor="text1"/>
        </w:rPr>
        <w:t>A</w:t>
      </w:r>
      <w:r w:rsidRPr="00537CB3">
        <w:rPr>
          <w:rFonts w:ascii="Arial" w:hAnsi="Arial"/>
          <w:b/>
          <w:bCs/>
          <w:color w:val="000000" w:themeColor="text1"/>
        </w:rPr>
        <w:t xml:space="preserve">dded in </w:t>
      </w:r>
      <w:r w:rsidR="00216ABF" w:rsidRPr="00537CB3">
        <w:rPr>
          <w:rFonts w:ascii="Arial" w:hAnsi="Arial"/>
          <w:b/>
          <w:bCs/>
          <w:color w:val="000000" w:themeColor="text1"/>
        </w:rPr>
        <w:t>T</w:t>
      </w:r>
      <w:r w:rsidRPr="00537CB3">
        <w:rPr>
          <w:rFonts w:ascii="Arial" w:hAnsi="Arial"/>
          <w:b/>
          <w:bCs/>
          <w:color w:val="000000" w:themeColor="text1"/>
        </w:rPr>
        <w:t xml:space="preserve">otal </w:t>
      </w:r>
      <w:r w:rsidR="00216ABF" w:rsidRPr="00537CB3">
        <w:rPr>
          <w:rFonts w:ascii="Arial" w:hAnsi="Arial"/>
          <w:b/>
          <w:bCs/>
          <w:color w:val="000000" w:themeColor="text1"/>
        </w:rPr>
        <w:t>V</w:t>
      </w:r>
      <w:r w:rsidRPr="00537CB3">
        <w:rPr>
          <w:rFonts w:ascii="Arial" w:hAnsi="Arial"/>
          <w:b/>
          <w:bCs/>
          <w:color w:val="000000" w:themeColor="text1"/>
        </w:rPr>
        <w:t xml:space="preserve">alue </w:t>
      </w:r>
      <w:r w:rsidR="00216ABF" w:rsidRPr="00537CB3">
        <w:rPr>
          <w:rFonts w:ascii="Arial" w:hAnsi="Arial"/>
          <w:b/>
          <w:bCs/>
          <w:color w:val="000000" w:themeColor="text1"/>
        </w:rPr>
        <w:t>A</w:t>
      </w:r>
      <w:r w:rsidRPr="00537CB3">
        <w:rPr>
          <w:rFonts w:ascii="Arial" w:hAnsi="Arial"/>
          <w:b/>
          <w:bCs/>
          <w:color w:val="000000" w:themeColor="text1"/>
        </w:rPr>
        <w:t xml:space="preserve">dded, </w:t>
      </w:r>
      <w:r w:rsidR="00E93DD8" w:rsidRPr="00537CB3">
        <w:rPr>
          <w:rFonts w:ascii="Arial" w:hAnsi="Arial"/>
          <w:b/>
          <w:bCs/>
          <w:color w:val="000000" w:themeColor="text1"/>
        </w:rPr>
        <w:t>2015</w:t>
      </w:r>
      <w:r w:rsidRPr="00537CB3">
        <w:rPr>
          <w:rFonts w:ascii="Arial" w:hAnsi="Arial"/>
          <w:b/>
          <w:bCs/>
          <w:color w:val="000000" w:themeColor="text1"/>
        </w:rPr>
        <w:t>-20</w:t>
      </w:r>
      <w:r w:rsidR="00FD29A6" w:rsidRPr="00537CB3">
        <w:rPr>
          <w:rFonts w:ascii="Arial" w:hAnsi="Arial"/>
          <w:b/>
          <w:bCs/>
          <w:color w:val="000000" w:themeColor="text1"/>
        </w:rPr>
        <w:t>21</w:t>
      </w:r>
      <w:r w:rsidRPr="00537CB3">
        <w:rPr>
          <w:rFonts w:ascii="Arial" w:hAnsi="Arial"/>
          <w:b/>
          <w:bCs/>
          <w:color w:val="000000" w:themeColor="text1"/>
        </w:rPr>
        <w:t xml:space="preserve"> (%)</w:t>
      </w:r>
    </w:p>
    <w:p w14:paraId="37EECBD0" w14:textId="77777777" w:rsidR="00A5032B" w:rsidRPr="0090647B" w:rsidRDefault="00A5032B" w:rsidP="00A5032B">
      <w:pPr>
        <w:tabs>
          <w:tab w:val="left" w:pos="9072"/>
        </w:tabs>
        <w:bidi w:val="0"/>
        <w:spacing w:after="0" w:line="240" w:lineRule="auto"/>
        <w:jc w:val="center"/>
        <w:rPr>
          <w:rFonts w:ascii="Arial" w:hAnsi="Arial"/>
          <w:b/>
          <w:bCs/>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2F092B85" w14:textId="77777777" w:rsidTr="0071415F">
        <w:trPr>
          <w:trHeight w:val="3890"/>
        </w:trPr>
        <w:tc>
          <w:tcPr>
            <w:tcW w:w="9286" w:type="dxa"/>
            <w:shd w:val="clear" w:color="auto" w:fill="auto"/>
          </w:tcPr>
          <w:p w14:paraId="5F0DC9F2" w14:textId="77777777" w:rsidR="0071415F" w:rsidRPr="0090647B" w:rsidRDefault="0071415F" w:rsidP="0071415F">
            <w:pPr>
              <w:tabs>
                <w:tab w:val="left" w:pos="9072"/>
              </w:tabs>
              <w:bidi w:val="0"/>
              <w:spacing w:after="0" w:line="240" w:lineRule="auto"/>
              <w:jc w:val="center"/>
              <w:rPr>
                <w:rFonts w:ascii="Arial" w:hAnsi="Arial"/>
                <w:b/>
                <w:bCs/>
                <w:color w:val="000000" w:themeColor="text1"/>
                <w:lang w:val="it-IT"/>
              </w:rPr>
            </w:pPr>
            <w:r w:rsidRPr="0090647B">
              <w:rPr>
                <w:rFonts w:ascii="Times New Roman" w:hAnsi="Times New Roman" w:cs="Times New Roman"/>
                <w:noProof/>
                <w:color w:val="000000" w:themeColor="text1"/>
              </w:rPr>
              <w:drawing>
                <wp:inline distT="0" distB="0" distL="0" distR="0" wp14:anchorId="4E16C614" wp14:editId="5AB9DABC">
                  <wp:extent cx="5764530" cy="2361565"/>
                  <wp:effectExtent l="0" t="0" r="7620" b="635"/>
                  <wp:docPr id="89"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bl>
    <w:p w14:paraId="0DD768A8" w14:textId="77777777" w:rsidR="00E300A7" w:rsidRPr="00537CB3" w:rsidRDefault="0071415F" w:rsidP="00FD29A6">
      <w:pPr>
        <w:bidi w:val="0"/>
        <w:spacing w:after="0" w:line="240" w:lineRule="auto"/>
        <w:ind w:left="720" w:hanging="720"/>
        <w:jc w:val="both"/>
        <w:rPr>
          <w:rFonts w:ascii="Arial" w:hAnsi="Arial"/>
          <w:color w:val="000000" w:themeColor="text1"/>
          <w:sz w:val="18"/>
          <w:szCs w:val="18"/>
        </w:rPr>
      </w:pPr>
      <w:r w:rsidRPr="00537CB3">
        <w:rPr>
          <w:rFonts w:ascii="Arial" w:hAnsi="Arial"/>
          <w:b/>
          <w:bCs/>
          <w:color w:val="000000" w:themeColor="text1"/>
          <w:sz w:val="18"/>
          <w:szCs w:val="18"/>
        </w:rPr>
        <w:t xml:space="preserve">Souse: Palestinian Central Bureau of Statistics, 2020.  </w:t>
      </w:r>
      <w:r w:rsidRPr="00537CB3">
        <w:rPr>
          <w:rFonts w:ascii="Arial" w:hAnsi="Arial"/>
          <w:color w:val="000000" w:themeColor="text1"/>
          <w:sz w:val="18"/>
          <w:szCs w:val="18"/>
        </w:rPr>
        <w:t xml:space="preserve">Economic Surveys Series </w:t>
      </w:r>
      <w:r w:rsidR="00A25FCF" w:rsidRPr="00537CB3">
        <w:rPr>
          <w:rFonts w:ascii="Arial" w:hAnsi="Arial"/>
          <w:color w:val="000000" w:themeColor="text1"/>
          <w:sz w:val="18"/>
          <w:szCs w:val="18"/>
        </w:rPr>
        <w:t>2015</w:t>
      </w:r>
      <w:r w:rsidRPr="00537CB3">
        <w:rPr>
          <w:rFonts w:ascii="Arial" w:hAnsi="Arial"/>
          <w:color w:val="000000" w:themeColor="text1"/>
          <w:sz w:val="18"/>
          <w:szCs w:val="18"/>
        </w:rPr>
        <w:t>- 20</w:t>
      </w:r>
      <w:r w:rsidR="00FD29A6" w:rsidRPr="00537CB3">
        <w:rPr>
          <w:rFonts w:ascii="Arial" w:hAnsi="Arial"/>
          <w:color w:val="000000" w:themeColor="text1"/>
          <w:sz w:val="18"/>
          <w:szCs w:val="18"/>
        </w:rPr>
        <w:t>21</w:t>
      </w:r>
      <w:r w:rsidRPr="00537CB3">
        <w:rPr>
          <w:rFonts w:ascii="Arial" w:hAnsi="Arial"/>
          <w:color w:val="000000" w:themeColor="text1"/>
          <w:sz w:val="18"/>
          <w:szCs w:val="18"/>
        </w:rPr>
        <w:t xml:space="preserve">. Ramallah </w:t>
      </w:r>
      <w:r w:rsidR="00E300A7" w:rsidRPr="00537CB3">
        <w:rPr>
          <w:rFonts w:ascii="Arial" w:hAnsi="Arial"/>
          <w:color w:val="000000" w:themeColor="text1"/>
          <w:sz w:val="18"/>
          <w:szCs w:val="18"/>
        </w:rPr>
        <w:t>–</w:t>
      </w:r>
      <w:r w:rsidRPr="00537CB3">
        <w:rPr>
          <w:rFonts w:ascii="Arial" w:hAnsi="Arial"/>
          <w:color w:val="000000" w:themeColor="text1"/>
          <w:sz w:val="18"/>
          <w:szCs w:val="18"/>
        </w:rPr>
        <w:t xml:space="preserve"> Palest</w:t>
      </w:r>
      <w:r w:rsidR="00E300A7" w:rsidRPr="00537CB3">
        <w:rPr>
          <w:rFonts w:ascii="Arial" w:hAnsi="Arial"/>
          <w:color w:val="000000" w:themeColor="text1"/>
          <w:sz w:val="18"/>
          <w:szCs w:val="18"/>
        </w:rPr>
        <w:t>ine</w:t>
      </w:r>
    </w:p>
    <w:p w14:paraId="1BD6B89E" w14:textId="77777777" w:rsidR="0071415F" w:rsidRPr="00537CB3" w:rsidRDefault="0071415F" w:rsidP="008A321F">
      <w:pPr>
        <w:bidi w:val="0"/>
        <w:spacing w:after="0" w:line="240" w:lineRule="auto"/>
        <w:ind w:left="720" w:hanging="720"/>
        <w:jc w:val="both"/>
        <w:rPr>
          <w:rFonts w:ascii="Arial" w:hAnsi="Arial"/>
          <w:b/>
          <w:bCs/>
          <w:color w:val="000000" w:themeColor="text1"/>
          <w:sz w:val="18"/>
          <w:szCs w:val="18"/>
          <w:rtl/>
        </w:rPr>
      </w:pPr>
      <w:r w:rsidRPr="00537CB3">
        <w:rPr>
          <w:rFonts w:ascii="Arial" w:hAnsi="Arial"/>
          <w:color w:val="000000" w:themeColor="text1"/>
          <w:sz w:val="18"/>
          <w:szCs w:val="18"/>
        </w:rPr>
        <w:t xml:space="preserve">*Data excluded parts of Jerusalem annexed by </w:t>
      </w:r>
      <w:r w:rsidR="00216ABF" w:rsidRPr="00537CB3">
        <w:rPr>
          <w:rFonts w:ascii="Arial" w:hAnsi="Arial"/>
          <w:color w:val="000000" w:themeColor="text1"/>
          <w:sz w:val="18"/>
          <w:szCs w:val="18"/>
        </w:rPr>
        <w:t xml:space="preserve">the </w:t>
      </w:r>
      <w:r w:rsidRPr="00537CB3">
        <w:rPr>
          <w:rFonts w:ascii="Arial" w:hAnsi="Arial"/>
          <w:color w:val="000000" w:themeColor="text1"/>
          <w:sz w:val="18"/>
          <w:szCs w:val="18"/>
        </w:rPr>
        <w:t>Israeli Occupation in 1967.</w:t>
      </w:r>
    </w:p>
    <w:p w14:paraId="17755919" w14:textId="77777777" w:rsidR="00C70E73" w:rsidRPr="00537CB3" w:rsidRDefault="00C70E73"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BE7C371" w14:textId="77777777" w:rsidR="00A92234" w:rsidRPr="00537CB3" w:rsidRDefault="0071415F" w:rsidP="00C70E73">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537CB3">
        <w:rPr>
          <w:rFonts w:ascii="Times New Roman" w:hAnsi="Times New Roman" w:cs="Times New Roman"/>
          <w:b/>
          <w:bCs/>
          <w:i/>
          <w:iCs/>
          <w:color w:val="000000" w:themeColor="text1"/>
          <w:sz w:val="24"/>
          <w:szCs w:val="24"/>
        </w:rPr>
        <w:t>Indicator 9.C.1 Proportion of population covered by a mobile network, by technology</w:t>
      </w:r>
    </w:p>
    <w:p w14:paraId="554171BC" w14:textId="77777777" w:rsidR="0071415F" w:rsidRPr="00537CB3" w:rsidRDefault="0071415F"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AB50F2A" w14:textId="77777777" w:rsidR="0071415F" w:rsidRPr="00537CB3"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537CB3">
        <w:rPr>
          <w:rFonts w:ascii="Times New Roman" w:hAnsi="Times New Roman" w:cs="Times New Roman"/>
          <w:color w:val="000000" w:themeColor="text1"/>
          <w:sz w:val="24"/>
          <w:szCs w:val="24"/>
        </w:rPr>
        <w:t>The percentage of the population covered by the second-generation mobile phone network</w:t>
      </w:r>
      <w:r w:rsidR="00B755B0" w:rsidRPr="00537CB3">
        <w:rPr>
          <w:rFonts w:ascii="Times New Roman" w:hAnsi="Times New Roman" w:cs="Times New Roman"/>
          <w:color w:val="000000" w:themeColor="text1"/>
          <w:sz w:val="24"/>
          <w:szCs w:val="24"/>
        </w:rPr>
        <w:t xml:space="preserve"> 2G</w:t>
      </w:r>
      <w:r w:rsidRPr="00537CB3">
        <w:rPr>
          <w:rFonts w:ascii="Times New Roman" w:hAnsi="Times New Roman" w:cs="Times New Roman"/>
          <w:color w:val="000000" w:themeColor="text1"/>
          <w:sz w:val="24"/>
          <w:szCs w:val="24"/>
        </w:rPr>
        <w:t xml:space="preserve"> was 98.0% and the percentage of the population covered by the third-generation mobile phone network </w:t>
      </w:r>
      <w:r w:rsidR="00B755B0" w:rsidRPr="00537CB3">
        <w:rPr>
          <w:rFonts w:ascii="Times New Roman" w:hAnsi="Times New Roman" w:cs="Times New Roman"/>
          <w:color w:val="000000" w:themeColor="text1"/>
          <w:sz w:val="24"/>
          <w:szCs w:val="24"/>
        </w:rPr>
        <w:t xml:space="preserve">3G </w:t>
      </w:r>
      <w:r w:rsidRPr="00537CB3">
        <w:rPr>
          <w:rFonts w:ascii="Times New Roman" w:hAnsi="Times New Roman" w:cs="Times New Roman"/>
          <w:color w:val="000000" w:themeColor="text1"/>
          <w:sz w:val="24"/>
          <w:szCs w:val="24"/>
        </w:rPr>
        <w:t>was 56.0% in the year 2021</w:t>
      </w:r>
      <w:r w:rsidR="00216ABF" w:rsidRPr="00537CB3">
        <w:rPr>
          <w:rFonts w:ascii="Times New Roman" w:hAnsi="Times New Roman" w:cs="Times New Roman"/>
          <w:color w:val="000000" w:themeColor="text1"/>
          <w:sz w:val="24"/>
          <w:szCs w:val="24"/>
        </w:rPr>
        <w:t>.</w:t>
      </w:r>
      <w:r w:rsidRPr="00537CB3">
        <w:rPr>
          <w:rFonts w:ascii="Times New Roman" w:hAnsi="Times New Roman" w:cs="Times New Roman"/>
          <w:color w:val="000000" w:themeColor="text1"/>
          <w:sz w:val="24"/>
          <w:szCs w:val="24"/>
          <w:vertAlign w:val="superscript"/>
        </w:rPr>
        <w:footnoteReference w:id="10"/>
      </w:r>
    </w:p>
    <w:p w14:paraId="1F139E3E" w14:textId="77777777" w:rsidR="0071415F" w:rsidRPr="00537CB3"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4EAA7E26" w14:textId="77777777" w:rsidR="0071415F" w:rsidRPr="00537CB3"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tl/>
        </w:rPr>
      </w:pPr>
      <w:r w:rsidRPr="00537CB3">
        <w:rPr>
          <w:rFonts w:ascii="Times New Roman" w:hAnsi="Times New Roman" w:cs="Times New Roman"/>
          <w:b/>
          <w:bCs/>
          <w:color w:val="000000" w:themeColor="text1"/>
          <w:sz w:val="24"/>
          <w:szCs w:val="24"/>
        </w:rPr>
        <w:t>Summary</w:t>
      </w:r>
    </w:p>
    <w:p w14:paraId="7DB65889" w14:textId="77777777" w:rsidR="0071415F" w:rsidRPr="00BD3E97" w:rsidRDefault="0071415F" w:rsidP="00A746C1">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537CB3">
        <w:rPr>
          <w:rFonts w:ascii="Times New Roman" w:hAnsi="Times New Roman" w:cs="Times New Roman"/>
          <w:color w:val="000000" w:themeColor="text1"/>
          <w:sz w:val="24"/>
          <w:szCs w:val="24"/>
        </w:rPr>
        <w:t xml:space="preserve">Manufacturing activity witnessed a decrease in 2021. Thus, the manufacturing value added as a proportion of GDP decreased to reach 12.2% as a proportion of GDP in Palestine. </w:t>
      </w:r>
      <w:r w:rsidR="00216ABF" w:rsidRPr="00537CB3">
        <w:rPr>
          <w:rFonts w:ascii="Times New Roman" w:hAnsi="Times New Roman" w:cs="Times New Roman"/>
          <w:color w:val="000000" w:themeColor="text1"/>
          <w:sz w:val="24"/>
          <w:szCs w:val="24"/>
        </w:rPr>
        <w:t>The</w:t>
      </w:r>
      <w:r w:rsidRPr="00537CB3">
        <w:rPr>
          <w:rFonts w:ascii="Times New Roman" w:hAnsi="Times New Roman" w:cs="Times New Roman"/>
          <w:color w:val="000000" w:themeColor="text1"/>
          <w:sz w:val="24"/>
          <w:szCs w:val="24"/>
        </w:rPr>
        <w:t xml:space="preserve"> manufacturing value added as a proportion of GDP in the West Bank reached 13.2 in 2021. In Gaza Strip, results showed a decrease in the manufacturing value added as a proportion of GDP to reach 7.2 in 2021.</w:t>
      </w:r>
      <w:r w:rsidRPr="00BD3E97">
        <w:rPr>
          <w:rFonts w:ascii="Times New Roman" w:hAnsi="Times New Roman" w:cs="Times New Roman"/>
          <w:color w:val="000000" w:themeColor="text1"/>
          <w:sz w:val="24"/>
          <w:szCs w:val="24"/>
        </w:rPr>
        <w:t xml:space="preserve"> </w:t>
      </w:r>
    </w:p>
    <w:p w14:paraId="576F6CB7"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8AA8683"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0F74E37"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A809322"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19962A2"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469AE2D"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54BDF92"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ACCBB1A"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B32D732"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787671A7"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72F3015C"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F8823A0" w14:textId="77777777" w:rsidR="00EC0053" w:rsidRPr="008128C6" w:rsidRDefault="00EC0053" w:rsidP="008C6258">
      <w:pPr>
        <w:bidi w:val="0"/>
        <w:spacing w:after="0" w:line="240" w:lineRule="auto"/>
        <w:rPr>
          <w:rFonts w:ascii="Times New Roman" w:hAnsi="Times New Roman" w:cs="Times New Roman"/>
          <w:color w:val="000000" w:themeColor="text1"/>
          <w:sz w:val="24"/>
          <w:szCs w:val="24"/>
          <w:rtl/>
        </w:rPr>
      </w:pPr>
    </w:p>
    <w:tbl>
      <w:tblPr>
        <w:tblW w:w="0" w:type="auto"/>
        <w:tblBorders>
          <w:top w:val="thinThickSmallGap" w:sz="24" w:space="0" w:color="DC2F7B"/>
          <w:left w:val="thinThickSmallGap" w:sz="24" w:space="0" w:color="DC2F7B"/>
          <w:bottom w:val="thinThickSmallGap" w:sz="24" w:space="0" w:color="DC2F7B"/>
          <w:right w:val="thinThickSmallGap" w:sz="24" w:space="0" w:color="DC2F7B"/>
        </w:tblBorders>
        <w:tblLook w:val="04A0" w:firstRow="1" w:lastRow="0" w:firstColumn="1" w:lastColumn="0" w:noHBand="0" w:noVBand="1"/>
      </w:tblPr>
      <w:tblGrid>
        <w:gridCol w:w="2081"/>
        <w:gridCol w:w="6899"/>
      </w:tblGrid>
      <w:tr w:rsidR="00EC0053" w:rsidRPr="000D2E4D" w14:paraId="223FBE61" w14:textId="77777777" w:rsidTr="00335608">
        <w:tc>
          <w:tcPr>
            <w:tcW w:w="2088" w:type="dxa"/>
            <w:shd w:val="clear" w:color="auto" w:fill="auto"/>
            <w:vAlign w:val="center"/>
          </w:tcPr>
          <w:p w14:paraId="54CB9F0B" w14:textId="77777777" w:rsidR="00EC0053" w:rsidRPr="000D2E4D" w:rsidRDefault="00EC0053"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27094699" wp14:editId="29E62F6E">
                  <wp:extent cx="1081405" cy="1081405"/>
                  <wp:effectExtent l="19050" t="0" r="4445" b="0"/>
                  <wp:docPr id="9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3"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14:paraId="22A154D2" w14:textId="77777777" w:rsidR="00EC0053" w:rsidRPr="000D2E4D" w:rsidRDefault="00EC0053" w:rsidP="008C6258">
            <w:pPr>
              <w:pStyle w:val="Header"/>
              <w:tabs>
                <w:tab w:val="left" w:pos="720"/>
              </w:tabs>
              <w:bidi w:val="0"/>
              <w:rPr>
                <w:rFonts w:ascii="Times New Roman" w:hAnsi="Times New Roman" w:cs="Times New Roman"/>
                <w:b/>
                <w:color w:val="000000"/>
                <w:sz w:val="28"/>
                <w:szCs w:val="28"/>
              </w:rPr>
            </w:pPr>
            <w:r w:rsidRPr="000D2E4D">
              <w:rPr>
                <w:rFonts w:ascii="Times New Roman" w:hAnsi="Times New Roman" w:cs="Times New Roman"/>
                <w:b/>
                <w:color w:val="000000"/>
                <w:sz w:val="28"/>
                <w:szCs w:val="28"/>
              </w:rPr>
              <w:t xml:space="preserve">GOAL 10 – Reduce Inequality Within </w:t>
            </w:r>
            <w:r w:rsidR="00216ABF">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Among Countries</w:t>
            </w:r>
          </w:p>
        </w:tc>
      </w:tr>
    </w:tbl>
    <w:p w14:paraId="02774AA9" w14:textId="77777777" w:rsidR="00EC0053" w:rsidRDefault="00EC0053" w:rsidP="008C6258">
      <w:pPr>
        <w:autoSpaceDE w:val="0"/>
        <w:autoSpaceDN w:val="0"/>
        <w:bidi w:val="0"/>
        <w:adjustRightInd w:val="0"/>
        <w:spacing w:after="0" w:line="240" w:lineRule="auto"/>
        <w:jc w:val="both"/>
        <w:rPr>
          <w:rFonts w:ascii="Times New Roman" w:hAnsi="Times New Roman" w:cs="Times New Roman"/>
          <w:sz w:val="24"/>
          <w:szCs w:val="24"/>
          <w:rtl/>
        </w:rPr>
      </w:pPr>
    </w:p>
    <w:p w14:paraId="3577EA72"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Introduction of the Goal</w:t>
      </w:r>
    </w:p>
    <w:p w14:paraId="5469E1F8" w14:textId="77777777" w:rsidR="0071415F" w:rsidRPr="00195DAC" w:rsidRDefault="0071415F" w:rsidP="00216AB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Reducing inequality in all its manifestations including its most extreme forms, through interconnected strategies is the theme of Goal 10.Goal 10 involves modification of policies and legislation to reduce disparities based on income, gender, age, disability, race, class, ethnicity, religion and opportunity and to increase the income of the poorest 40% of the population. It is also aimed at improving the regulation and monitoring of financial markets and institutions. Goal 10 addresses inequalities between countries by encouraging aid for development and direct investments in the neediest nations, promoting different treatment of businesses and enhancing the representation of developing countries in the decision-making process of global economic and financial institutions. Goal10 promotes social inclusion globally with a special focus on migration and migrant remittances.</w:t>
      </w:r>
    </w:p>
    <w:p w14:paraId="7D0ECDAB"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BF50C83"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Targets</w:t>
      </w:r>
    </w:p>
    <w:p w14:paraId="42EDCCF0"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 xml:space="preserve">Goal 10 is broken down into 10 </w:t>
      </w:r>
      <w:r w:rsidR="00685091">
        <w:rPr>
          <w:rFonts w:ascii="Times New Roman" w:hAnsi="Times New Roman" w:cs="Times New Roman"/>
          <w:sz w:val="24"/>
          <w:szCs w:val="24"/>
        </w:rPr>
        <w:t>t</w:t>
      </w:r>
      <w:r w:rsidRPr="00195DAC">
        <w:rPr>
          <w:rFonts w:ascii="Times New Roman" w:hAnsi="Times New Roman" w:cs="Times New Roman"/>
          <w:sz w:val="24"/>
          <w:szCs w:val="24"/>
        </w:rPr>
        <w:t xml:space="preserve">argets of which the last </w:t>
      </w:r>
      <w:r w:rsidR="00685091">
        <w:rPr>
          <w:rFonts w:ascii="Times New Roman" w:hAnsi="Times New Roman" w:cs="Times New Roman"/>
          <w:sz w:val="24"/>
          <w:szCs w:val="24"/>
        </w:rPr>
        <w:t>three</w:t>
      </w:r>
      <w:r w:rsidRPr="00195DAC">
        <w:rPr>
          <w:rFonts w:ascii="Times New Roman" w:hAnsi="Times New Roman" w:cs="Times New Roman"/>
          <w:sz w:val="24"/>
          <w:szCs w:val="24"/>
        </w:rPr>
        <w:t xml:space="preserve"> refer to means of implementation:</w:t>
      </w:r>
    </w:p>
    <w:p w14:paraId="37DBFAB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10.1</w:t>
      </w:r>
    </w:p>
    <w:p w14:paraId="0D2EFF8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progressively achieve and sustain income growth of the bottom 40</w:t>
      </w:r>
      <w:r w:rsidR="00685091">
        <w:rPr>
          <w:rFonts w:ascii="Times New Roman" w:hAnsi="Times New Roman" w:cs="Times New Roman"/>
          <w:sz w:val="24"/>
          <w:szCs w:val="24"/>
        </w:rPr>
        <w:t>%</w:t>
      </w:r>
      <w:r w:rsidRPr="00195DAC">
        <w:rPr>
          <w:rFonts w:ascii="Times New Roman" w:hAnsi="Times New Roman" w:cs="Times New Roman"/>
          <w:sz w:val="24"/>
          <w:szCs w:val="24"/>
        </w:rPr>
        <w:t xml:space="preserve"> of the population at a rate higher than the national average.</w:t>
      </w:r>
    </w:p>
    <w:p w14:paraId="5F0E845C" w14:textId="77777777" w:rsidR="0071415F" w:rsidRPr="004625C8"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AF8A9D8"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10.2</w:t>
      </w:r>
    </w:p>
    <w:p w14:paraId="409896F0"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empower and promote the social, economic and political inclusion of all, irrespective of age, sex, disability, race, ethnicity, origin, religion or economic or other status.</w:t>
      </w:r>
    </w:p>
    <w:p w14:paraId="38E35C5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55B3A33"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10.3</w:t>
      </w:r>
    </w:p>
    <w:p w14:paraId="17D464E9"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Ensure equal opportunity and reduce inequalities of outcome including by eliminating discriminatory laws, policies and practices and promoting appropriate legislation, policies and action in this regard.</w:t>
      </w:r>
    </w:p>
    <w:p w14:paraId="4A3002D4"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EE96418"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10.4</w:t>
      </w:r>
    </w:p>
    <w:p w14:paraId="4AB1C7D5" w14:textId="77777777" w:rsidR="0071415F" w:rsidRPr="000D2E4D" w:rsidRDefault="0071415F" w:rsidP="0071415F">
      <w:pPr>
        <w:autoSpaceDE w:val="0"/>
        <w:autoSpaceDN w:val="0"/>
        <w:bidi w:val="0"/>
        <w:adjustRightInd w:val="0"/>
        <w:spacing w:after="0" w:line="240" w:lineRule="auto"/>
        <w:jc w:val="both"/>
        <w:rPr>
          <w:rFonts w:ascii="Times New Roman" w:eastAsia="Calibri" w:hAnsi="Times New Roman" w:cs="Times New Roman"/>
          <w:sz w:val="24"/>
          <w:szCs w:val="24"/>
        </w:rPr>
      </w:pPr>
      <w:r w:rsidRPr="00195DAC">
        <w:rPr>
          <w:rFonts w:ascii="Times New Roman" w:hAnsi="Times New Roman" w:cs="Times New Roman"/>
          <w:sz w:val="24"/>
          <w:szCs w:val="24"/>
        </w:rPr>
        <w:t>Adopt policies, especially fiscal, wage and social protection policies and progressively achieve greater equality.</w:t>
      </w:r>
    </w:p>
    <w:p w14:paraId="214C0B6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D5F0E4A"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10.5</w:t>
      </w:r>
    </w:p>
    <w:p w14:paraId="42B427D7"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Improve the regulation and monitoring of global financial markets and institutions and strengthen the implementation of such regulations.</w:t>
      </w:r>
    </w:p>
    <w:p w14:paraId="14693FCB"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4C11CAC"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10.6</w:t>
      </w:r>
    </w:p>
    <w:p w14:paraId="1F75C8BB"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Ensure enhanced representation and voice for developing countries in decision-making in global international economic and financial institutions in order to deliver more effective, credible, accountable</w:t>
      </w:r>
      <w:r w:rsidR="00685091">
        <w:rPr>
          <w:rFonts w:ascii="Times New Roman" w:hAnsi="Times New Roman" w:cs="Times New Roman"/>
          <w:sz w:val="24"/>
          <w:szCs w:val="24"/>
        </w:rPr>
        <w:t>,</w:t>
      </w:r>
      <w:r w:rsidRPr="00195DAC">
        <w:rPr>
          <w:rFonts w:ascii="Times New Roman" w:hAnsi="Times New Roman" w:cs="Times New Roman"/>
          <w:sz w:val="24"/>
          <w:szCs w:val="24"/>
        </w:rPr>
        <w:t xml:space="preserve"> and legitimate institutions.</w:t>
      </w:r>
    </w:p>
    <w:p w14:paraId="04A26409"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4E4664A"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10.7</w:t>
      </w:r>
    </w:p>
    <w:p w14:paraId="2935077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Facilitate orderly, safe, regular and responsible migration and mobility of people including through the implementation of planned and well-managed migration policies.</w:t>
      </w:r>
    </w:p>
    <w:p w14:paraId="726D21BF" w14:textId="77777777" w:rsidR="0071415F" w:rsidRPr="004625C8"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FB48655" w14:textId="77777777" w:rsidR="0086098A" w:rsidRDefault="0086098A" w:rsidP="0071415F">
      <w:pPr>
        <w:autoSpaceDE w:val="0"/>
        <w:autoSpaceDN w:val="0"/>
        <w:bidi w:val="0"/>
        <w:adjustRightInd w:val="0"/>
        <w:spacing w:after="0" w:line="240" w:lineRule="auto"/>
        <w:jc w:val="both"/>
        <w:rPr>
          <w:rFonts w:ascii="Times New Roman" w:hAnsi="Times New Roman" w:cs="Times New Roman"/>
          <w:b/>
          <w:bCs/>
          <w:sz w:val="24"/>
          <w:szCs w:val="24"/>
        </w:rPr>
      </w:pPr>
    </w:p>
    <w:p w14:paraId="2B926517" w14:textId="77777777" w:rsidR="00537CB3" w:rsidRDefault="00537CB3" w:rsidP="00537CB3">
      <w:pPr>
        <w:autoSpaceDE w:val="0"/>
        <w:autoSpaceDN w:val="0"/>
        <w:bidi w:val="0"/>
        <w:adjustRightInd w:val="0"/>
        <w:spacing w:after="0" w:line="240" w:lineRule="auto"/>
        <w:jc w:val="both"/>
        <w:rPr>
          <w:rFonts w:ascii="Times New Roman" w:hAnsi="Times New Roman" w:cs="Times New Roman"/>
          <w:b/>
          <w:bCs/>
          <w:sz w:val="24"/>
          <w:szCs w:val="24"/>
        </w:rPr>
      </w:pPr>
    </w:p>
    <w:p w14:paraId="2A3CE0A6" w14:textId="77777777" w:rsidR="0071415F" w:rsidRPr="00195DAC" w:rsidRDefault="0071415F" w:rsidP="0086098A">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lastRenderedPageBreak/>
        <w:t>10.a</w:t>
      </w:r>
    </w:p>
    <w:p w14:paraId="7C830A1B"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Implement the principle of special and differential treatment for developing countries, in particular least developed countries in accordanc</w:t>
      </w:r>
      <w:r>
        <w:rPr>
          <w:rFonts w:ascii="Times New Roman" w:hAnsi="Times New Roman" w:cs="Times New Roman"/>
          <w:sz w:val="24"/>
          <w:szCs w:val="24"/>
        </w:rPr>
        <w:t xml:space="preserve">e with World Trade Organization </w:t>
      </w:r>
      <w:r w:rsidRPr="00195DAC">
        <w:rPr>
          <w:rFonts w:ascii="Times New Roman" w:hAnsi="Times New Roman" w:cs="Times New Roman"/>
          <w:sz w:val="24"/>
          <w:szCs w:val="24"/>
        </w:rPr>
        <w:t>agreements.</w:t>
      </w:r>
    </w:p>
    <w:p w14:paraId="4A27AACA"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ECFE052"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10.b</w:t>
      </w:r>
    </w:p>
    <w:p w14:paraId="37DD9AEE"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 xml:space="preserve">Encourage official development assistance and financial flows including foreign direct investment, to States where the need is greatest, in particular least developed countries, African countries, Small Island </w:t>
      </w:r>
      <w:r w:rsidR="00650D9F">
        <w:rPr>
          <w:rFonts w:ascii="Times New Roman" w:hAnsi="Times New Roman" w:cs="Times New Roman"/>
          <w:sz w:val="24"/>
          <w:szCs w:val="24"/>
        </w:rPr>
        <w:t>D</w:t>
      </w:r>
      <w:r w:rsidRPr="00195DAC">
        <w:rPr>
          <w:rFonts w:ascii="Times New Roman" w:hAnsi="Times New Roman" w:cs="Times New Roman"/>
          <w:sz w:val="24"/>
          <w:szCs w:val="24"/>
        </w:rPr>
        <w:t>eveloping States and landlocked developing countries, in accordance with their national plans and programs.</w:t>
      </w:r>
    </w:p>
    <w:p w14:paraId="4B8D8117"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E9E2706"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10.c</w:t>
      </w:r>
    </w:p>
    <w:p w14:paraId="644BD896"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reduce to less than 3</w:t>
      </w:r>
      <w:r w:rsidR="00650D9F">
        <w:rPr>
          <w:rFonts w:ascii="Times New Roman" w:hAnsi="Times New Roman" w:cs="Times New Roman"/>
          <w:sz w:val="24"/>
          <w:szCs w:val="24"/>
        </w:rPr>
        <w:t>%</w:t>
      </w:r>
      <w:r w:rsidRPr="00195DAC">
        <w:rPr>
          <w:rFonts w:ascii="Times New Roman" w:hAnsi="Times New Roman" w:cs="Times New Roman"/>
          <w:sz w:val="24"/>
          <w:szCs w:val="24"/>
        </w:rPr>
        <w:t xml:space="preserve"> the transaction costs of migrant remittances</w:t>
      </w:r>
      <w:r w:rsidR="00650D9F">
        <w:rPr>
          <w:rFonts w:ascii="Times New Roman" w:hAnsi="Times New Roman" w:cs="Times New Roman"/>
          <w:sz w:val="24"/>
          <w:szCs w:val="24"/>
        </w:rPr>
        <w:t>.</w:t>
      </w:r>
    </w:p>
    <w:p w14:paraId="4CC0D04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1C0403B3" w14:textId="77777777" w:rsidR="0071415F" w:rsidRPr="001D5BA6" w:rsidRDefault="00C66B88" w:rsidP="00FB1314">
      <w:pPr>
        <w:pStyle w:val="ListParagraph"/>
        <w:numPr>
          <w:ilvl w:val="0"/>
          <w:numId w:val="8"/>
        </w:numPr>
        <w:autoSpaceDE w:val="0"/>
        <w:autoSpaceDN w:val="0"/>
        <w:adjustRightInd w:val="0"/>
        <w:spacing w:after="0" w:line="240" w:lineRule="auto"/>
        <w:jc w:val="both"/>
        <w:rPr>
          <w:rFonts w:ascii="Times New Roman" w:hAnsi="Times New Roman" w:cs="Times New Roman"/>
          <w:b/>
          <w:bCs/>
          <w:sz w:val="24"/>
          <w:szCs w:val="24"/>
        </w:rPr>
      </w:pPr>
      <w:r w:rsidRPr="00372F68">
        <w:rPr>
          <w:rFonts w:ascii="Times New Roman" w:hAnsi="Times New Roman" w:cs="Times New Roman"/>
          <w:b/>
          <w:bCs/>
          <w:sz w:val="24"/>
          <w:szCs w:val="24"/>
        </w:rPr>
        <w:t>Reported</w:t>
      </w:r>
      <w:r w:rsidRPr="001D5BA6">
        <w:rPr>
          <w:rFonts w:ascii="Times New Roman" w:hAnsi="Times New Roman" w:cs="Times New Roman"/>
          <w:b/>
          <w:bCs/>
          <w:sz w:val="24"/>
          <w:szCs w:val="24"/>
        </w:rPr>
        <w:t xml:space="preserve"> Indicators</w:t>
      </w:r>
      <w:r w:rsidR="0071415F" w:rsidRPr="001D5BA6">
        <w:rPr>
          <w:rFonts w:ascii="Times New Roman" w:hAnsi="Times New Roman" w:cs="Times New Roman"/>
          <w:b/>
          <w:bCs/>
          <w:sz w:val="24"/>
          <w:szCs w:val="24"/>
        </w:rPr>
        <w:t xml:space="preserve"> by PCBS</w:t>
      </w:r>
    </w:p>
    <w:p w14:paraId="610EA8D1"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 xml:space="preserve">There are </w:t>
      </w:r>
      <w:r w:rsidR="00650D9F">
        <w:rPr>
          <w:rFonts w:ascii="Times New Roman" w:hAnsi="Times New Roman" w:cs="Times New Roman"/>
          <w:sz w:val="24"/>
          <w:szCs w:val="24"/>
        </w:rPr>
        <w:t>sseven</w:t>
      </w:r>
      <w:r w:rsidRPr="00195DAC">
        <w:rPr>
          <w:rFonts w:ascii="Times New Roman" w:hAnsi="Times New Roman" w:cs="Times New Roman"/>
          <w:sz w:val="24"/>
          <w:szCs w:val="24"/>
        </w:rPr>
        <w:t xml:space="preserve"> indicators released by PCBS for Goal 10, represent</w:t>
      </w:r>
      <w:r w:rsidR="00650D9F">
        <w:rPr>
          <w:rFonts w:ascii="Times New Roman" w:hAnsi="Times New Roman" w:cs="Times New Roman"/>
          <w:sz w:val="24"/>
          <w:szCs w:val="24"/>
        </w:rPr>
        <w:t>ing</w:t>
      </w:r>
      <w:r>
        <w:rPr>
          <w:rFonts w:ascii="Times New Roman" w:hAnsi="Times New Roman" w:cs="Times New Roman"/>
          <w:sz w:val="24"/>
          <w:szCs w:val="24"/>
        </w:rPr>
        <w:t xml:space="preserve">12 </w:t>
      </w:r>
      <w:r w:rsidRPr="00195DAC">
        <w:rPr>
          <w:rFonts w:ascii="Times New Roman" w:hAnsi="Times New Roman" w:cs="Times New Roman"/>
          <w:sz w:val="24"/>
          <w:szCs w:val="24"/>
        </w:rPr>
        <w:t xml:space="preserve">data point, referring to </w:t>
      </w:r>
      <w:r w:rsidR="00650D9F">
        <w:rPr>
          <w:rFonts w:ascii="Times New Roman" w:hAnsi="Times New Roman" w:cs="Times New Roman"/>
          <w:sz w:val="24"/>
          <w:szCs w:val="24"/>
        </w:rPr>
        <w:t>seven</w:t>
      </w:r>
      <w:r w:rsidRPr="00195DAC">
        <w:rPr>
          <w:rFonts w:ascii="Times New Roman" w:hAnsi="Times New Roman" w:cs="Times New Roman"/>
          <w:sz w:val="24"/>
          <w:szCs w:val="24"/>
        </w:rPr>
        <w:t xml:space="preserve"> of the 10 targets.</w:t>
      </w:r>
    </w:p>
    <w:p w14:paraId="0A6F3C03"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685DE9A6"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Table</w:t>
      </w:r>
      <w:r>
        <w:rPr>
          <w:rFonts w:ascii="Arial" w:hAnsi="Arial" w:hint="cs"/>
          <w:b/>
          <w:bCs/>
          <w:rtl/>
        </w:rPr>
        <w:t>10</w:t>
      </w:r>
      <w:r>
        <w:rPr>
          <w:rFonts w:ascii="Arial" w:hAnsi="Arial"/>
          <w:b/>
          <w:bCs/>
        </w:rPr>
        <w:t xml:space="preserve">.1: </w:t>
      </w:r>
      <w:r w:rsidRPr="00422BE3">
        <w:rPr>
          <w:rFonts w:ascii="Arial" w:hAnsi="Arial"/>
          <w:b/>
          <w:bCs/>
        </w:rPr>
        <w:t>List of SDGs Indicators Released by PCBS</w:t>
      </w:r>
    </w:p>
    <w:p w14:paraId="75D965BC" w14:textId="77777777" w:rsidR="0071415F" w:rsidRPr="00195DAC" w:rsidRDefault="0071415F" w:rsidP="0071415F">
      <w:pPr>
        <w:tabs>
          <w:tab w:val="left" w:pos="9072"/>
        </w:tabs>
        <w:bidi w:val="0"/>
        <w:spacing w:after="0" w:line="240" w:lineRule="auto"/>
        <w:jc w:val="center"/>
        <w:rPr>
          <w:rFonts w:ascii="Arial" w:hAnsi="Arial"/>
          <w:b/>
          <w:bCs/>
          <w:sz w:val="12"/>
          <w:szCs w:val="12"/>
        </w:rPr>
      </w:pPr>
    </w:p>
    <w:tbl>
      <w:tblPr>
        <w:tblW w:w="5000" w:type="pct"/>
        <w:jc w:val="center"/>
        <w:tblBorders>
          <w:top w:val="single" w:sz="2" w:space="0" w:color="auto"/>
          <w:left w:val="single" w:sz="2" w:space="0" w:color="auto"/>
          <w:bottom w:val="single" w:sz="2" w:space="0" w:color="auto"/>
          <w:right w:val="single" w:sz="2" w:space="0" w:color="auto"/>
        </w:tblBorders>
        <w:tblLook w:val="04A0" w:firstRow="1" w:lastRow="0" w:firstColumn="1" w:lastColumn="0" w:noHBand="0" w:noVBand="1"/>
      </w:tblPr>
      <w:tblGrid>
        <w:gridCol w:w="3873"/>
        <w:gridCol w:w="1443"/>
        <w:gridCol w:w="1151"/>
        <w:gridCol w:w="1231"/>
        <w:gridCol w:w="1366"/>
      </w:tblGrid>
      <w:tr w:rsidR="0071415F" w:rsidRPr="00770C22" w14:paraId="7D69FDE4" w14:textId="77777777" w:rsidTr="00121B1B">
        <w:trPr>
          <w:trHeight w:val="504"/>
          <w:tblHeader/>
          <w:jc w:val="center"/>
        </w:trPr>
        <w:tc>
          <w:tcPr>
            <w:tcW w:w="4021" w:type="dxa"/>
            <w:tcBorders>
              <w:bottom w:val="single" w:sz="2" w:space="0" w:color="auto"/>
              <w:right w:val="single" w:sz="2" w:space="0" w:color="auto"/>
            </w:tcBorders>
            <w:shd w:val="clear" w:color="auto" w:fill="auto"/>
            <w:vAlign w:val="center"/>
          </w:tcPr>
          <w:p w14:paraId="3020D4BC"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Indicator</w:t>
            </w:r>
          </w:p>
        </w:tc>
        <w:tc>
          <w:tcPr>
            <w:tcW w:w="1476" w:type="dxa"/>
            <w:tcBorders>
              <w:top w:val="single" w:sz="2" w:space="0" w:color="auto"/>
              <w:left w:val="single" w:sz="2" w:space="0" w:color="auto"/>
              <w:bottom w:val="single" w:sz="2" w:space="0" w:color="auto"/>
              <w:right w:val="single" w:sz="2" w:space="0" w:color="auto"/>
            </w:tcBorders>
            <w:shd w:val="clear" w:color="auto" w:fill="auto"/>
            <w:vAlign w:val="center"/>
          </w:tcPr>
          <w:p w14:paraId="768DF873" w14:textId="77777777" w:rsidR="0071415F" w:rsidRPr="00770C22" w:rsidRDefault="0071415F" w:rsidP="00B73637">
            <w:pPr>
              <w:bidi w:val="0"/>
              <w:spacing w:after="0" w:line="240" w:lineRule="auto"/>
              <w:jc w:val="center"/>
              <w:rPr>
                <w:rFonts w:asciiTheme="minorBidi" w:hAnsiTheme="minorBidi" w:cstheme="minorBidi"/>
                <w:b/>
                <w:bCs/>
                <w:sz w:val="18"/>
                <w:szCs w:val="18"/>
                <w:lang w:val="en-GB"/>
              </w:rPr>
            </w:pPr>
            <w:r w:rsidRPr="00770C22">
              <w:rPr>
                <w:rStyle w:val="Bodytext8ptBoldSpacing0pt2"/>
                <w:rFonts w:asciiTheme="minorBidi" w:hAnsiTheme="minorBidi" w:cstheme="minorBidi"/>
                <w:sz w:val="18"/>
                <w:szCs w:val="18"/>
              </w:rPr>
              <w:t xml:space="preserve">Referring to the SDG </w:t>
            </w:r>
            <w:r w:rsidR="00650D9F">
              <w:rPr>
                <w:rStyle w:val="Bodytext8ptBoldSpacing0pt2"/>
                <w:rFonts w:asciiTheme="minorBidi" w:hAnsiTheme="minorBidi" w:cstheme="minorBidi"/>
                <w:sz w:val="18"/>
                <w:szCs w:val="18"/>
              </w:rPr>
              <w:t>i</w:t>
            </w:r>
            <w:r w:rsidRPr="00770C22">
              <w:rPr>
                <w:rStyle w:val="Bodytext8ptBoldSpacing0pt2"/>
                <w:rFonts w:asciiTheme="minorBidi" w:hAnsiTheme="minorBidi" w:cstheme="minorBidi"/>
                <w:sz w:val="18"/>
                <w:szCs w:val="18"/>
              </w:rPr>
              <w:t>ndicator</w:t>
            </w:r>
          </w:p>
        </w:tc>
        <w:tc>
          <w:tcPr>
            <w:tcW w:w="1151" w:type="dxa"/>
            <w:tcBorders>
              <w:left w:val="single" w:sz="2" w:space="0" w:color="auto"/>
              <w:bottom w:val="single" w:sz="2" w:space="0" w:color="auto"/>
              <w:right w:val="single" w:sz="2" w:space="0" w:color="auto"/>
            </w:tcBorders>
            <w:vAlign w:val="center"/>
          </w:tcPr>
          <w:p w14:paraId="3F8150E8" w14:textId="77777777" w:rsidR="0071415F" w:rsidRPr="00770C22" w:rsidRDefault="0071415F" w:rsidP="00B73637">
            <w:pPr>
              <w:bidi w:val="0"/>
              <w:spacing w:after="0" w:line="240" w:lineRule="auto"/>
              <w:jc w:val="center"/>
              <w:rPr>
                <w:rStyle w:val="Bodytext8ptBoldSpacing0pt2"/>
                <w:rFonts w:asciiTheme="minorBidi" w:hAnsiTheme="minorBidi" w:cstheme="minorBidi"/>
                <w:sz w:val="18"/>
                <w:szCs w:val="18"/>
              </w:rPr>
            </w:pPr>
            <w:r w:rsidRPr="00770C22">
              <w:rPr>
                <w:rStyle w:val="Bodytext8ptBoldSpacing0pt2"/>
                <w:rFonts w:asciiTheme="minorBidi" w:hAnsiTheme="minorBidi" w:cstheme="minorBidi"/>
                <w:sz w:val="18"/>
                <w:szCs w:val="18"/>
              </w:rPr>
              <w:t>Previous data point</w:t>
            </w:r>
          </w:p>
        </w:tc>
        <w:tc>
          <w:tcPr>
            <w:tcW w:w="1250" w:type="dxa"/>
            <w:tcBorders>
              <w:left w:val="single" w:sz="2" w:space="0" w:color="auto"/>
              <w:bottom w:val="single" w:sz="2" w:space="0" w:color="auto"/>
              <w:right w:val="single" w:sz="2" w:space="0" w:color="auto"/>
            </w:tcBorders>
            <w:vAlign w:val="center"/>
          </w:tcPr>
          <w:p w14:paraId="5F09BB4E" w14:textId="77777777" w:rsidR="0071415F" w:rsidRPr="00770C22" w:rsidRDefault="0071415F" w:rsidP="00B73637">
            <w:pPr>
              <w:bidi w:val="0"/>
              <w:spacing w:after="0" w:line="240" w:lineRule="auto"/>
              <w:jc w:val="center"/>
              <w:rPr>
                <w:rFonts w:asciiTheme="minorBidi" w:hAnsiTheme="minorBidi" w:cstheme="minorBidi"/>
                <w:b/>
                <w:bCs/>
                <w:sz w:val="18"/>
                <w:szCs w:val="18"/>
              </w:rPr>
            </w:pPr>
            <w:r w:rsidRPr="00770C22">
              <w:rPr>
                <w:rStyle w:val="Bodytext8ptBoldSpacing0pt2"/>
                <w:rFonts w:asciiTheme="minorBidi" w:hAnsiTheme="minorBidi" w:cstheme="minorBidi"/>
                <w:sz w:val="18"/>
                <w:szCs w:val="18"/>
              </w:rPr>
              <w:t xml:space="preserve">Last </w:t>
            </w:r>
            <w:r w:rsidR="00650D9F">
              <w:rPr>
                <w:rStyle w:val="Bodytext8ptBoldSpacing0pt2"/>
                <w:rFonts w:asciiTheme="minorBidi" w:hAnsiTheme="minorBidi" w:cstheme="minorBidi"/>
                <w:sz w:val="18"/>
                <w:szCs w:val="18"/>
              </w:rPr>
              <w:t>a</w:t>
            </w:r>
            <w:r w:rsidRPr="00770C22">
              <w:rPr>
                <w:rStyle w:val="Bodytext8ptBoldSpacing0pt2"/>
                <w:rFonts w:asciiTheme="minorBidi" w:hAnsiTheme="minorBidi" w:cstheme="minorBidi"/>
                <w:sz w:val="18"/>
                <w:szCs w:val="18"/>
              </w:rPr>
              <w:t xml:space="preserve">vailable </w:t>
            </w:r>
            <w:r w:rsidR="00650D9F">
              <w:rPr>
                <w:rStyle w:val="Bodytext8ptBoldSpacing0pt2"/>
                <w:rFonts w:asciiTheme="minorBidi" w:hAnsiTheme="minorBidi" w:cstheme="minorBidi"/>
                <w:sz w:val="18"/>
                <w:szCs w:val="18"/>
              </w:rPr>
              <w:t>v</w:t>
            </w:r>
            <w:r w:rsidRPr="00770C22">
              <w:rPr>
                <w:rStyle w:val="Bodytext8ptBoldSpacing0pt2"/>
                <w:rFonts w:asciiTheme="minorBidi" w:hAnsiTheme="minorBidi" w:cstheme="minorBidi"/>
                <w:sz w:val="18"/>
                <w:szCs w:val="18"/>
              </w:rPr>
              <w:t>alue</w:t>
            </w:r>
          </w:p>
        </w:tc>
        <w:tc>
          <w:tcPr>
            <w:tcW w:w="1388" w:type="dxa"/>
            <w:tcBorders>
              <w:left w:val="single" w:sz="2" w:space="0" w:color="auto"/>
              <w:bottom w:val="single" w:sz="2" w:space="0" w:color="auto"/>
            </w:tcBorders>
            <w:shd w:val="clear" w:color="auto" w:fill="auto"/>
            <w:vAlign w:val="center"/>
          </w:tcPr>
          <w:p w14:paraId="1363962D" w14:textId="77777777" w:rsidR="0071415F" w:rsidRPr="00770C22" w:rsidRDefault="0071415F" w:rsidP="00B73637">
            <w:pPr>
              <w:bidi w:val="0"/>
              <w:spacing w:after="0" w:line="240" w:lineRule="auto"/>
              <w:jc w:val="center"/>
              <w:rPr>
                <w:rFonts w:asciiTheme="minorBidi" w:hAnsiTheme="minorBidi" w:cstheme="minorBidi"/>
                <w:b/>
                <w:bCs/>
                <w:sz w:val="18"/>
                <w:szCs w:val="18"/>
              </w:rPr>
            </w:pPr>
          </w:p>
          <w:p w14:paraId="6E84F2F8" w14:textId="77777777" w:rsidR="0071415F" w:rsidRPr="00770C22" w:rsidRDefault="0071415F" w:rsidP="00B73637">
            <w:pPr>
              <w:bidi w:val="0"/>
              <w:spacing w:after="0" w:line="240" w:lineRule="auto"/>
              <w:jc w:val="center"/>
              <w:rPr>
                <w:rStyle w:val="Bodytext8ptBoldSpacing0pt2"/>
                <w:rFonts w:asciiTheme="minorBidi" w:hAnsiTheme="minorBidi" w:cstheme="minorBidi"/>
                <w:b w:val="0"/>
                <w:bCs w:val="0"/>
                <w:sz w:val="18"/>
                <w:szCs w:val="18"/>
              </w:rPr>
            </w:pPr>
            <w:r w:rsidRPr="00770C22">
              <w:rPr>
                <w:rFonts w:asciiTheme="minorBidi" w:hAnsiTheme="minorBidi" w:cstheme="minorBidi"/>
                <w:b/>
                <w:bCs/>
                <w:sz w:val="18"/>
                <w:szCs w:val="18"/>
              </w:rPr>
              <w:t>Compared to the previous data point</w:t>
            </w:r>
          </w:p>
        </w:tc>
      </w:tr>
      <w:tr w:rsidR="0071415F" w:rsidRPr="00770C22" w14:paraId="591A00A2" w14:textId="77777777" w:rsidTr="00121B1B">
        <w:trPr>
          <w:trHeight w:val="389"/>
          <w:jc w:val="center"/>
        </w:trPr>
        <w:tc>
          <w:tcPr>
            <w:tcW w:w="4021" w:type="dxa"/>
            <w:tcBorders>
              <w:top w:val="single" w:sz="2" w:space="0" w:color="auto"/>
              <w:bottom w:val="single" w:sz="4" w:space="0" w:color="auto"/>
              <w:right w:val="single" w:sz="2" w:space="0" w:color="auto"/>
            </w:tcBorders>
            <w:shd w:val="clear" w:color="auto" w:fill="auto"/>
          </w:tcPr>
          <w:p w14:paraId="663DFFF3" w14:textId="77777777" w:rsidR="0071415F" w:rsidRPr="00770C22" w:rsidRDefault="0071415F" w:rsidP="009244E9">
            <w:pPr>
              <w:bidi w:val="0"/>
              <w:spacing w:after="0" w:line="240" w:lineRule="auto"/>
              <w:rPr>
                <w:rFonts w:asciiTheme="minorBidi" w:hAnsiTheme="minorBidi" w:cstheme="minorBidi"/>
                <w:sz w:val="18"/>
                <w:szCs w:val="18"/>
              </w:rPr>
            </w:pPr>
            <w:r w:rsidRPr="00770C22">
              <w:rPr>
                <w:rFonts w:asciiTheme="minorBidi" w:hAnsiTheme="minorBidi" w:cstheme="minorBidi"/>
                <w:b/>
                <w:bCs/>
                <w:sz w:val="18"/>
                <w:szCs w:val="18"/>
              </w:rPr>
              <w:t xml:space="preserve">Indicator 10.1.1 </w:t>
            </w:r>
            <w:r w:rsidRPr="00770C22">
              <w:rPr>
                <w:rFonts w:asciiTheme="minorBidi" w:hAnsiTheme="minorBidi" w:cstheme="minorBidi"/>
                <w:sz w:val="18"/>
                <w:szCs w:val="18"/>
              </w:rPr>
              <w:t xml:space="preserve">Growth rates of household expenditure or income per capita among the bottom 40 </w:t>
            </w:r>
            <w:r w:rsidR="00650D9F">
              <w:rPr>
                <w:rFonts w:asciiTheme="minorBidi" w:hAnsiTheme="minorBidi" w:cstheme="minorBidi"/>
                <w:sz w:val="18"/>
                <w:szCs w:val="18"/>
              </w:rPr>
              <w:t>%</w:t>
            </w:r>
            <w:r w:rsidRPr="00770C22">
              <w:rPr>
                <w:rFonts w:asciiTheme="minorBidi" w:hAnsiTheme="minorBidi" w:cstheme="minorBidi"/>
                <w:sz w:val="18"/>
                <w:szCs w:val="18"/>
              </w:rPr>
              <w:t xml:space="preserve"> of the population and the total population (PCBS, 2017, </w:t>
            </w:r>
            <w:r w:rsidR="00650D9F">
              <w:rPr>
                <w:rFonts w:asciiTheme="minorBidi" w:hAnsiTheme="minorBidi" w:cstheme="minorBidi"/>
                <w:sz w:val="18"/>
                <w:szCs w:val="18"/>
              </w:rPr>
              <w:t>p</w:t>
            </w:r>
            <w:r w:rsidRPr="00770C22">
              <w:rPr>
                <w:rFonts w:asciiTheme="minorBidi" w:hAnsiTheme="minorBidi" w:cstheme="minorBidi"/>
                <w:sz w:val="18"/>
                <w:szCs w:val="18"/>
              </w:rPr>
              <w:t xml:space="preserve">ercentage) </w:t>
            </w:r>
          </w:p>
        </w:tc>
        <w:tc>
          <w:tcPr>
            <w:tcW w:w="1476" w:type="dxa"/>
            <w:tcBorders>
              <w:top w:val="single" w:sz="2" w:space="0" w:color="auto"/>
              <w:left w:val="single" w:sz="2" w:space="0" w:color="auto"/>
              <w:bottom w:val="single" w:sz="4" w:space="0" w:color="auto"/>
              <w:right w:val="single" w:sz="2" w:space="0" w:color="auto"/>
            </w:tcBorders>
            <w:shd w:val="clear" w:color="auto" w:fill="auto"/>
            <w:vAlign w:val="center"/>
          </w:tcPr>
          <w:p w14:paraId="7390EB4F"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sz w:val="18"/>
                <w:szCs w:val="18"/>
                <w:lang w:val="it-IT"/>
              </w:rPr>
              <w:t>Identical</w:t>
            </w:r>
          </w:p>
        </w:tc>
        <w:tc>
          <w:tcPr>
            <w:tcW w:w="1151" w:type="dxa"/>
            <w:tcBorders>
              <w:top w:val="single" w:sz="2" w:space="0" w:color="auto"/>
              <w:left w:val="single" w:sz="2" w:space="0" w:color="auto"/>
              <w:bottom w:val="single" w:sz="4" w:space="0" w:color="auto"/>
              <w:right w:val="single" w:sz="2" w:space="0" w:color="auto"/>
            </w:tcBorders>
            <w:vAlign w:val="center"/>
          </w:tcPr>
          <w:p w14:paraId="19A03455" w14:textId="77777777" w:rsidR="0071415F" w:rsidRPr="00770C22" w:rsidRDefault="009244E9"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lang w:val="it-IT"/>
              </w:rPr>
              <w:t>24.0</w:t>
            </w:r>
            <w:r w:rsidR="0071415F" w:rsidRPr="00770C22">
              <w:rPr>
                <w:rFonts w:asciiTheme="minorBidi" w:hAnsiTheme="minorBidi" w:cstheme="minorBidi"/>
                <w:color w:val="000000"/>
                <w:sz w:val="18"/>
                <w:szCs w:val="18"/>
                <w:lang w:val="it-IT"/>
              </w:rPr>
              <w:t xml:space="preserve"> (2011)</w:t>
            </w:r>
          </w:p>
        </w:tc>
        <w:tc>
          <w:tcPr>
            <w:tcW w:w="1250" w:type="dxa"/>
            <w:tcBorders>
              <w:top w:val="single" w:sz="2" w:space="0" w:color="auto"/>
              <w:left w:val="single" w:sz="2" w:space="0" w:color="auto"/>
              <w:bottom w:val="single" w:sz="4" w:space="0" w:color="auto"/>
              <w:right w:val="single" w:sz="2" w:space="0" w:color="auto"/>
            </w:tcBorders>
            <w:vAlign w:val="center"/>
          </w:tcPr>
          <w:p w14:paraId="32045375" w14:textId="77777777" w:rsidR="0071415F" w:rsidRPr="00770C22" w:rsidRDefault="009244E9"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lang w:val="it-IT"/>
              </w:rPr>
              <w:t>23.4</w:t>
            </w:r>
          </w:p>
        </w:tc>
        <w:tc>
          <w:tcPr>
            <w:tcW w:w="1388" w:type="dxa"/>
            <w:tcBorders>
              <w:top w:val="single" w:sz="2" w:space="0" w:color="auto"/>
              <w:left w:val="single" w:sz="2" w:space="0" w:color="auto"/>
              <w:bottom w:val="single" w:sz="4" w:space="0" w:color="auto"/>
            </w:tcBorders>
            <w:shd w:val="clear" w:color="auto" w:fill="auto"/>
            <w:vAlign w:val="center"/>
          </w:tcPr>
          <w:p w14:paraId="6B027A48"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Decrease</w:t>
            </w:r>
          </w:p>
        </w:tc>
      </w:tr>
      <w:tr w:rsidR="0071415F" w:rsidRPr="00770C22" w14:paraId="069F16FE" w14:textId="77777777" w:rsidTr="00121B1B">
        <w:trPr>
          <w:trHeight w:val="389"/>
          <w:jc w:val="center"/>
        </w:trPr>
        <w:tc>
          <w:tcPr>
            <w:tcW w:w="4021" w:type="dxa"/>
            <w:tcBorders>
              <w:top w:val="single" w:sz="4" w:space="0" w:color="auto"/>
              <w:bottom w:val="single" w:sz="2" w:space="0" w:color="auto"/>
              <w:right w:val="single" w:sz="2" w:space="0" w:color="auto"/>
            </w:tcBorders>
            <w:shd w:val="clear" w:color="auto" w:fill="auto"/>
            <w:vAlign w:val="center"/>
          </w:tcPr>
          <w:p w14:paraId="55973705" w14:textId="77777777" w:rsidR="0071415F" w:rsidRPr="00770C22" w:rsidRDefault="0071415F" w:rsidP="0071415F">
            <w:pPr>
              <w:tabs>
                <w:tab w:val="left" w:pos="9072"/>
              </w:tabs>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t xml:space="preserve">Indicator 10.2.1 </w:t>
            </w:r>
            <w:r w:rsidRPr="00770C22">
              <w:rPr>
                <w:rFonts w:asciiTheme="minorBidi" w:hAnsiTheme="minorBidi" w:cstheme="minorBidi"/>
                <w:sz w:val="18"/>
                <w:szCs w:val="18"/>
              </w:rPr>
              <w:t>Proportion of people living below 50</w:t>
            </w:r>
            <w:r w:rsidR="00983DDD">
              <w:rPr>
                <w:rFonts w:asciiTheme="minorBidi" w:hAnsiTheme="minorBidi" w:cstheme="minorBidi"/>
                <w:sz w:val="18"/>
                <w:szCs w:val="18"/>
              </w:rPr>
              <w:t>%</w:t>
            </w:r>
            <w:r w:rsidRPr="00770C22">
              <w:rPr>
                <w:rFonts w:asciiTheme="minorBidi" w:hAnsiTheme="minorBidi" w:cstheme="minorBidi"/>
                <w:sz w:val="18"/>
                <w:szCs w:val="18"/>
              </w:rPr>
              <w:t xml:space="preserve"> of median consumption  (PCBS, 2017,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76" w:type="dxa"/>
            <w:tcBorders>
              <w:top w:val="single" w:sz="4" w:space="0" w:color="auto"/>
              <w:left w:val="single" w:sz="2" w:space="0" w:color="auto"/>
              <w:bottom w:val="single" w:sz="2" w:space="0" w:color="auto"/>
              <w:right w:val="single" w:sz="2" w:space="0" w:color="auto"/>
            </w:tcBorders>
            <w:shd w:val="clear" w:color="auto" w:fill="auto"/>
            <w:vAlign w:val="center"/>
          </w:tcPr>
          <w:p w14:paraId="2526916F"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151" w:type="dxa"/>
            <w:tcBorders>
              <w:top w:val="single" w:sz="4" w:space="0" w:color="auto"/>
              <w:left w:val="single" w:sz="2" w:space="0" w:color="auto"/>
              <w:bottom w:val="single" w:sz="2" w:space="0" w:color="auto"/>
              <w:right w:val="single" w:sz="2" w:space="0" w:color="auto"/>
            </w:tcBorders>
            <w:vAlign w:val="center"/>
          </w:tcPr>
          <w:p w14:paraId="53A62843" w14:textId="77777777" w:rsidR="0071415F" w:rsidRPr="00770C22" w:rsidRDefault="0071415F" w:rsidP="0071415F">
            <w:pPr>
              <w:bidi w:val="0"/>
              <w:spacing w:after="0" w:line="240" w:lineRule="auto"/>
              <w:jc w:val="center"/>
              <w:rPr>
                <w:rFonts w:asciiTheme="minorBidi" w:hAnsiTheme="minorBidi" w:cstheme="minorBidi"/>
                <w:color w:val="000000"/>
                <w:sz w:val="18"/>
                <w:szCs w:val="18"/>
                <w:lang w:val="it-IT"/>
              </w:rPr>
            </w:pPr>
          </w:p>
        </w:tc>
        <w:tc>
          <w:tcPr>
            <w:tcW w:w="1250" w:type="dxa"/>
            <w:tcBorders>
              <w:top w:val="single" w:sz="4" w:space="0" w:color="auto"/>
              <w:left w:val="single" w:sz="2" w:space="0" w:color="auto"/>
              <w:bottom w:val="single" w:sz="2" w:space="0" w:color="auto"/>
              <w:right w:val="single" w:sz="2" w:space="0" w:color="auto"/>
            </w:tcBorders>
            <w:vAlign w:val="center"/>
          </w:tcPr>
          <w:p w14:paraId="2863837C" w14:textId="77777777" w:rsidR="0071415F" w:rsidRPr="00770C22" w:rsidRDefault="0071415F" w:rsidP="0071415F">
            <w:pPr>
              <w:bidi w:val="0"/>
              <w:spacing w:after="0" w:line="240" w:lineRule="auto"/>
              <w:jc w:val="center"/>
              <w:rPr>
                <w:rFonts w:asciiTheme="minorBidi" w:hAnsiTheme="minorBidi" w:cstheme="minorBidi"/>
                <w:color w:val="000000"/>
                <w:sz w:val="18"/>
                <w:szCs w:val="18"/>
                <w:lang w:val="it-IT"/>
              </w:rPr>
            </w:pPr>
            <w:r w:rsidRPr="00770C22">
              <w:rPr>
                <w:rFonts w:asciiTheme="minorBidi" w:hAnsiTheme="minorBidi" w:cstheme="minorBidi"/>
                <w:color w:val="000000"/>
                <w:sz w:val="18"/>
                <w:szCs w:val="18"/>
                <w:lang w:val="it-IT"/>
              </w:rPr>
              <w:t>17.3</w:t>
            </w:r>
          </w:p>
        </w:tc>
        <w:tc>
          <w:tcPr>
            <w:tcW w:w="1388" w:type="dxa"/>
            <w:tcBorders>
              <w:top w:val="single" w:sz="4" w:space="0" w:color="auto"/>
              <w:left w:val="single" w:sz="2" w:space="0" w:color="auto"/>
              <w:bottom w:val="single" w:sz="2" w:space="0" w:color="auto"/>
            </w:tcBorders>
            <w:shd w:val="clear" w:color="auto" w:fill="auto"/>
            <w:vAlign w:val="center"/>
          </w:tcPr>
          <w:p w14:paraId="0CB7EA2A"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r>
      <w:tr w:rsidR="0071415F" w:rsidRPr="00770C22" w14:paraId="7EB1C87A" w14:textId="77777777" w:rsidTr="00121B1B">
        <w:trPr>
          <w:trHeight w:val="389"/>
          <w:jc w:val="center"/>
        </w:trPr>
        <w:tc>
          <w:tcPr>
            <w:tcW w:w="4021" w:type="dxa"/>
            <w:tcBorders>
              <w:top w:val="single" w:sz="2" w:space="0" w:color="auto"/>
              <w:bottom w:val="single" w:sz="4" w:space="0" w:color="auto"/>
              <w:right w:val="single" w:sz="2" w:space="0" w:color="auto"/>
            </w:tcBorders>
            <w:shd w:val="clear" w:color="auto" w:fill="auto"/>
            <w:vAlign w:val="center"/>
          </w:tcPr>
          <w:p w14:paraId="2041B790" w14:textId="77777777" w:rsidR="0071415F" w:rsidRPr="00770C22" w:rsidRDefault="0071415F" w:rsidP="0071415F">
            <w:pPr>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t xml:space="preserve">Indicator 10.3.1 </w:t>
            </w:r>
            <w:r w:rsidRPr="00770C22">
              <w:rPr>
                <w:rFonts w:asciiTheme="minorBidi" w:hAnsiTheme="minorBidi" w:cstheme="minorBidi"/>
                <w:sz w:val="18"/>
                <w:szCs w:val="18"/>
              </w:rPr>
              <w:t>Proportion of population reporting having personally felt discriminated against or harassed in the previous 12 months on the ground</w:t>
            </w:r>
            <w:r w:rsidR="00983DDD">
              <w:rPr>
                <w:rFonts w:asciiTheme="minorBidi" w:hAnsiTheme="minorBidi" w:cstheme="minorBidi"/>
                <w:sz w:val="18"/>
                <w:szCs w:val="18"/>
              </w:rPr>
              <w:t>s</w:t>
            </w:r>
            <w:r w:rsidRPr="00770C22">
              <w:rPr>
                <w:rFonts w:asciiTheme="minorBidi" w:hAnsiTheme="minorBidi" w:cstheme="minorBidi"/>
                <w:sz w:val="18"/>
                <w:szCs w:val="18"/>
              </w:rPr>
              <w:t xml:space="preserve"> of discrimination prohibited under international human rights law (PCBS, 2021, </w:t>
            </w:r>
            <w:r w:rsidR="00983DDD">
              <w:rPr>
                <w:rFonts w:asciiTheme="minorBidi" w:hAnsiTheme="minorBidi" w:cstheme="minorBidi"/>
                <w:sz w:val="18"/>
                <w:szCs w:val="18"/>
              </w:rPr>
              <w:t>p</w:t>
            </w:r>
            <w:r w:rsidRPr="00770C22">
              <w:rPr>
                <w:rFonts w:asciiTheme="minorBidi" w:hAnsiTheme="minorBidi" w:cstheme="minorBidi"/>
                <w:sz w:val="18"/>
                <w:szCs w:val="18"/>
              </w:rPr>
              <w:t>ercentage)</w:t>
            </w:r>
            <w:r w:rsidRPr="00770C22">
              <w:rPr>
                <w:rFonts w:asciiTheme="minorBidi" w:hAnsiTheme="minorBidi" w:cstheme="minorBidi"/>
                <w:b/>
                <w:bCs/>
                <w:color w:val="000000"/>
                <w:sz w:val="18"/>
                <w:szCs w:val="18"/>
              </w:rPr>
              <w:t xml:space="preserve"> (repeated with indicator: 16.b.1)</w:t>
            </w:r>
          </w:p>
        </w:tc>
        <w:tc>
          <w:tcPr>
            <w:tcW w:w="1476" w:type="dxa"/>
            <w:tcBorders>
              <w:top w:val="single" w:sz="2" w:space="0" w:color="auto"/>
              <w:left w:val="single" w:sz="2" w:space="0" w:color="auto"/>
              <w:bottom w:val="single" w:sz="4" w:space="0" w:color="auto"/>
              <w:right w:val="single" w:sz="2" w:space="0" w:color="auto"/>
            </w:tcBorders>
            <w:shd w:val="clear" w:color="auto" w:fill="auto"/>
          </w:tcPr>
          <w:p w14:paraId="142BC603" w14:textId="77777777" w:rsidR="0071415F" w:rsidRPr="00770C22" w:rsidRDefault="0071415F" w:rsidP="00B73637">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151" w:type="dxa"/>
            <w:tcBorders>
              <w:top w:val="single" w:sz="2" w:space="0" w:color="auto"/>
              <w:left w:val="single" w:sz="2" w:space="0" w:color="auto"/>
              <w:bottom w:val="single" w:sz="4" w:space="0" w:color="auto"/>
              <w:right w:val="single" w:sz="2" w:space="0" w:color="auto"/>
            </w:tcBorders>
          </w:tcPr>
          <w:p w14:paraId="6E582B7E" w14:textId="77777777" w:rsidR="0071415F" w:rsidRPr="00770C22" w:rsidRDefault="0071415F" w:rsidP="00B73637">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10.5</w:t>
            </w:r>
            <w:r w:rsidRPr="00770C22">
              <w:rPr>
                <w:rFonts w:asciiTheme="minorBidi" w:hAnsiTheme="minorBidi" w:cstheme="minorBidi"/>
                <w:sz w:val="18"/>
                <w:szCs w:val="18"/>
              </w:rPr>
              <w:t xml:space="preserve"> (2018)</w:t>
            </w:r>
          </w:p>
        </w:tc>
        <w:tc>
          <w:tcPr>
            <w:tcW w:w="1250" w:type="dxa"/>
            <w:tcBorders>
              <w:top w:val="single" w:sz="2" w:space="0" w:color="auto"/>
              <w:left w:val="single" w:sz="2" w:space="0" w:color="auto"/>
              <w:bottom w:val="single" w:sz="4" w:space="0" w:color="auto"/>
              <w:right w:val="single" w:sz="2" w:space="0" w:color="auto"/>
            </w:tcBorders>
          </w:tcPr>
          <w:p w14:paraId="478968C6" w14:textId="77777777" w:rsidR="0071415F" w:rsidRPr="00770C22" w:rsidRDefault="0071415F" w:rsidP="00B73637">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10.2</w:t>
            </w:r>
          </w:p>
        </w:tc>
        <w:tc>
          <w:tcPr>
            <w:tcW w:w="1388" w:type="dxa"/>
            <w:tcBorders>
              <w:top w:val="single" w:sz="2" w:space="0" w:color="auto"/>
              <w:left w:val="single" w:sz="2" w:space="0" w:color="auto"/>
              <w:bottom w:val="single" w:sz="4" w:space="0" w:color="auto"/>
            </w:tcBorders>
            <w:shd w:val="clear" w:color="auto" w:fill="auto"/>
          </w:tcPr>
          <w:p w14:paraId="7D855243" w14:textId="77777777" w:rsidR="0071415F" w:rsidRPr="00770C22" w:rsidRDefault="009244E9" w:rsidP="00B73637">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In</w:t>
            </w:r>
            <w:r w:rsidR="0071415F" w:rsidRPr="00770C22">
              <w:rPr>
                <w:rFonts w:asciiTheme="minorBidi" w:hAnsiTheme="minorBidi" w:cstheme="minorBidi"/>
                <w:sz w:val="18"/>
                <w:szCs w:val="18"/>
              </w:rPr>
              <w:t>crease</w:t>
            </w:r>
          </w:p>
        </w:tc>
      </w:tr>
      <w:tr w:rsidR="0071415F" w:rsidRPr="00770C22" w14:paraId="67793E22" w14:textId="77777777" w:rsidTr="00121B1B">
        <w:trPr>
          <w:trHeight w:val="389"/>
          <w:jc w:val="center"/>
        </w:trPr>
        <w:tc>
          <w:tcPr>
            <w:tcW w:w="4021" w:type="dxa"/>
            <w:tcBorders>
              <w:top w:val="single" w:sz="4" w:space="0" w:color="auto"/>
              <w:bottom w:val="nil"/>
              <w:right w:val="single" w:sz="2" w:space="0" w:color="auto"/>
            </w:tcBorders>
            <w:shd w:val="clear" w:color="auto" w:fill="auto"/>
            <w:vAlign w:val="center"/>
          </w:tcPr>
          <w:p w14:paraId="0564DF25" w14:textId="77777777" w:rsidR="0071415F" w:rsidRPr="00770C22" w:rsidRDefault="0071415F" w:rsidP="0071415F">
            <w:pPr>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t xml:space="preserve">Indicator 10.5.1 </w:t>
            </w:r>
            <w:r w:rsidRPr="00770C22">
              <w:rPr>
                <w:rFonts w:asciiTheme="minorBidi" w:hAnsiTheme="minorBidi" w:cstheme="minorBidi"/>
                <w:sz w:val="18"/>
                <w:szCs w:val="18"/>
              </w:rPr>
              <w:t>Financial Soundness Indicators</w:t>
            </w:r>
          </w:p>
        </w:tc>
        <w:tc>
          <w:tcPr>
            <w:tcW w:w="1476" w:type="dxa"/>
            <w:tcBorders>
              <w:top w:val="single" w:sz="4" w:space="0" w:color="auto"/>
              <w:left w:val="single" w:sz="2" w:space="0" w:color="auto"/>
              <w:bottom w:val="nil"/>
              <w:right w:val="single" w:sz="2" w:space="0" w:color="auto"/>
            </w:tcBorders>
            <w:shd w:val="clear" w:color="auto" w:fill="auto"/>
          </w:tcPr>
          <w:p w14:paraId="09D1346F"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151" w:type="dxa"/>
            <w:tcBorders>
              <w:top w:val="single" w:sz="4" w:space="0" w:color="auto"/>
              <w:left w:val="single" w:sz="2" w:space="0" w:color="auto"/>
              <w:bottom w:val="nil"/>
              <w:right w:val="single" w:sz="2" w:space="0" w:color="auto"/>
            </w:tcBorders>
          </w:tcPr>
          <w:p w14:paraId="39D53D53"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250" w:type="dxa"/>
            <w:tcBorders>
              <w:top w:val="single" w:sz="4" w:space="0" w:color="auto"/>
              <w:left w:val="single" w:sz="2" w:space="0" w:color="auto"/>
              <w:bottom w:val="nil"/>
              <w:right w:val="single" w:sz="2" w:space="0" w:color="auto"/>
            </w:tcBorders>
          </w:tcPr>
          <w:p w14:paraId="449E5911"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388" w:type="dxa"/>
            <w:tcBorders>
              <w:top w:val="single" w:sz="4" w:space="0" w:color="auto"/>
              <w:left w:val="single" w:sz="2" w:space="0" w:color="auto"/>
              <w:bottom w:val="nil"/>
            </w:tcBorders>
            <w:shd w:val="clear" w:color="auto" w:fill="auto"/>
          </w:tcPr>
          <w:p w14:paraId="09CBB8B2" w14:textId="77777777" w:rsidR="0071415F" w:rsidRPr="00770C22" w:rsidRDefault="0071415F" w:rsidP="0071415F">
            <w:pPr>
              <w:bidi w:val="0"/>
              <w:spacing w:after="0" w:line="240" w:lineRule="auto"/>
              <w:jc w:val="center"/>
              <w:rPr>
                <w:rFonts w:asciiTheme="minorBidi" w:hAnsiTheme="minorBidi" w:cstheme="minorBidi"/>
                <w:color w:val="F79646" w:themeColor="accent6"/>
                <w:sz w:val="18"/>
                <w:szCs w:val="18"/>
              </w:rPr>
            </w:pPr>
          </w:p>
        </w:tc>
      </w:tr>
      <w:tr w:rsidR="000B4462" w:rsidRPr="00770C22" w14:paraId="1576D01F" w14:textId="77777777" w:rsidTr="001F12C6">
        <w:trPr>
          <w:trHeight w:val="389"/>
          <w:jc w:val="center"/>
        </w:trPr>
        <w:tc>
          <w:tcPr>
            <w:tcW w:w="4021" w:type="dxa"/>
            <w:tcBorders>
              <w:top w:val="nil"/>
              <w:bottom w:val="nil"/>
              <w:right w:val="single" w:sz="2" w:space="0" w:color="auto"/>
            </w:tcBorders>
            <w:shd w:val="clear" w:color="auto" w:fill="auto"/>
            <w:vAlign w:val="center"/>
          </w:tcPr>
          <w:p w14:paraId="31518468" w14:textId="77777777" w:rsidR="000B4462" w:rsidRPr="00537CB3" w:rsidRDefault="000B4462" w:rsidP="000B4462">
            <w:pPr>
              <w:tabs>
                <w:tab w:val="left" w:pos="9072"/>
              </w:tabs>
              <w:bidi w:val="0"/>
              <w:spacing w:after="0" w:line="240" w:lineRule="auto"/>
              <w:ind w:left="336"/>
              <w:jc w:val="both"/>
              <w:rPr>
                <w:rFonts w:asciiTheme="minorBidi" w:hAnsiTheme="minorBidi" w:cstheme="minorBidi"/>
                <w:b/>
                <w:bCs/>
                <w:color w:val="000000"/>
                <w:sz w:val="18"/>
                <w:szCs w:val="18"/>
              </w:rPr>
            </w:pPr>
            <w:r w:rsidRPr="00537CB3">
              <w:rPr>
                <w:rFonts w:asciiTheme="minorBidi" w:hAnsiTheme="minorBidi" w:cstheme="minorBidi"/>
                <w:sz w:val="18"/>
                <w:szCs w:val="18"/>
              </w:rPr>
              <w:t>Liquid assets to short term liabilities (Palestinian Monetary Authority, 2022, percentage)</w:t>
            </w:r>
          </w:p>
        </w:tc>
        <w:tc>
          <w:tcPr>
            <w:tcW w:w="1476" w:type="dxa"/>
            <w:tcBorders>
              <w:top w:val="nil"/>
              <w:left w:val="single" w:sz="2" w:space="0" w:color="auto"/>
              <w:bottom w:val="nil"/>
              <w:right w:val="single" w:sz="2" w:space="0" w:color="auto"/>
            </w:tcBorders>
            <w:shd w:val="clear" w:color="auto" w:fill="auto"/>
          </w:tcPr>
          <w:p w14:paraId="1F514C65" w14:textId="77777777" w:rsidR="000B4462" w:rsidRPr="00537CB3" w:rsidRDefault="000B4462" w:rsidP="000B4462">
            <w:pPr>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lang w:val="it-IT"/>
              </w:rPr>
              <w:t>Identical</w:t>
            </w:r>
          </w:p>
        </w:tc>
        <w:tc>
          <w:tcPr>
            <w:tcW w:w="1151" w:type="dxa"/>
            <w:tcBorders>
              <w:top w:val="nil"/>
              <w:left w:val="single" w:sz="2" w:space="0" w:color="auto"/>
              <w:bottom w:val="nil"/>
              <w:right w:val="single" w:sz="2" w:space="0" w:color="auto"/>
            </w:tcBorders>
          </w:tcPr>
          <w:p w14:paraId="0CEC8487" w14:textId="77777777" w:rsidR="000B4462" w:rsidRPr="00537CB3" w:rsidRDefault="000B4462" w:rsidP="00537CB3">
            <w:pPr>
              <w:spacing w:after="0" w:line="240" w:lineRule="auto"/>
              <w:jc w:val="center"/>
              <w:rPr>
                <w:rFonts w:ascii="Simplified Arabic" w:eastAsia="Arial Narrow" w:hAnsi="Simplified Arabic" w:cs="Simplified Arabic"/>
                <w:spacing w:val="10"/>
                <w:sz w:val="18"/>
                <w:szCs w:val="18"/>
                <w:lang w:bidi="ar-JO"/>
              </w:rPr>
            </w:pPr>
            <w:r w:rsidRPr="00537CB3">
              <w:rPr>
                <w:rFonts w:ascii="Simplified Arabic" w:eastAsia="Arial Narrow" w:hAnsi="Simplified Arabic" w:cs="Simplified Arabic" w:hint="cs"/>
                <w:spacing w:val="10"/>
                <w:sz w:val="18"/>
                <w:szCs w:val="18"/>
                <w:rtl/>
                <w:lang w:bidi="ar-JO"/>
              </w:rPr>
              <w:t>47.5 (2019)</w:t>
            </w:r>
          </w:p>
        </w:tc>
        <w:tc>
          <w:tcPr>
            <w:tcW w:w="1250" w:type="dxa"/>
            <w:tcBorders>
              <w:top w:val="nil"/>
              <w:left w:val="single" w:sz="2" w:space="0" w:color="auto"/>
              <w:bottom w:val="nil"/>
              <w:right w:val="single" w:sz="2" w:space="0" w:color="auto"/>
            </w:tcBorders>
          </w:tcPr>
          <w:p w14:paraId="68A4ED9B" w14:textId="77777777" w:rsidR="000B4462" w:rsidRPr="00537CB3" w:rsidRDefault="000B4462" w:rsidP="000B4462">
            <w:pPr>
              <w:spacing w:after="0" w:line="240" w:lineRule="auto"/>
              <w:jc w:val="center"/>
              <w:rPr>
                <w:rFonts w:ascii="Simplified Arabic" w:eastAsia="Arial Narrow" w:hAnsi="Simplified Arabic" w:cs="Simplified Arabic"/>
                <w:spacing w:val="10"/>
                <w:sz w:val="18"/>
                <w:szCs w:val="18"/>
                <w:rtl/>
                <w:lang w:bidi="ar-JO"/>
              </w:rPr>
            </w:pPr>
            <w:r w:rsidRPr="00537CB3">
              <w:rPr>
                <w:rFonts w:ascii="Simplified Arabic" w:eastAsia="Arial Narrow" w:hAnsi="Simplified Arabic" w:cs="Simplified Arabic"/>
                <w:spacing w:val="10"/>
                <w:sz w:val="18"/>
                <w:szCs w:val="18"/>
                <w:lang w:bidi="ar-JO"/>
              </w:rPr>
              <w:t>43.5</w:t>
            </w:r>
          </w:p>
        </w:tc>
        <w:tc>
          <w:tcPr>
            <w:tcW w:w="1388" w:type="dxa"/>
            <w:tcBorders>
              <w:top w:val="nil"/>
              <w:left w:val="single" w:sz="2" w:space="0" w:color="auto"/>
              <w:bottom w:val="nil"/>
            </w:tcBorders>
            <w:shd w:val="clear" w:color="auto" w:fill="auto"/>
            <w:vAlign w:val="center"/>
          </w:tcPr>
          <w:p w14:paraId="1A3C46DA" w14:textId="77777777" w:rsidR="000B4462" w:rsidRPr="00537CB3" w:rsidRDefault="000B4462" w:rsidP="000B4462">
            <w:pPr>
              <w:bidi w:val="0"/>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rPr>
              <w:t>Decrease</w:t>
            </w:r>
          </w:p>
        </w:tc>
      </w:tr>
      <w:tr w:rsidR="000B4462" w:rsidRPr="00770C22" w14:paraId="4DD22C05" w14:textId="77777777" w:rsidTr="001F12C6">
        <w:trPr>
          <w:trHeight w:val="389"/>
          <w:jc w:val="center"/>
        </w:trPr>
        <w:tc>
          <w:tcPr>
            <w:tcW w:w="4021" w:type="dxa"/>
            <w:tcBorders>
              <w:top w:val="nil"/>
              <w:bottom w:val="nil"/>
              <w:right w:val="single" w:sz="2" w:space="0" w:color="auto"/>
            </w:tcBorders>
            <w:shd w:val="clear" w:color="auto" w:fill="auto"/>
          </w:tcPr>
          <w:p w14:paraId="0A1AEE36" w14:textId="77777777" w:rsidR="000B4462" w:rsidRPr="00537CB3" w:rsidRDefault="000B4462" w:rsidP="000B4462">
            <w:pPr>
              <w:tabs>
                <w:tab w:val="left" w:pos="9072"/>
              </w:tabs>
              <w:bidi w:val="0"/>
              <w:spacing w:after="0" w:line="240" w:lineRule="auto"/>
              <w:ind w:left="336"/>
              <w:jc w:val="both"/>
              <w:rPr>
                <w:rFonts w:asciiTheme="minorBidi" w:hAnsiTheme="minorBidi" w:cstheme="minorBidi"/>
                <w:sz w:val="18"/>
                <w:szCs w:val="18"/>
              </w:rPr>
            </w:pPr>
            <w:r w:rsidRPr="00537CB3">
              <w:rPr>
                <w:rFonts w:asciiTheme="minorBidi" w:hAnsiTheme="minorBidi" w:cstheme="minorBidi"/>
                <w:sz w:val="18"/>
                <w:szCs w:val="18"/>
              </w:rPr>
              <w:t>Non-performing loans net of provisions to capital (Palestinian Monetary Authority, 2022, percentage)</w:t>
            </w:r>
          </w:p>
        </w:tc>
        <w:tc>
          <w:tcPr>
            <w:tcW w:w="1476" w:type="dxa"/>
            <w:tcBorders>
              <w:top w:val="nil"/>
              <w:left w:val="single" w:sz="2" w:space="0" w:color="auto"/>
              <w:bottom w:val="nil"/>
              <w:right w:val="single" w:sz="2" w:space="0" w:color="auto"/>
            </w:tcBorders>
            <w:shd w:val="clear" w:color="auto" w:fill="auto"/>
          </w:tcPr>
          <w:p w14:paraId="463142E4" w14:textId="77777777" w:rsidR="000B4462" w:rsidRPr="00537CB3" w:rsidRDefault="000B4462" w:rsidP="000B4462">
            <w:pPr>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lang w:val="it-IT"/>
              </w:rPr>
              <w:t>Identical</w:t>
            </w:r>
          </w:p>
        </w:tc>
        <w:tc>
          <w:tcPr>
            <w:tcW w:w="1151" w:type="dxa"/>
            <w:tcBorders>
              <w:top w:val="nil"/>
              <w:left w:val="single" w:sz="2" w:space="0" w:color="auto"/>
              <w:bottom w:val="nil"/>
              <w:right w:val="single" w:sz="2" w:space="0" w:color="auto"/>
            </w:tcBorders>
          </w:tcPr>
          <w:p w14:paraId="6AE00449" w14:textId="77777777" w:rsidR="000B4462" w:rsidRPr="00537CB3" w:rsidRDefault="000B4462" w:rsidP="000B4462">
            <w:pPr>
              <w:bidi w:val="0"/>
              <w:spacing w:after="0" w:line="240" w:lineRule="auto"/>
              <w:jc w:val="center"/>
              <w:rPr>
                <w:rFonts w:asciiTheme="minorBidi" w:hAnsiTheme="minorBidi" w:cstheme="minorBidi"/>
                <w:sz w:val="18"/>
                <w:szCs w:val="18"/>
                <w:lang w:val="it-IT"/>
              </w:rPr>
            </w:pPr>
            <w:r w:rsidRPr="00537CB3">
              <w:rPr>
                <w:rFonts w:ascii="Simplified Arabic" w:eastAsia="Arial Narrow" w:hAnsi="Simplified Arabic" w:cs="Simplified Arabic" w:hint="cs"/>
                <w:spacing w:val="10"/>
                <w:sz w:val="18"/>
                <w:szCs w:val="18"/>
                <w:rtl/>
                <w:lang w:bidi="ar-JO"/>
              </w:rPr>
              <w:t>3.8 (2019)</w:t>
            </w:r>
          </w:p>
        </w:tc>
        <w:tc>
          <w:tcPr>
            <w:tcW w:w="1250" w:type="dxa"/>
            <w:tcBorders>
              <w:top w:val="nil"/>
              <w:left w:val="single" w:sz="2" w:space="0" w:color="auto"/>
              <w:bottom w:val="nil"/>
              <w:right w:val="single" w:sz="2" w:space="0" w:color="auto"/>
            </w:tcBorders>
          </w:tcPr>
          <w:p w14:paraId="2F114E18" w14:textId="77777777" w:rsidR="000B4462" w:rsidRPr="00537CB3" w:rsidRDefault="000B4462" w:rsidP="000B4462">
            <w:pPr>
              <w:spacing w:after="0" w:line="240" w:lineRule="auto"/>
              <w:rPr>
                <w:rFonts w:ascii="Simplified Arabic" w:eastAsia="Arial Narrow" w:hAnsi="Simplified Arabic" w:cs="Simplified Arabic"/>
                <w:spacing w:val="10"/>
                <w:sz w:val="18"/>
                <w:szCs w:val="18"/>
                <w:rtl/>
                <w:lang w:bidi="ar-JO"/>
              </w:rPr>
            </w:pPr>
            <w:r w:rsidRPr="00537CB3">
              <w:rPr>
                <w:rFonts w:ascii="Simplified Arabic" w:eastAsia="Arial Narrow" w:hAnsi="Simplified Arabic" w:cs="Simplified Arabic"/>
                <w:spacing w:val="10"/>
                <w:sz w:val="18"/>
                <w:szCs w:val="18"/>
                <w:lang w:bidi="ar-JO"/>
              </w:rPr>
              <w:t>3.0</w:t>
            </w:r>
          </w:p>
        </w:tc>
        <w:tc>
          <w:tcPr>
            <w:tcW w:w="1388" w:type="dxa"/>
            <w:tcBorders>
              <w:top w:val="nil"/>
              <w:left w:val="single" w:sz="2" w:space="0" w:color="auto"/>
              <w:bottom w:val="nil"/>
            </w:tcBorders>
            <w:shd w:val="clear" w:color="auto" w:fill="auto"/>
            <w:vAlign w:val="center"/>
          </w:tcPr>
          <w:p w14:paraId="45EDC603" w14:textId="77777777" w:rsidR="000B4462" w:rsidRPr="00537CB3" w:rsidRDefault="000B4462" w:rsidP="000B4462">
            <w:pPr>
              <w:bidi w:val="0"/>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rPr>
              <w:t>Decrease</w:t>
            </w:r>
          </w:p>
        </w:tc>
      </w:tr>
      <w:tr w:rsidR="00121B1B" w:rsidRPr="00770C22" w14:paraId="2DC0CAC1" w14:textId="77777777" w:rsidTr="00121B1B">
        <w:trPr>
          <w:trHeight w:val="389"/>
          <w:jc w:val="center"/>
        </w:trPr>
        <w:tc>
          <w:tcPr>
            <w:tcW w:w="4021" w:type="dxa"/>
            <w:tcBorders>
              <w:top w:val="nil"/>
              <w:bottom w:val="nil"/>
              <w:right w:val="single" w:sz="2" w:space="0" w:color="auto"/>
            </w:tcBorders>
            <w:shd w:val="clear" w:color="auto" w:fill="auto"/>
          </w:tcPr>
          <w:p w14:paraId="12EF87DF" w14:textId="77777777" w:rsidR="00121B1B" w:rsidRPr="00537CB3" w:rsidRDefault="00121B1B" w:rsidP="00121B1B">
            <w:pPr>
              <w:tabs>
                <w:tab w:val="left" w:pos="9072"/>
              </w:tabs>
              <w:bidi w:val="0"/>
              <w:spacing w:after="0" w:line="240" w:lineRule="auto"/>
              <w:ind w:left="336"/>
              <w:jc w:val="both"/>
              <w:rPr>
                <w:rFonts w:asciiTheme="minorBidi" w:hAnsiTheme="minorBidi" w:cstheme="minorBidi"/>
                <w:sz w:val="18"/>
                <w:szCs w:val="18"/>
              </w:rPr>
            </w:pPr>
            <w:r w:rsidRPr="00537CB3">
              <w:rPr>
                <w:rFonts w:asciiTheme="minorBidi" w:hAnsiTheme="minorBidi" w:cstheme="minorBidi"/>
                <w:sz w:val="18"/>
                <w:szCs w:val="18"/>
              </w:rPr>
              <w:t>Non-performing loans to total gross loans (Palestinian Monetary Authority, 2022, percentage)</w:t>
            </w:r>
          </w:p>
        </w:tc>
        <w:tc>
          <w:tcPr>
            <w:tcW w:w="1476" w:type="dxa"/>
            <w:tcBorders>
              <w:top w:val="nil"/>
              <w:left w:val="single" w:sz="2" w:space="0" w:color="auto"/>
              <w:bottom w:val="nil"/>
              <w:right w:val="single" w:sz="2" w:space="0" w:color="auto"/>
            </w:tcBorders>
            <w:shd w:val="clear" w:color="auto" w:fill="auto"/>
          </w:tcPr>
          <w:p w14:paraId="0A3C3781" w14:textId="77777777" w:rsidR="00121B1B" w:rsidRPr="00537CB3" w:rsidRDefault="00121B1B" w:rsidP="00121B1B">
            <w:pPr>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lang w:val="it-IT"/>
              </w:rPr>
              <w:t>Identical</w:t>
            </w:r>
          </w:p>
        </w:tc>
        <w:tc>
          <w:tcPr>
            <w:tcW w:w="1151" w:type="dxa"/>
            <w:tcBorders>
              <w:top w:val="nil"/>
              <w:left w:val="single" w:sz="2" w:space="0" w:color="auto"/>
              <w:bottom w:val="nil"/>
              <w:right w:val="single" w:sz="2" w:space="0" w:color="auto"/>
            </w:tcBorders>
          </w:tcPr>
          <w:p w14:paraId="4329F9E6" w14:textId="77777777" w:rsidR="00121B1B" w:rsidRPr="00537CB3" w:rsidRDefault="00121B1B" w:rsidP="00121B1B">
            <w:pPr>
              <w:bidi w:val="0"/>
              <w:spacing w:after="0" w:line="240" w:lineRule="auto"/>
              <w:jc w:val="center"/>
              <w:rPr>
                <w:rFonts w:asciiTheme="minorBidi" w:hAnsiTheme="minorBidi" w:cstheme="minorBidi"/>
                <w:sz w:val="18"/>
                <w:szCs w:val="18"/>
                <w:lang w:val="it-IT"/>
              </w:rPr>
            </w:pPr>
            <w:r w:rsidRPr="00537CB3">
              <w:rPr>
                <w:rFonts w:ascii="Simplified Arabic" w:eastAsia="Arial Narrow" w:hAnsi="Simplified Arabic" w:cs="Simplified Arabic" w:hint="cs"/>
                <w:spacing w:val="10"/>
                <w:sz w:val="18"/>
                <w:szCs w:val="18"/>
                <w:rtl/>
                <w:lang w:bidi="ar-JO"/>
              </w:rPr>
              <w:t>4.2(2019)</w:t>
            </w:r>
          </w:p>
        </w:tc>
        <w:tc>
          <w:tcPr>
            <w:tcW w:w="1250" w:type="dxa"/>
            <w:tcBorders>
              <w:top w:val="nil"/>
              <w:left w:val="single" w:sz="2" w:space="0" w:color="auto"/>
              <w:bottom w:val="nil"/>
              <w:right w:val="single" w:sz="2" w:space="0" w:color="auto"/>
            </w:tcBorders>
          </w:tcPr>
          <w:p w14:paraId="3C64C293" w14:textId="77777777" w:rsidR="00121B1B" w:rsidRPr="00537CB3" w:rsidRDefault="00121B1B" w:rsidP="00121B1B">
            <w:pPr>
              <w:spacing w:after="0" w:line="240" w:lineRule="auto"/>
              <w:jc w:val="center"/>
              <w:rPr>
                <w:rFonts w:ascii="Simplified Arabic" w:eastAsia="Arial Narrow" w:hAnsi="Simplified Arabic" w:cs="Simplified Arabic"/>
                <w:spacing w:val="10"/>
                <w:sz w:val="18"/>
                <w:szCs w:val="18"/>
                <w:rtl/>
                <w:lang w:bidi="ar-JO"/>
              </w:rPr>
            </w:pPr>
            <w:r w:rsidRPr="00537CB3">
              <w:rPr>
                <w:rFonts w:ascii="Simplified Arabic" w:eastAsia="Arial Narrow" w:hAnsi="Simplified Arabic" w:cs="Simplified Arabic"/>
                <w:spacing w:val="10"/>
                <w:sz w:val="18"/>
                <w:szCs w:val="18"/>
                <w:lang w:bidi="ar-JO"/>
              </w:rPr>
              <w:t>4.0</w:t>
            </w:r>
          </w:p>
        </w:tc>
        <w:tc>
          <w:tcPr>
            <w:tcW w:w="1388" w:type="dxa"/>
            <w:tcBorders>
              <w:top w:val="nil"/>
              <w:left w:val="single" w:sz="2" w:space="0" w:color="auto"/>
              <w:bottom w:val="nil"/>
            </w:tcBorders>
            <w:shd w:val="clear" w:color="auto" w:fill="auto"/>
          </w:tcPr>
          <w:p w14:paraId="008948F7" w14:textId="77777777" w:rsidR="00121B1B" w:rsidRPr="00537CB3" w:rsidRDefault="000B4462" w:rsidP="00121B1B">
            <w:pPr>
              <w:bidi w:val="0"/>
              <w:spacing w:after="0" w:line="240" w:lineRule="auto"/>
              <w:jc w:val="center"/>
              <w:rPr>
                <w:rFonts w:asciiTheme="minorBidi" w:hAnsiTheme="minorBidi" w:cstheme="minorBidi"/>
                <w:color w:val="F79646" w:themeColor="accent6"/>
                <w:sz w:val="18"/>
                <w:szCs w:val="18"/>
              </w:rPr>
            </w:pPr>
            <w:r w:rsidRPr="00537CB3">
              <w:rPr>
                <w:rFonts w:asciiTheme="minorBidi" w:hAnsiTheme="minorBidi" w:cstheme="minorBidi"/>
                <w:sz w:val="18"/>
                <w:szCs w:val="18"/>
              </w:rPr>
              <w:t>Increase</w:t>
            </w:r>
          </w:p>
        </w:tc>
      </w:tr>
      <w:tr w:rsidR="00121B1B" w:rsidRPr="00770C22" w14:paraId="0236F54C" w14:textId="77777777" w:rsidTr="00121B1B">
        <w:trPr>
          <w:trHeight w:val="389"/>
          <w:jc w:val="center"/>
        </w:trPr>
        <w:tc>
          <w:tcPr>
            <w:tcW w:w="4021" w:type="dxa"/>
            <w:tcBorders>
              <w:top w:val="nil"/>
              <w:bottom w:val="nil"/>
              <w:right w:val="single" w:sz="2" w:space="0" w:color="auto"/>
            </w:tcBorders>
            <w:shd w:val="clear" w:color="auto" w:fill="auto"/>
          </w:tcPr>
          <w:p w14:paraId="582F093B" w14:textId="77777777" w:rsidR="00121B1B" w:rsidRPr="00537CB3" w:rsidRDefault="00121B1B" w:rsidP="00121B1B">
            <w:pPr>
              <w:tabs>
                <w:tab w:val="left" w:pos="9072"/>
              </w:tabs>
              <w:bidi w:val="0"/>
              <w:spacing w:after="0" w:line="240" w:lineRule="auto"/>
              <w:ind w:left="336"/>
              <w:jc w:val="both"/>
              <w:rPr>
                <w:rFonts w:asciiTheme="minorBidi" w:hAnsiTheme="minorBidi" w:cstheme="minorBidi"/>
                <w:sz w:val="18"/>
                <w:szCs w:val="18"/>
              </w:rPr>
            </w:pPr>
            <w:r w:rsidRPr="00537CB3">
              <w:rPr>
                <w:rFonts w:asciiTheme="minorBidi" w:hAnsiTheme="minorBidi" w:cstheme="minorBidi"/>
                <w:sz w:val="18"/>
                <w:szCs w:val="18"/>
              </w:rPr>
              <w:t>Regulatory Tier 1 capital to risk-weighted assets (Palestinian Monetary Authority, 2022, percentage)</w:t>
            </w:r>
          </w:p>
        </w:tc>
        <w:tc>
          <w:tcPr>
            <w:tcW w:w="1476" w:type="dxa"/>
            <w:tcBorders>
              <w:top w:val="nil"/>
              <w:left w:val="single" w:sz="2" w:space="0" w:color="auto"/>
              <w:bottom w:val="nil"/>
              <w:right w:val="single" w:sz="2" w:space="0" w:color="auto"/>
            </w:tcBorders>
            <w:shd w:val="clear" w:color="auto" w:fill="auto"/>
          </w:tcPr>
          <w:p w14:paraId="1F820DD7" w14:textId="77777777" w:rsidR="00121B1B" w:rsidRPr="00537CB3" w:rsidRDefault="00121B1B" w:rsidP="00121B1B">
            <w:pPr>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lang w:val="it-IT"/>
              </w:rPr>
              <w:t>Identical</w:t>
            </w:r>
          </w:p>
        </w:tc>
        <w:tc>
          <w:tcPr>
            <w:tcW w:w="1151" w:type="dxa"/>
            <w:tcBorders>
              <w:top w:val="nil"/>
              <w:left w:val="single" w:sz="2" w:space="0" w:color="auto"/>
              <w:bottom w:val="nil"/>
              <w:right w:val="single" w:sz="2" w:space="0" w:color="auto"/>
            </w:tcBorders>
          </w:tcPr>
          <w:p w14:paraId="5B59B464" w14:textId="77777777" w:rsidR="00121B1B" w:rsidRPr="00537CB3" w:rsidRDefault="00121B1B" w:rsidP="00121B1B">
            <w:pPr>
              <w:bidi w:val="0"/>
              <w:spacing w:after="0" w:line="240" w:lineRule="auto"/>
              <w:jc w:val="center"/>
              <w:rPr>
                <w:rFonts w:asciiTheme="minorBidi" w:hAnsiTheme="minorBidi" w:cstheme="minorBidi"/>
                <w:sz w:val="18"/>
                <w:szCs w:val="18"/>
                <w:lang w:val="it-IT"/>
              </w:rPr>
            </w:pPr>
            <w:r w:rsidRPr="00537CB3">
              <w:rPr>
                <w:rFonts w:ascii="Simplified Arabic" w:eastAsia="Arial Narrow" w:hAnsi="Simplified Arabic" w:cs="Simplified Arabic" w:hint="cs"/>
                <w:spacing w:val="10"/>
                <w:sz w:val="18"/>
                <w:szCs w:val="18"/>
                <w:rtl/>
                <w:lang w:bidi="ar-JO"/>
              </w:rPr>
              <w:t>13.9(2019)</w:t>
            </w:r>
          </w:p>
        </w:tc>
        <w:tc>
          <w:tcPr>
            <w:tcW w:w="1250" w:type="dxa"/>
            <w:tcBorders>
              <w:top w:val="nil"/>
              <w:left w:val="single" w:sz="2" w:space="0" w:color="auto"/>
              <w:bottom w:val="nil"/>
              <w:right w:val="single" w:sz="2" w:space="0" w:color="auto"/>
            </w:tcBorders>
          </w:tcPr>
          <w:p w14:paraId="1B6A3E84" w14:textId="77777777" w:rsidR="00121B1B" w:rsidRPr="00537CB3" w:rsidRDefault="00121B1B" w:rsidP="00121B1B">
            <w:pPr>
              <w:spacing w:after="0" w:line="240" w:lineRule="auto"/>
              <w:jc w:val="center"/>
              <w:rPr>
                <w:rFonts w:ascii="Simplified Arabic" w:eastAsia="Arial Narrow" w:hAnsi="Simplified Arabic" w:cs="Simplified Arabic"/>
                <w:spacing w:val="10"/>
                <w:sz w:val="18"/>
                <w:szCs w:val="18"/>
                <w:rtl/>
                <w:lang w:bidi="ar-JO"/>
              </w:rPr>
            </w:pPr>
            <w:r w:rsidRPr="00537CB3">
              <w:rPr>
                <w:rFonts w:ascii="Simplified Arabic" w:eastAsia="Arial Narrow" w:hAnsi="Simplified Arabic" w:cs="Simplified Arabic"/>
                <w:spacing w:val="10"/>
                <w:sz w:val="18"/>
                <w:szCs w:val="18"/>
                <w:lang w:bidi="ar-JO"/>
              </w:rPr>
              <w:t>14.5</w:t>
            </w:r>
          </w:p>
        </w:tc>
        <w:tc>
          <w:tcPr>
            <w:tcW w:w="1388" w:type="dxa"/>
            <w:tcBorders>
              <w:top w:val="nil"/>
              <w:left w:val="single" w:sz="2" w:space="0" w:color="auto"/>
              <w:bottom w:val="nil"/>
            </w:tcBorders>
            <w:shd w:val="clear" w:color="auto" w:fill="auto"/>
          </w:tcPr>
          <w:p w14:paraId="55ED0DCB" w14:textId="77777777" w:rsidR="00121B1B" w:rsidRPr="00537CB3" w:rsidRDefault="000B4462" w:rsidP="00121B1B">
            <w:pPr>
              <w:bidi w:val="0"/>
              <w:spacing w:after="0" w:line="240" w:lineRule="auto"/>
              <w:jc w:val="center"/>
              <w:rPr>
                <w:rFonts w:asciiTheme="minorBidi" w:hAnsiTheme="minorBidi" w:cstheme="minorBidi"/>
                <w:color w:val="F79646" w:themeColor="accent6"/>
                <w:sz w:val="18"/>
                <w:szCs w:val="18"/>
              </w:rPr>
            </w:pPr>
            <w:r w:rsidRPr="00537CB3">
              <w:rPr>
                <w:rFonts w:asciiTheme="minorBidi" w:hAnsiTheme="minorBidi" w:cstheme="minorBidi"/>
                <w:sz w:val="18"/>
                <w:szCs w:val="18"/>
              </w:rPr>
              <w:t>Increase</w:t>
            </w:r>
          </w:p>
        </w:tc>
      </w:tr>
      <w:tr w:rsidR="00121B1B" w:rsidRPr="00770C22" w14:paraId="3470DFFE" w14:textId="77777777" w:rsidTr="00121B1B">
        <w:trPr>
          <w:trHeight w:val="389"/>
          <w:jc w:val="center"/>
        </w:trPr>
        <w:tc>
          <w:tcPr>
            <w:tcW w:w="4021" w:type="dxa"/>
            <w:tcBorders>
              <w:top w:val="nil"/>
              <w:bottom w:val="nil"/>
              <w:right w:val="single" w:sz="2" w:space="0" w:color="auto"/>
            </w:tcBorders>
            <w:shd w:val="clear" w:color="auto" w:fill="auto"/>
          </w:tcPr>
          <w:p w14:paraId="116D2234" w14:textId="77777777" w:rsidR="00121B1B" w:rsidRPr="00537CB3" w:rsidRDefault="00121B1B" w:rsidP="00121B1B">
            <w:pPr>
              <w:tabs>
                <w:tab w:val="left" w:pos="9072"/>
              </w:tabs>
              <w:bidi w:val="0"/>
              <w:spacing w:after="0" w:line="240" w:lineRule="auto"/>
              <w:ind w:left="336"/>
              <w:jc w:val="both"/>
              <w:rPr>
                <w:rFonts w:asciiTheme="minorBidi" w:hAnsiTheme="minorBidi" w:cstheme="minorBidi"/>
                <w:sz w:val="18"/>
                <w:szCs w:val="18"/>
              </w:rPr>
            </w:pPr>
            <w:r w:rsidRPr="00537CB3">
              <w:rPr>
                <w:rFonts w:asciiTheme="minorBidi" w:hAnsiTheme="minorBidi" w:cstheme="minorBidi"/>
                <w:sz w:val="18"/>
                <w:szCs w:val="18"/>
              </w:rPr>
              <w:t>Regulatory capital to assets  (Palestinian Monetary Authority, 2022, percentage)</w:t>
            </w:r>
          </w:p>
        </w:tc>
        <w:tc>
          <w:tcPr>
            <w:tcW w:w="1476" w:type="dxa"/>
            <w:tcBorders>
              <w:top w:val="nil"/>
              <w:left w:val="single" w:sz="2" w:space="0" w:color="auto"/>
              <w:bottom w:val="nil"/>
              <w:right w:val="single" w:sz="2" w:space="0" w:color="auto"/>
            </w:tcBorders>
            <w:shd w:val="clear" w:color="auto" w:fill="auto"/>
          </w:tcPr>
          <w:p w14:paraId="22C5E436" w14:textId="77777777" w:rsidR="00121B1B" w:rsidRPr="00537CB3" w:rsidRDefault="00121B1B" w:rsidP="00121B1B">
            <w:pPr>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lang w:val="it-IT"/>
              </w:rPr>
              <w:t>Identical</w:t>
            </w:r>
          </w:p>
        </w:tc>
        <w:tc>
          <w:tcPr>
            <w:tcW w:w="1151" w:type="dxa"/>
            <w:tcBorders>
              <w:top w:val="nil"/>
              <w:left w:val="single" w:sz="2" w:space="0" w:color="auto"/>
              <w:bottom w:val="nil"/>
              <w:right w:val="single" w:sz="2" w:space="0" w:color="auto"/>
            </w:tcBorders>
          </w:tcPr>
          <w:p w14:paraId="1CD0A264" w14:textId="77777777" w:rsidR="00121B1B" w:rsidRPr="00537CB3" w:rsidRDefault="00121B1B" w:rsidP="00121B1B">
            <w:pPr>
              <w:bidi w:val="0"/>
              <w:spacing w:after="0" w:line="240" w:lineRule="auto"/>
              <w:jc w:val="center"/>
              <w:rPr>
                <w:rFonts w:asciiTheme="minorBidi" w:hAnsiTheme="minorBidi" w:cstheme="minorBidi"/>
                <w:sz w:val="18"/>
                <w:szCs w:val="18"/>
                <w:lang w:val="it-IT"/>
              </w:rPr>
            </w:pPr>
            <w:r w:rsidRPr="00537CB3">
              <w:rPr>
                <w:rFonts w:ascii="Simplified Arabic" w:eastAsia="Arial Narrow" w:hAnsi="Simplified Arabic" w:cs="Simplified Arabic" w:hint="cs"/>
                <w:spacing w:val="10"/>
                <w:sz w:val="18"/>
                <w:szCs w:val="18"/>
                <w:rtl/>
                <w:lang w:bidi="ar-JO"/>
              </w:rPr>
              <w:t>7.9 (2019)</w:t>
            </w:r>
          </w:p>
        </w:tc>
        <w:tc>
          <w:tcPr>
            <w:tcW w:w="1250" w:type="dxa"/>
            <w:tcBorders>
              <w:top w:val="nil"/>
              <w:left w:val="single" w:sz="2" w:space="0" w:color="auto"/>
              <w:bottom w:val="nil"/>
              <w:right w:val="single" w:sz="2" w:space="0" w:color="auto"/>
            </w:tcBorders>
          </w:tcPr>
          <w:p w14:paraId="0AF2A7B4" w14:textId="77777777" w:rsidR="00121B1B" w:rsidRPr="00537CB3" w:rsidRDefault="00121B1B" w:rsidP="00121B1B">
            <w:pPr>
              <w:spacing w:after="0" w:line="240" w:lineRule="auto"/>
              <w:jc w:val="center"/>
              <w:rPr>
                <w:rFonts w:ascii="Simplified Arabic" w:eastAsia="Arial Narrow" w:hAnsi="Simplified Arabic" w:cs="Simplified Arabic"/>
                <w:spacing w:val="10"/>
                <w:sz w:val="18"/>
                <w:szCs w:val="18"/>
                <w:rtl/>
                <w:lang w:bidi="ar-JO"/>
              </w:rPr>
            </w:pPr>
            <w:r w:rsidRPr="00537CB3">
              <w:rPr>
                <w:rFonts w:ascii="Simplified Arabic" w:eastAsia="Arial Narrow" w:hAnsi="Simplified Arabic" w:cs="Simplified Arabic"/>
                <w:spacing w:val="10"/>
                <w:sz w:val="18"/>
                <w:szCs w:val="18"/>
                <w:lang w:bidi="ar-JO"/>
              </w:rPr>
              <w:t>8.7</w:t>
            </w:r>
          </w:p>
        </w:tc>
        <w:tc>
          <w:tcPr>
            <w:tcW w:w="1388" w:type="dxa"/>
            <w:tcBorders>
              <w:top w:val="nil"/>
              <w:left w:val="single" w:sz="2" w:space="0" w:color="auto"/>
              <w:bottom w:val="nil"/>
            </w:tcBorders>
            <w:shd w:val="clear" w:color="auto" w:fill="auto"/>
          </w:tcPr>
          <w:p w14:paraId="1A1861E9" w14:textId="77777777" w:rsidR="00121B1B" w:rsidRPr="00537CB3" w:rsidRDefault="000B4462" w:rsidP="00121B1B">
            <w:pPr>
              <w:bidi w:val="0"/>
              <w:spacing w:after="0" w:line="240" w:lineRule="auto"/>
              <w:jc w:val="center"/>
              <w:rPr>
                <w:rFonts w:asciiTheme="minorBidi" w:hAnsiTheme="minorBidi" w:cstheme="minorBidi"/>
                <w:color w:val="F79646" w:themeColor="accent6"/>
                <w:sz w:val="18"/>
                <w:szCs w:val="18"/>
              </w:rPr>
            </w:pPr>
            <w:r w:rsidRPr="00537CB3">
              <w:rPr>
                <w:rFonts w:asciiTheme="minorBidi" w:hAnsiTheme="minorBidi" w:cstheme="minorBidi"/>
                <w:sz w:val="18"/>
                <w:szCs w:val="18"/>
              </w:rPr>
              <w:t>Increase</w:t>
            </w:r>
          </w:p>
        </w:tc>
      </w:tr>
      <w:tr w:rsidR="00121B1B" w:rsidRPr="00770C22" w14:paraId="368AB213" w14:textId="77777777" w:rsidTr="00121B1B">
        <w:trPr>
          <w:trHeight w:val="389"/>
          <w:jc w:val="center"/>
        </w:trPr>
        <w:tc>
          <w:tcPr>
            <w:tcW w:w="4021" w:type="dxa"/>
            <w:tcBorders>
              <w:top w:val="nil"/>
              <w:bottom w:val="single" w:sz="4" w:space="0" w:color="auto"/>
              <w:right w:val="single" w:sz="2" w:space="0" w:color="auto"/>
            </w:tcBorders>
            <w:shd w:val="clear" w:color="auto" w:fill="auto"/>
          </w:tcPr>
          <w:p w14:paraId="694DDD86" w14:textId="77777777" w:rsidR="00121B1B" w:rsidRPr="00537CB3" w:rsidRDefault="00121B1B" w:rsidP="00121B1B">
            <w:pPr>
              <w:tabs>
                <w:tab w:val="left" w:pos="9072"/>
              </w:tabs>
              <w:bidi w:val="0"/>
              <w:spacing w:after="0" w:line="240" w:lineRule="auto"/>
              <w:ind w:left="336"/>
              <w:jc w:val="both"/>
              <w:rPr>
                <w:rFonts w:asciiTheme="minorBidi" w:hAnsiTheme="minorBidi" w:cstheme="minorBidi"/>
                <w:sz w:val="18"/>
                <w:szCs w:val="18"/>
              </w:rPr>
            </w:pPr>
            <w:r w:rsidRPr="00537CB3">
              <w:rPr>
                <w:rFonts w:asciiTheme="minorBidi" w:hAnsiTheme="minorBidi" w:cstheme="minorBidi"/>
                <w:sz w:val="18"/>
                <w:szCs w:val="18"/>
              </w:rPr>
              <w:t>Return on assets  (Palestinian Monetary Authority, 2022, percentage)</w:t>
            </w:r>
          </w:p>
        </w:tc>
        <w:tc>
          <w:tcPr>
            <w:tcW w:w="1476" w:type="dxa"/>
            <w:tcBorders>
              <w:top w:val="nil"/>
              <w:left w:val="single" w:sz="2" w:space="0" w:color="auto"/>
              <w:bottom w:val="single" w:sz="4" w:space="0" w:color="auto"/>
              <w:right w:val="single" w:sz="2" w:space="0" w:color="auto"/>
            </w:tcBorders>
            <w:shd w:val="clear" w:color="auto" w:fill="auto"/>
          </w:tcPr>
          <w:p w14:paraId="6B385E1B" w14:textId="77777777" w:rsidR="00121B1B" w:rsidRPr="00537CB3" w:rsidRDefault="00121B1B" w:rsidP="00121B1B">
            <w:pPr>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lang w:val="it-IT"/>
              </w:rPr>
              <w:t>Identical</w:t>
            </w:r>
          </w:p>
        </w:tc>
        <w:tc>
          <w:tcPr>
            <w:tcW w:w="1151" w:type="dxa"/>
            <w:tcBorders>
              <w:top w:val="nil"/>
              <w:left w:val="single" w:sz="2" w:space="0" w:color="auto"/>
              <w:bottom w:val="single" w:sz="4" w:space="0" w:color="auto"/>
              <w:right w:val="single" w:sz="2" w:space="0" w:color="auto"/>
            </w:tcBorders>
          </w:tcPr>
          <w:p w14:paraId="6C7F1862" w14:textId="77777777" w:rsidR="00121B1B" w:rsidRPr="00537CB3" w:rsidRDefault="00121B1B" w:rsidP="00121B1B">
            <w:pPr>
              <w:bidi w:val="0"/>
              <w:spacing w:after="0" w:line="240" w:lineRule="auto"/>
              <w:jc w:val="center"/>
              <w:rPr>
                <w:rFonts w:asciiTheme="minorBidi" w:hAnsiTheme="minorBidi" w:cstheme="minorBidi"/>
                <w:sz w:val="18"/>
                <w:szCs w:val="18"/>
                <w:lang w:val="it-IT"/>
              </w:rPr>
            </w:pPr>
            <w:r w:rsidRPr="00537CB3">
              <w:rPr>
                <w:rFonts w:ascii="Simplified Arabic" w:eastAsia="Arial Narrow" w:hAnsi="Simplified Arabic" w:cs="Simplified Arabic" w:hint="cs"/>
                <w:spacing w:val="10"/>
                <w:sz w:val="18"/>
                <w:szCs w:val="18"/>
                <w:rtl/>
                <w:lang w:bidi="ar-JO"/>
              </w:rPr>
              <w:t>0.9 (2019)</w:t>
            </w:r>
          </w:p>
        </w:tc>
        <w:tc>
          <w:tcPr>
            <w:tcW w:w="1250" w:type="dxa"/>
            <w:tcBorders>
              <w:top w:val="nil"/>
              <w:left w:val="single" w:sz="2" w:space="0" w:color="auto"/>
              <w:bottom w:val="single" w:sz="4" w:space="0" w:color="auto"/>
              <w:right w:val="single" w:sz="2" w:space="0" w:color="auto"/>
            </w:tcBorders>
          </w:tcPr>
          <w:p w14:paraId="62D75B10" w14:textId="77777777" w:rsidR="00121B1B" w:rsidRPr="00537CB3" w:rsidRDefault="00121B1B" w:rsidP="00121B1B">
            <w:pPr>
              <w:spacing w:after="0" w:line="240" w:lineRule="auto"/>
              <w:jc w:val="center"/>
              <w:rPr>
                <w:rFonts w:ascii="Simplified Arabic" w:eastAsia="Arial Narrow" w:hAnsi="Simplified Arabic" w:cs="Simplified Arabic"/>
                <w:spacing w:val="10"/>
                <w:sz w:val="18"/>
                <w:szCs w:val="18"/>
                <w:rtl/>
                <w:lang w:bidi="ar-JO"/>
              </w:rPr>
            </w:pPr>
            <w:r w:rsidRPr="00537CB3">
              <w:rPr>
                <w:rFonts w:ascii="Simplified Arabic" w:eastAsia="Arial Narrow" w:hAnsi="Simplified Arabic" w:cs="Simplified Arabic"/>
                <w:spacing w:val="10"/>
                <w:sz w:val="18"/>
                <w:szCs w:val="18"/>
                <w:lang w:bidi="ar-JO"/>
              </w:rPr>
              <w:t>1.6</w:t>
            </w:r>
          </w:p>
        </w:tc>
        <w:tc>
          <w:tcPr>
            <w:tcW w:w="1388" w:type="dxa"/>
            <w:tcBorders>
              <w:top w:val="nil"/>
              <w:left w:val="single" w:sz="2" w:space="0" w:color="auto"/>
              <w:bottom w:val="single" w:sz="4" w:space="0" w:color="auto"/>
            </w:tcBorders>
            <w:shd w:val="clear" w:color="auto" w:fill="auto"/>
          </w:tcPr>
          <w:p w14:paraId="7ACD7191" w14:textId="77777777" w:rsidR="00121B1B" w:rsidRPr="00537CB3" w:rsidRDefault="000B4462" w:rsidP="00121B1B">
            <w:pPr>
              <w:bidi w:val="0"/>
              <w:spacing w:after="0" w:line="240" w:lineRule="auto"/>
              <w:jc w:val="center"/>
              <w:rPr>
                <w:rFonts w:asciiTheme="minorBidi" w:hAnsiTheme="minorBidi" w:cstheme="minorBidi"/>
                <w:color w:val="F79646" w:themeColor="accent6"/>
                <w:sz w:val="18"/>
                <w:szCs w:val="18"/>
              </w:rPr>
            </w:pPr>
            <w:r w:rsidRPr="00537CB3">
              <w:rPr>
                <w:rFonts w:asciiTheme="minorBidi" w:hAnsiTheme="minorBidi" w:cstheme="minorBidi"/>
                <w:sz w:val="18"/>
                <w:szCs w:val="18"/>
              </w:rPr>
              <w:t>Increase</w:t>
            </w:r>
          </w:p>
        </w:tc>
      </w:tr>
      <w:tr w:rsidR="0071415F" w:rsidRPr="00770C22" w14:paraId="3B86ECDB" w14:textId="77777777" w:rsidTr="00121B1B">
        <w:trPr>
          <w:trHeight w:val="389"/>
          <w:jc w:val="center"/>
        </w:trPr>
        <w:tc>
          <w:tcPr>
            <w:tcW w:w="4021" w:type="dxa"/>
            <w:tcBorders>
              <w:top w:val="single" w:sz="4" w:space="0" w:color="auto"/>
              <w:bottom w:val="nil"/>
              <w:right w:val="single" w:sz="2" w:space="0" w:color="auto"/>
            </w:tcBorders>
            <w:shd w:val="clear" w:color="auto" w:fill="auto"/>
            <w:vAlign w:val="center"/>
          </w:tcPr>
          <w:p w14:paraId="01DE5A0C" w14:textId="77777777" w:rsidR="0071415F" w:rsidRPr="00537CB3" w:rsidRDefault="0071415F" w:rsidP="004970AC">
            <w:pPr>
              <w:tabs>
                <w:tab w:val="left" w:pos="9072"/>
              </w:tabs>
              <w:bidi w:val="0"/>
              <w:spacing w:after="0" w:line="240" w:lineRule="auto"/>
              <w:jc w:val="both"/>
              <w:rPr>
                <w:rFonts w:asciiTheme="minorBidi" w:hAnsiTheme="minorBidi" w:cstheme="minorBidi"/>
                <w:sz w:val="18"/>
                <w:szCs w:val="18"/>
              </w:rPr>
            </w:pPr>
            <w:r w:rsidRPr="00537CB3">
              <w:rPr>
                <w:rFonts w:asciiTheme="minorBidi" w:hAnsiTheme="minorBidi" w:cstheme="minorBidi"/>
                <w:b/>
                <w:bCs/>
                <w:sz w:val="18"/>
                <w:szCs w:val="18"/>
              </w:rPr>
              <w:t xml:space="preserve">Indicator 10.6.1 </w:t>
            </w:r>
            <w:r w:rsidRPr="00537CB3">
              <w:rPr>
                <w:rFonts w:asciiTheme="minorBidi" w:hAnsiTheme="minorBidi" w:cstheme="minorBidi"/>
                <w:sz w:val="18"/>
                <w:szCs w:val="18"/>
              </w:rPr>
              <w:t xml:space="preserve">Proportion of members and voting rights of developing countries in international organizations </w:t>
            </w:r>
            <w:r w:rsidR="00144912" w:rsidRPr="00537CB3">
              <w:rPr>
                <w:rFonts w:asciiTheme="minorBidi" w:hAnsiTheme="minorBidi" w:cstheme="minorBidi"/>
                <w:b/>
                <w:bCs/>
                <w:color w:val="000000"/>
                <w:sz w:val="18"/>
                <w:szCs w:val="18"/>
              </w:rPr>
              <w:t>(repeated with indicator: 16.8.1)</w:t>
            </w:r>
          </w:p>
        </w:tc>
        <w:tc>
          <w:tcPr>
            <w:tcW w:w="1476" w:type="dxa"/>
            <w:tcBorders>
              <w:top w:val="single" w:sz="4" w:space="0" w:color="auto"/>
              <w:left w:val="single" w:sz="2" w:space="0" w:color="auto"/>
              <w:bottom w:val="nil"/>
              <w:right w:val="single" w:sz="2" w:space="0" w:color="auto"/>
            </w:tcBorders>
            <w:shd w:val="clear" w:color="auto" w:fill="auto"/>
            <w:vAlign w:val="center"/>
          </w:tcPr>
          <w:p w14:paraId="4A313B5A" w14:textId="77777777" w:rsidR="0071415F" w:rsidRPr="00537CB3" w:rsidRDefault="0071415F" w:rsidP="0071415F">
            <w:pPr>
              <w:bidi w:val="0"/>
              <w:spacing w:after="0" w:line="240" w:lineRule="auto"/>
              <w:jc w:val="center"/>
              <w:rPr>
                <w:rFonts w:asciiTheme="minorBidi" w:hAnsiTheme="minorBidi" w:cstheme="minorBidi"/>
                <w:sz w:val="18"/>
                <w:szCs w:val="18"/>
              </w:rPr>
            </w:pPr>
          </w:p>
        </w:tc>
        <w:tc>
          <w:tcPr>
            <w:tcW w:w="1151" w:type="dxa"/>
            <w:tcBorders>
              <w:top w:val="single" w:sz="4" w:space="0" w:color="auto"/>
              <w:left w:val="single" w:sz="2" w:space="0" w:color="auto"/>
              <w:bottom w:val="nil"/>
              <w:right w:val="single" w:sz="2" w:space="0" w:color="auto"/>
            </w:tcBorders>
            <w:vAlign w:val="center"/>
          </w:tcPr>
          <w:p w14:paraId="5DBEBFFE" w14:textId="77777777" w:rsidR="0071415F" w:rsidRPr="00537CB3" w:rsidRDefault="0071415F" w:rsidP="0071415F">
            <w:pPr>
              <w:bidi w:val="0"/>
              <w:spacing w:after="0" w:line="240" w:lineRule="auto"/>
              <w:jc w:val="center"/>
              <w:rPr>
                <w:rFonts w:asciiTheme="minorBidi" w:hAnsiTheme="minorBidi" w:cstheme="minorBidi"/>
                <w:sz w:val="18"/>
                <w:szCs w:val="18"/>
              </w:rPr>
            </w:pPr>
          </w:p>
        </w:tc>
        <w:tc>
          <w:tcPr>
            <w:tcW w:w="1250" w:type="dxa"/>
            <w:tcBorders>
              <w:top w:val="single" w:sz="4" w:space="0" w:color="auto"/>
              <w:left w:val="single" w:sz="2" w:space="0" w:color="auto"/>
              <w:bottom w:val="nil"/>
              <w:right w:val="single" w:sz="2" w:space="0" w:color="auto"/>
            </w:tcBorders>
            <w:vAlign w:val="center"/>
          </w:tcPr>
          <w:p w14:paraId="79D84B03" w14:textId="77777777" w:rsidR="0071415F" w:rsidRPr="00537CB3" w:rsidRDefault="0071415F" w:rsidP="0071415F">
            <w:pPr>
              <w:bidi w:val="0"/>
              <w:spacing w:after="0" w:line="240" w:lineRule="auto"/>
              <w:jc w:val="center"/>
              <w:rPr>
                <w:rFonts w:asciiTheme="minorBidi" w:hAnsiTheme="minorBidi" w:cstheme="minorBidi"/>
                <w:sz w:val="18"/>
                <w:szCs w:val="18"/>
              </w:rPr>
            </w:pPr>
          </w:p>
        </w:tc>
        <w:tc>
          <w:tcPr>
            <w:tcW w:w="1388" w:type="dxa"/>
            <w:tcBorders>
              <w:top w:val="single" w:sz="4" w:space="0" w:color="auto"/>
              <w:left w:val="single" w:sz="2" w:space="0" w:color="auto"/>
              <w:bottom w:val="nil"/>
            </w:tcBorders>
            <w:shd w:val="clear" w:color="auto" w:fill="auto"/>
            <w:vAlign w:val="center"/>
          </w:tcPr>
          <w:p w14:paraId="79C2A6D3" w14:textId="77777777" w:rsidR="0071415F" w:rsidRPr="00537CB3" w:rsidRDefault="0071415F" w:rsidP="0071415F">
            <w:pPr>
              <w:bidi w:val="0"/>
              <w:spacing w:after="0" w:line="240" w:lineRule="auto"/>
              <w:jc w:val="center"/>
              <w:rPr>
                <w:rFonts w:asciiTheme="minorBidi" w:hAnsiTheme="minorBidi" w:cstheme="minorBidi"/>
                <w:sz w:val="18"/>
                <w:szCs w:val="18"/>
              </w:rPr>
            </w:pPr>
          </w:p>
        </w:tc>
      </w:tr>
      <w:tr w:rsidR="004970AC" w:rsidRPr="00770C22" w14:paraId="769F5C89" w14:textId="77777777" w:rsidTr="00121B1B">
        <w:trPr>
          <w:trHeight w:val="389"/>
          <w:jc w:val="center"/>
        </w:trPr>
        <w:tc>
          <w:tcPr>
            <w:tcW w:w="4021" w:type="dxa"/>
            <w:tcBorders>
              <w:top w:val="nil"/>
              <w:bottom w:val="single" w:sz="2" w:space="0" w:color="auto"/>
              <w:right w:val="single" w:sz="2" w:space="0" w:color="auto"/>
            </w:tcBorders>
            <w:shd w:val="clear" w:color="auto" w:fill="auto"/>
            <w:vAlign w:val="center"/>
          </w:tcPr>
          <w:p w14:paraId="42395F4E" w14:textId="77777777" w:rsidR="004970AC" w:rsidRPr="00537CB3" w:rsidRDefault="004970AC" w:rsidP="00121B1B">
            <w:pPr>
              <w:tabs>
                <w:tab w:val="left" w:pos="9072"/>
              </w:tabs>
              <w:bidi w:val="0"/>
              <w:spacing w:after="0" w:line="240" w:lineRule="auto"/>
              <w:ind w:left="336"/>
              <w:jc w:val="both"/>
              <w:rPr>
                <w:rFonts w:asciiTheme="minorBidi" w:hAnsiTheme="minorBidi" w:cstheme="minorBidi"/>
                <w:b/>
                <w:bCs/>
                <w:sz w:val="18"/>
                <w:szCs w:val="18"/>
              </w:rPr>
            </w:pPr>
            <w:r w:rsidRPr="00537CB3">
              <w:rPr>
                <w:rFonts w:asciiTheme="minorBidi" w:hAnsiTheme="minorBidi" w:cstheme="minorBidi"/>
                <w:sz w:val="18"/>
                <w:szCs w:val="18"/>
              </w:rPr>
              <w:t>The right to membership and the right to vote in international organizations (Ministry of Foreign Affairs and Expatriate, 202</w:t>
            </w:r>
            <w:r w:rsidR="00121B1B" w:rsidRPr="00537CB3">
              <w:rPr>
                <w:rFonts w:asciiTheme="minorBidi" w:hAnsiTheme="minorBidi" w:cstheme="minorBidi"/>
                <w:sz w:val="18"/>
                <w:szCs w:val="18"/>
              </w:rPr>
              <w:t>2</w:t>
            </w:r>
            <w:r w:rsidRPr="00537CB3">
              <w:rPr>
                <w:rFonts w:asciiTheme="minorBidi" w:hAnsiTheme="minorBidi" w:cstheme="minorBidi"/>
                <w:sz w:val="18"/>
                <w:szCs w:val="18"/>
              </w:rPr>
              <w:t xml:space="preserve">, </w:t>
            </w:r>
            <w:r w:rsidR="00144912" w:rsidRPr="00537CB3">
              <w:rPr>
                <w:rFonts w:asciiTheme="minorBidi" w:hAnsiTheme="minorBidi" w:cstheme="minorBidi"/>
                <w:sz w:val="18"/>
                <w:szCs w:val="18"/>
              </w:rPr>
              <w:t>Text</w:t>
            </w:r>
            <w:r w:rsidRPr="00537CB3">
              <w:rPr>
                <w:rFonts w:asciiTheme="minorBidi" w:hAnsiTheme="minorBidi" w:cstheme="minorBidi"/>
                <w:sz w:val="18"/>
                <w:szCs w:val="18"/>
              </w:rPr>
              <w:t xml:space="preserve">) </w:t>
            </w:r>
          </w:p>
        </w:tc>
        <w:tc>
          <w:tcPr>
            <w:tcW w:w="1476" w:type="dxa"/>
            <w:tcBorders>
              <w:top w:val="nil"/>
              <w:left w:val="single" w:sz="2" w:space="0" w:color="auto"/>
              <w:bottom w:val="single" w:sz="2" w:space="0" w:color="auto"/>
              <w:right w:val="single" w:sz="2" w:space="0" w:color="auto"/>
            </w:tcBorders>
            <w:shd w:val="clear" w:color="auto" w:fill="auto"/>
          </w:tcPr>
          <w:p w14:paraId="2E0A13B2" w14:textId="77777777" w:rsidR="004970AC" w:rsidRPr="00537CB3" w:rsidRDefault="004970AC" w:rsidP="00DB7680">
            <w:pPr>
              <w:bidi w:val="0"/>
              <w:spacing w:after="0" w:line="240" w:lineRule="auto"/>
              <w:jc w:val="center"/>
              <w:rPr>
                <w:rFonts w:asciiTheme="minorBidi" w:hAnsiTheme="minorBidi" w:cstheme="minorBidi"/>
                <w:sz w:val="18"/>
                <w:szCs w:val="18"/>
                <w:lang w:val="it-IT"/>
              </w:rPr>
            </w:pPr>
            <w:r w:rsidRPr="00537CB3">
              <w:rPr>
                <w:rFonts w:asciiTheme="minorBidi" w:hAnsiTheme="minorBidi" w:cstheme="minorBidi"/>
                <w:sz w:val="18"/>
                <w:szCs w:val="18"/>
                <w:lang w:val="it-IT"/>
              </w:rPr>
              <w:t>Identical</w:t>
            </w:r>
          </w:p>
        </w:tc>
        <w:tc>
          <w:tcPr>
            <w:tcW w:w="1151" w:type="dxa"/>
            <w:tcBorders>
              <w:top w:val="nil"/>
              <w:left w:val="single" w:sz="2" w:space="0" w:color="auto"/>
              <w:bottom w:val="single" w:sz="2" w:space="0" w:color="auto"/>
              <w:right w:val="single" w:sz="2" w:space="0" w:color="auto"/>
            </w:tcBorders>
          </w:tcPr>
          <w:p w14:paraId="53A25DC4" w14:textId="77777777" w:rsidR="004970AC" w:rsidRPr="00537CB3" w:rsidRDefault="004970AC" w:rsidP="00321776">
            <w:pPr>
              <w:bidi w:val="0"/>
              <w:spacing w:after="0" w:line="240" w:lineRule="auto"/>
              <w:jc w:val="center"/>
              <w:rPr>
                <w:rFonts w:asciiTheme="minorBidi" w:hAnsiTheme="minorBidi" w:cstheme="minorBidi"/>
                <w:sz w:val="18"/>
                <w:szCs w:val="18"/>
                <w:lang w:val="it-IT"/>
              </w:rPr>
            </w:pPr>
            <w:r w:rsidRPr="00537CB3">
              <w:rPr>
                <w:rFonts w:asciiTheme="minorBidi" w:hAnsiTheme="minorBidi" w:cstheme="minorBidi"/>
                <w:sz w:val="18"/>
                <w:szCs w:val="18"/>
                <w:lang w:val="it-IT"/>
              </w:rPr>
              <w:t>No (</w:t>
            </w:r>
            <w:r w:rsidR="00321776" w:rsidRPr="00537CB3">
              <w:rPr>
                <w:rFonts w:asciiTheme="minorBidi" w:hAnsiTheme="minorBidi" w:cstheme="minorBidi"/>
                <w:sz w:val="18"/>
                <w:szCs w:val="18"/>
                <w:lang w:val="it-IT"/>
              </w:rPr>
              <w:t>2021</w:t>
            </w:r>
            <w:r w:rsidRPr="00537CB3">
              <w:rPr>
                <w:rFonts w:asciiTheme="minorBidi" w:hAnsiTheme="minorBidi" w:cstheme="minorBidi"/>
                <w:sz w:val="18"/>
                <w:szCs w:val="18"/>
                <w:lang w:val="it-IT"/>
              </w:rPr>
              <w:t>)</w:t>
            </w:r>
          </w:p>
        </w:tc>
        <w:tc>
          <w:tcPr>
            <w:tcW w:w="1250" w:type="dxa"/>
            <w:tcBorders>
              <w:top w:val="nil"/>
              <w:left w:val="single" w:sz="2" w:space="0" w:color="auto"/>
              <w:bottom w:val="single" w:sz="2" w:space="0" w:color="auto"/>
              <w:right w:val="single" w:sz="2" w:space="0" w:color="auto"/>
            </w:tcBorders>
          </w:tcPr>
          <w:p w14:paraId="16F41AB2" w14:textId="77777777" w:rsidR="004970AC" w:rsidRPr="00537CB3" w:rsidRDefault="004970AC" w:rsidP="00DB7680">
            <w:pPr>
              <w:bidi w:val="0"/>
              <w:spacing w:after="0" w:line="240" w:lineRule="auto"/>
              <w:jc w:val="center"/>
              <w:rPr>
                <w:rFonts w:asciiTheme="minorBidi" w:hAnsiTheme="minorBidi" w:cstheme="minorBidi"/>
                <w:sz w:val="18"/>
                <w:szCs w:val="18"/>
                <w:lang w:val="it-IT"/>
              </w:rPr>
            </w:pPr>
            <w:r w:rsidRPr="00537CB3">
              <w:rPr>
                <w:rFonts w:asciiTheme="minorBidi" w:hAnsiTheme="minorBidi" w:cstheme="minorBidi"/>
                <w:sz w:val="18"/>
                <w:szCs w:val="18"/>
                <w:lang w:val="it-IT"/>
              </w:rPr>
              <w:t>No</w:t>
            </w:r>
          </w:p>
        </w:tc>
        <w:tc>
          <w:tcPr>
            <w:tcW w:w="1388" w:type="dxa"/>
            <w:tcBorders>
              <w:top w:val="nil"/>
              <w:left w:val="single" w:sz="2" w:space="0" w:color="auto"/>
              <w:bottom w:val="single" w:sz="2" w:space="0" w:color="auto"/>
            </w:tcBorders>
            <w:shd w:val="clear" w:color="auto" w:fill="auto"/>
          </w:tcPr>
          <w:p w14:paraId="2DB0E71F" w14:textId="77777777" w:rsidR="004970AC" w:rsidRPr="00537CB3" w:rsidRDefault="004970AC" w:rsidP="00DB7680">
            <w:pPr>
              <w:bidi w:val="0"/>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rPr>
              <w:t>No change</w:t>
            </w:r>
          </w:p>
        </w:tc>
      </w:tr>
      <w:tr w:rsidR="00121B1B" w:rsidRPr="00770C22" w14:paraId="20108033" w14:textId="77777777" w:rsidTr="00A45E6B">
        <w:trPr>
          <w:trHeight w:val="389"/>
          <w:jc w:val="center"/>
        </w:trPr>
        <w:tc>
          <w:tcPr>
            <w:tcW w:w="4021" w:type="dxa"/>
            <w:tcBorders>
              <w:top w:val="single" w:sz="2" w:space="0" w:color="auto"/>
              <w:bottom w:val="single" w:sz="2" w:space="0" w:color="auto"/>
              <w:right w:val="single" w:sz="2" w:space="0" w:color="auto"/>
            </w:tcBorders>
            <w:shd w:val="clear" w:color="auto" w:fill="auto"/>
          </w:tcPr>
          <w:p w14:paraId="5AADF086" w14:textId="77777777" w:rsidR="00121B1B" w:rsidRPr="00537CB3" w:rsidRDefault="00121B1B" w:rsidP="00121B1B">
            <w:pPr>
              <w:bidi w:val="0"/>
              <w:spacing w:after="0" w:line="240" w:lineRule="auto"/>
              <w:jc w:val="both"/>
              <w:rPr>
                <w:rFonts w:asciiTheme="minorBidi" w:hAnsiTheme="minorBidi" w:cstheme="minorBidi"/>
                <w:sz w:val="18"/>
                <w:szCs w:val="18"/>
              </w:rPr>
            </w:pPr>
            <w:r w:rsidRPr="00537CB3">
              <w:rPr>
                <w:rFonts w:asciiTheme="minorBidi" w:hAnsiTheme="minorBidi" w:cstheme="minorBidi"/>
                <w:b/>
                <w:bCs/>
                <w:sz w:val="18"/>
                <w:szCs w:val="18"/>
              </w:rPr>
              <w:lastRenderedPageBreak/>
              <w:t>Indicator 10.b.1</w:t>
            </w:r>
            <w:r w:rsidRPr="00537CB3">
              <w:rPr>
                <w:rFonts w:asciiTheme="minorBidi" w:hAnsiTheme="minorBidi" w:cstheme="minorBidi"/>
                <w:sz w:val="18"/>
                <w:szCs w:val="18"/>
              </w:rPr>
              <w:t xml:space="preserve">  Total resource flows for development, by recipient and donor countries and type of flow (e.g. official development assistance, foreign direct investment and other flows) (OECD, 2019, millions)</w:t>
            </w:r>
          </w:p>
        </w:tc>
        <w:tc>
          <w:tcPr>
            <w:tcW w:w="1476" w:type="dxa"/>
            <w:tcBorders>
              <w:top w:val="single" w:sz="2" w:space="0" w:color="auto"/>
              <w:left w:val="single" w:sz="2" w:space="0" w:color="auto"/>
              <w:bottom w:val="single" w:sz="2" w:space="0" w:color="auto"/>
              <w:right w:val="single" w:sz="2" w:space="0" w:color="auto"/>
            </w:tcBorders>
            <w:shd w:val="clear" w:color="auto" w:fill="auto"/>
            <w:vAlign w:val="center"/>
          </w:tcPr>
          <w:p w14:paraId="5DF12F27" w14:textId="77777777" w:rsidR="00121B1B" w:rsidRPr="00537CB3" w:rsidRDefault="00121B1B" w:rsidP="00121B1B">
            <w:pPr>
              <w:bidi w:val="0"/>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lang w:val="it-IT"/>
              </w:rPr>
              <w:t>Identical</w:t>
            </w:r>
          </w:p>
        </w:tc>
        <w:tc>
          <w:tcPr>
            <w:tcW w:w="1151" w:type="dxa"/>
            <w:tcBorders>
              <w:top w:val="single" w:sz="2" w:space="0" w:color="auto"/>
              <w:left w:val="single" w:sz="2" w:space="0" w:color="auto"/>
              <w:bottom w:val="single" w:sz="2" w:space="0" w:color="auto"/>
              <w:right w:val="single" w:sz="2" w:space="0" w:color="auto"/>
            </w:tcBorders>
          </w:tcPr>
          <w:p w14:paraId="08AAC948" w14:textId="77777777" w:rsidR="00121B1B" w:rsidRPr="00537CB3" w:rsidRDefault="00121B1B" w:rsidP="00121B1B">
            <w:pPr>
              <w:bidi w:val="0"/>
              <w:spacing w:after="0" w:line="240" w:lineRule="auto"/>
              <w:jc w:val="center"/>
              <w:rPr>
                <w:rFonts w:asciiTheme="minorBidi" w:hAnsiTheme="minorBidi" w:cstheme="minorBidi"/>
                <w:sz w:val="18"/>
                <w:szCs w:val="18"/>
                <w:rtl/>
                <w:lang w:val="it-IT"/>
              </w:rPr>
            </w:pPr>
            <w:r w:rsidRPr="00537CB3">
              <w:rPr>
                <w:rFonts w:asciiTheme="minorBidi" w:hAnsiTheme="minorBidi" w:cstheme="minorBidi" w:hint="cs"/>
                <w:sz w:val="18"/>
                <w:szCs w:val="18"/>
                <w:rtl/>
                <w:lang w:val="it-IT"/>
              </w:rPr>
              <w:t>2240.9 (</w:t>
            </w:r>
            <w:r w:rsidRPr="00537CB3">
              <w:rPr>
                <w:rFonts w:asciiTheme="minorBidi" w:hAnsiTheme="minorBidi" w:cstheme="minorBidi"/>
                <w:sz w:val="18"/>
                <w:szCs w:val="18"/>
                <w:lang w:val="it-IT"/>
              </w:rPr>
              <w:t>2018</w:t>
            </w:r>
            <w:r w:rsidRPr="00537CB3">
              <w:rPr>
                <w:rFonts w:asciiTheme="minorBidi" w:hAnsiTheme="minorBidi" w:cstheme="minorBidi" w:hint="cs"/>
                <w:sz w:val="18"/>
                <w:szCs w:val="18"/>
                <w:rtl/>
                <w:lang w:val="it-IT"/>
              </w:rPr>
              <w:t>)</w:t>
            </w:r>
          </w:p>
        </w:tc>
        <w:tc>
          <w:tcPr>
            <w:tcW w:w="1250" w:type="dxa"/>
            <w:tcBorders>
              <w:top w:val="single" w:sz="2" w:space="0" w:color="auto"/>
              <w:left w:val="single" w:sz="2" w:space="0" w:color="auto"/>
              <w:bottom w:val="single" w:sz="2" w:space="0" w:color="auto"/>
              <w:right w:val="single" w:sz="2" w:space="0" w:color="auto"/>
            </w:tcBorders>
          </w:tcPr>
          <w:p w14:paraId="1AF88808" w14:textId="77777777" w:rsidR="00121B1B" w:rsidRPr="00537CB3" w:rsidRDefault="00121B1B" w:rsidP="00121B1B">
            <w:pPr>
              <w:bidi w:val="0"/>
              <w:spacing w:after="0" w:line="240" w:lineRule="auto"/>
              <w:jc w:val="center"/>
              <w:rPr>
                <w:rFonts w:asciiTheme="minorBidi" w:hAnsiTheme="minorBidi" w:cstheme="minorBidi"/>
                <w:sz w:val="18"/>
                <w:szCs w:val="18"/>
                <w:rtl/>
                <w:lang w:val="it-IT"/>
              </w:rPr>
            </w:pPr>
            <w:r w:rsidRPr="00537CB3">
              <w:rPr>
                <w:rFonts w:asciiTheme="minorBidi" w:hAnsiTheme="minorBidi" w:cstheme="minorBidi"/>
                <w:sz w:val="18"/>
                <w:szCs w:val="18"/>
                <w:lang w:val="it-IT"/>
              </w:rPr>
              <w:t>2295.0</w:t>
            </w:r>
          </w:p>
        </w:tc>
        <w:tc>
          <w:tcPr>
            <w:tcW w:w="1388" w:type="dxa"/>
            <w:tcBorders>
              <w:top w:val="single" w:sz="2" w:space="0" w:color="auto"/>
              <w:left w:val="single" w:sz="2" w:space="0" w:color="auto"/>
              <w:bottom w:val="single" w:sz="2" w:space="0" w:color="auto"/>
            </w:tcBorders>
            <w:shd w:val="clear" w:color="auto" w:fill="auto"/>
            <w:vAlign w:val="center"/>
          </w:tcPr>
          <w:p w14:paraId="4B874936" w14:textId="77777777" w:rsidR="00121B1B" w:rsidRPr="00770C22" w:rsidRDefault="00121B1B" w:rsidP="00121B1B">
            <w:pPr>
              <w:bidi w:val="0"/>
              <w:spacing w:after="0" w:line="240" w:lineRule="auto"/>
              <w:jc w:val="center"/>
              <w:rPr>
                <w:rFonts w:asciiTheme="minorBidi" w:hAnsiTheme="minorBidi" w:cstheme="minorBidi"/>
                <w:b/>
                <w:bCs/>
                <w:spacing w:val="2"/>
                <w:sz w:val="18"/>
                <w:szCs w:val="18"/>
                <w:shd w:val="clear" w:color="auto" w:fill="FFFFFF"/>
              </w:rPr>
            </w:pPr>
            <w:r w:rsidRPr="00770C22">
              <w:rPr>
                <w:rFonts w:asciiTheme="minorBidi" w:hAnsiTheme="minorBidi" w:cstheme="minorBidi"/>
                <w:sz w:val="18"/>
                <w:szCs w:val="18"/>
              </w:rPr>
              <w:t>Increase</w:t>
            </w:r>
          </w:p>
        </w:tc>
      </w:tr>
      <w:tr w:rsidR="0071415F" w:rsidRPr="00770C22" w14:paraId="75003DBF" w14:textId="77777777" w:rsidTr="00121B1B">
        <w:trPr>
          <w:trHeight w:val="389"/>
          <w:jc w:val="center"/>
        </w:trPr>
        <w:tc>
          <w:tcPr>
            <w:tcW w:w="4021" w:type="dxa"/>
            <w:tcBorders>
              <w:top w:val="single" w:sz="2" w:space="0" w:color="auto"/>
              <w:bottom w:val="single" w:sz="4" w:space="0" w:color="auto"/>
              <w:right w:val="single" w:sz="2" w:space="0" w:color="auto"/>
            </w:tcBorders>
            <w:shd w:val="clear" w:color="auto" w:fill="auto"/>
          </w:tcPr>
          <w:p w14:paraId="3412E75D" w14:textId="77777777" w:rsidR="0071415F" w:rsidRPr="00770C22" w:rsidRDefault="0071415F" w:rsidP="003B7793">
            <w:pPr>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t>Indicator 10.c.1</w:t>
            </w:r>
            <w:r w:rsidRPr="00770C22">
              <w:rPr>
                <w:rFonts w:asciiTheme="minorBidi" w:hAnsiTheme="minorBidi" w:cstheme="minorBidi"/>
                <w:sz w:val="18"/>
                <w:szCs w:val="18"/>
              </w:rPr>
              <w:t xml:space="preserve"> Remittance costs as a proportion of the amount remitted </w:t>
            </w:r>
            <w:r w:rsidR="003B7793" w:rsidRPr="00770C22">
              <w:rPr>
                <w:rFonts w:asciiTheme="minorBidi" w:hAnsiTheme="minorBidi" w:cstheme="minorBidi"/>
                <w:sz w:val="18"/>
                <w:szCs w:val="18"/>
              </w:rPr>
              <w:t>(UNSD</w:t>
            </w:r>
            <w:r w:rsidRPr="00770C22">
              <w:rPr>
                <w:rFonts w:asciiTheme="minorBidi" w:hAnsiTheme="minorBidi" w:cstheme="minorBidi"/>
                <w:sz w:val="18"/>
                <w:szCs w:val="18"/>
              </w:rPr>
              <w:t xml:space="preserve">, 2020,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76" w:type="dxa"/>
            <w:tcBorders>
              <w:top w:val="single" w:sz="2" w:space="0" w:color="auto"/>
              <w:left w:val="single" w:sz="2" w:space="0" w:color="auto"/>
              <w:bottom w:val="single" w:sz="4" w:space="0" w:color="auto"/>
              <w:right w:val="single" w:sz="2" w:space="0" w:color="auto"/>
            </w:tcBorders>
            <w:shd w:val="clear" w:color="auto" w:fill="auto"/>
            <w:vAlign w:val="center"/>
          </w:tcPr>
          <w:p w14:paraId="5442B586"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sz w:val="18"/>
                <w:szCs w:val="18"/>
                <w:lang w:val="it-IT"/>
              </w:rPr>
              <w:t>Identical</w:t>
            </w:r>
          </w:p>
        </w:tc>
        <w:tc>
          <w:tcPr>
            <w:tcW w:w="1151" w:type="dxa"/>
            <w:tcBorders>
              <w:top w:val="single" w:sz="2" w:space="0" w:color="auto"/>
              <w:left w:val="single" w:sz="2" w:space="0" w:color="auto"/>
              <w:bottom w:val="single" w:sz="4" w:space="0" w:color="auto"/>
              <w:right w:val="single" w:sz="2" w:space="0" w:color="auto"/>
            </w:tcBorders>
            <w:vAlign w:val="center"/>
          </w:tcPr>
          <w:p w14:paraId="1E3AAE3F" w14:textId="77777777" w:rsidR="0071415F" w:rsidRPr="00770C22" w:rsidRDefault="0071415F" w:rsidP="003B7793">
            <w:pPr>
              <w:bidi w:val="0"/>
              <w:spacing w:after="0" w:line="240" w:lineRule="auto"/>
              <w:jc w:val="center"/>
              <w:rPr>
                <w:rFonts w:asciiTheme="minorBidi" w:hAnsiTheme="minorBidi" w:cstheme="minorBidi"/>
                <w:color w:val="000000"/>
                <w:sz w:val="18"/>
                <w:szCs w:val="18"/>
                <w:rtl/>
                <w:lang w:val="it-IT"/>
              </w:rPr>
            </w:pPr>
            <w:r w:rsidRPr="00770C22">
              <w:rPr>
                <w:rFonts w:asciiTheme="minorBidi" w:hAnsiTheme="minorBidi" w:cstheme="minorBidi"/>
                <w:sz w:val="18"/>
                <w:szCs w:val="18"/>
                <w:lang w:val="it-IT"/>
              </w:rPr>
              <w:t>6.09 (2019)</w:t>
            </w:r>
          </w:p>
        </w:tc>
        <w:tc>
          <w:tcPr>
            <w:tcW w:w="1250" w:type="dxa"/>
            <w:tcBorders>
              <w:top w:val="single" w:sz="2" w:space="0" w:color="auto"/>
              <w:left w:val="single" w:sz="2" w:space="0" w:color="auto"/>
              <w:bottom w:val="single" w:sz="4" w:space="0" w:color="auto"/>
              <w:right w:val="single" w:sz="2" w:space="0" w:color="auto"/>
            </w:tcBorders>
            <w:vAlign w:val="center"/>
          </w:tcPr>
          <w:p w14:paraId="4C3B7530" w14:textId="77777777" w:rsidR="0071415F" w:rsidRPr="00770C22" w:rsidRDefault="0071415F" w:rsidP="003B7793">
            <w:pPr>
              <w:bidi w:val="0"/>
              <w:spacing w:after="0" w:line="240" w:lineRule="auto"/>
              <w:jc w:val="center"/>
              <w:rPr>
                <w:rFonts w:asciiTheme="minorBidi" w:hAnsiTheme="minorBidi" w:cstheme="minorBidi"/>
                <w:color w:val="000000"/>
                <w:sz w:val="18"/>
                <w:szCs w:val="18"/>
                <w:rtl/>
                <w:lang w:val="it-IT"/>
              </w:rPr>
            </w:pPr>
            <w:r w:rsidRPr="00770C22">
              <w:rPr>
                <w:rFonts w:asciiTheme="minorBidi" w:hAnsiTheme="minorBidi" w:cstheme="minorBidi"/>
                <w:sz w:val="18"/>
                <w:szCs w:val="18"/>
                <w:lang w:val="it-IT"/>
              </w:rPr>
              <w:t>6.7</w:t>
            </w:r>
          </w:p>
        </w:tc>
        <w:tc>
          <w:tcPr>
            <w:tcW w:w="1388" w:type="dxa"/>
            <w:tcBorders>
              <w:top w:val="single" w:sz="2" w:space="0" w:color="auto"/>
              <w:left w:val="single" w:sz="2" w:space="0" w:color="auto"/>
              <w:bottom w:val="single" w:sz="4" w:space="0" w:color="auto"/>
            </w:tcBorders>
            <w:shd w:val="clear" w:color="auto" w:fill="auto"/>
            <w:vAlign w:val="center"/>
          </w:tcPr>
          <w:p w14:paraId="200B8529" w14:textId="77777777" w:rsidR="0071415F" w:rsidRPr="00770C22" w:rsidRDefault="0071415F" w:rsidP="0071415F">
            <w:pPr>
              <w:bidi w:val="0"/>
              <w:spacing w:after="0" w:line="240" w:lineRule="auto"/>
              <w:jc w:val="center"/>
              <w:rPr>
                <w:rFonts w:asciiTheme="minorBidi" w:hAnsiTheme="minorBidi" w:cstheme="minorBidi"/>
                <w:sz w:val="18"/>
                <w:szCs w:val="18"/>
                <w:rtl/>
                <w:lang w:val="it-IT"/>
              </w:rPr>
            </w:pPr>
            <w:r w:rsidRPr="00770C22">
              <w:rPr>
                <w:rFonts w:asciiTheme="minorBidi" w:hAnsiTheme="minorBidi" w:cstheme="minorBidi"/>
                <w:sz w:val="18"/>
                <w:szCs w:val="18"/>
              </w:rPr>
              <w:t>Increase</w:t>
            </w:r>
          </w:p>
        </w:tc>
      </w:tr>
    </w:tbl>
    <w:p w14:paraId="254DD002"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3531ADE0"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b. Reported </w:t>
      </w:r>
      <w:r w:rsidR="00305B56">
        <w:rPr>
          <w:rFonts w:ascii="Times New Roman" w:hAnsi="Times New Roman" w:cs="Times New Roman"/>
          <w:b/>
          <w:bCs/>
          <w:sz w:val="24"/>
          <w:szCs w:val="24"/>
        </w:rPr>
        <w:t>i</w:t>
      </w:r>
      <w:r w:rsidRPr="00540428">
        <w:rPr>
          <w:rFonts w:ascii="Times New Roman" w:hAnsi="Times New Roman" w:cs="Times New Roman"/>
          <w:b/>
          <w:bCs/>
          <w:sz w:val="24"/>
          <w:szCs w:val="24"/>
        </w:rPr>
        <w:t xml:space="preserve">ndicators by </w:t>
      </w:r>
      <w:r w:rsidR="00305B56">
        <w:rPr>
          <w:rFonts w:ascii="Times New Roman" w:hAnsi="Times New Roman" w:cs="Times New Roman"/>
          <w:b/>
          <w:bCs/>
          <w:sz w:val="24"/>
          <w:szCs w:val="24"/>
        </w:rPr>
        <w:t>o</w:t>
      </w:r>
      <w:r>
        <w:rPr>
          <w:rFonts w:ascii="Times New Roman" w:hAnsi="Times New Roman" w:cs="Times New Roman"/>
          <w:b/>
          <w:bCs/>
          <w:sz w:val="24"/>
          <w:szCs w:val="24"/>
        </w:rPr>
        <w:t xml:space="preserve">ther </w:t>
      </w:r>
      <w:r w:rsidR="00305B56">
        <w:rPr>
          <w:rFonts w:ascii="Times New Roman" w:hAnsi="Times New Roman" w:cs="Times New Roman"/>
          <w:b/>
          <w:bCs/>
          <w:sz w:val="24"/>
          <w:szCs w:val="24"/>
        </w:rPr>
        <w:t>s</w:t>
      </w:r>
      <w:r>
        <w:rPr>
          <w:rFonts w:ascii="Times New Roman" w:hAnsi="Times New Roman" w:cs="Times New Roman"/>
          <w:b/>
          <w:bCs/>
          <w:sz w:val="24"/>
          <w:szCs w:val="24"/>
        </w:rPr>
        <w:t>ources</w:t>
      </w:r>
    </w:p>
    <w:p w14:paraId="4DE83959" w14:textId="77777777" w:rsidR="0071415F" w:rsidRPr="00FF452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 are</w:t>
      </w:r>
      <w:r w:rsidR="00305B56">
        <w:rPr>
          <w:rFonts w:ascii="Times New Roman" w:hAnsi="Times New Roman" w:cs="Times New Roman"/>
          <w:sz w:val="24"/>
          <w:szCs w:val="24"/>
        </w:rPr>
        <w:t xml:space="preserve">two </w:t>
      </w:r>
      <w:r>
        <w:rPr>
          <w:rFonts w:ascii="Times New Roman" w:hAnsi="Times New Roman" w:cs="Times New Roman"/>
          <w:sz w:val="24"/>
          <w:szCs w:val="24"/>
        </w:rPr>
        <w:t xml:space="preserve">additionalreported </w:t>
      </w:r>
      <w:r w:rsidRPr="00C134AE">
        <w:rPr>
          <w:rFonts w:ascii="Times New Roman" w:hAnsi="Times New Roman" w:cs="Times New Roman"/>
          <w:sz w:val="24"/>
          <w:szCs w:val="24"/>
        </w:rPr>
        <w:t>indicators by</w:t>
      </w:r>
      <w:r>
        <w:rPr>
          <w:rFonts w:ascii="Times New Roman" w:hAnsi="Times New Roman" w:cs="Times New Roman"/>
          <w:sz w:val="24"/>
          <w:szCs w:val="24"/>
        </w:rPr>
        <w:t xml:space="preserve"> other sources that </w:t>
      </w:r>
      <w:r w:rsidR="00305B56">
        <w:rPr>
          <w:rFonts w:ascii="Times New Roman" w:hAnsi="Times New Roman" w:cs="Times New Roman"/>
          <w:sz w:val="24"/>
          <w:szCs w:val="24"/>
        </w:rPr>
        <w:t xml:space="preserve">are </w:t>
      </w:r>
      <w:r>
        <w:rPr>
          <w:rFonts w:ascii="Times New Roman" w:hAnsi="Times New Roman" w:cs="Times New Roman"/>
          <w:sz w:val="24"/>
          <w:szCs w:val="24"/>
        </w:rPr>
        <w:t>available on</w:t>
      </w:r>
      <w:r w:rsidRPr="00372F68">
        <w:rPr>
          <w:rFonts w:ascii="Times New Roman" w:hAnsi="Times New Roman" w:cs="Times New Roman"/>
          <w:sz w:val="24"/>
          <w:szCs w:val="24"/>
        </w:rPr>
        <w:t>UNSD-Database</w:t>
      </w:r>
      <w:r>
        <w:rPr>
          <w:rFonts w:ascii="Times New Roman" w:hAnsi="Times New Roman" w:cs="Times New Roman"/>
          <w:sz w:val="24"/>
          <w:szCs w:val="24"/>
        </w:rPr>
        <w:t xml:space="preserve"> for Goal 10 </w:t>
      </w:r>
      <w:r w:rsidRPr="00C134AE">
        <w:rPr>
          <w:rFonts w:ascii="Times New Roman" w:hAnsi="Times New Roman" w:cs="Times New Roman"/>
          <w:sz w:val="24"/>
          <w:szCs w:val="24"/>
        </w:rPr>
        <w:t xml:space="preserve">referring to </w:t>
      </w:r>
      <w:r w:rsidR="00305B56">
        <w:rPr>
          <w:rFonts w:ascii="Times New Roman" w:hAnsi="Times New Roman" w:cs="Times New Roman"/>
          <w:sz w:val="24"/>
          <w:szCs w:val="24"/>
        </w:rPr>
        <w:t>two</w:t>
      </w:r>
      <w:r w:rsidRPr="00C134AE">
        <w:rPr>
          <w:rFonts w:ascii="Times New Roman" w:hAnsi="Times New Roman" w:cs="Times New Roman"/>
          <w:sz w:val="24"/>
          <w:szCs w:val="24"/>
        </w:rPr>
        <w:t xml:space="preserve">of the </w:t>
      </w:r>
      <w:r>
        <w:rPr>
          <w:rFonts w:ascii="Times New Roman" w:hAnsi="Times New Roman" w:cs="Times New Roman"/>
          <w:sz w:val="24"/>
          <w:szCs w:val="24"/>
        </w:rPr>
        <w:t>10</w:t>
      </w:r>
      <w:r w:rsidRPr="00C134AE">
        <w:rPr>
          <w:rFonts w:ascii="Times New Roman" w:hAnsi="Times New Roman" w:cs="Times New Roman"/>
          <w:sz w:val="24"/>
          <w:szCs w:val="24"/>
        </w:rPr>
        <w:t xml:space="preserve"> targets</w:t>
      </w:r>
      <w:r w:rsidR="00F97268">
        <w:rPr>
          <w:rFonts w:ascii="Times New Roman" w:hAnsi="Times New Roman" w:cs="Times New Roman"/>
          <w:sz w:val="24"/>
          <w:szCs w:val="24"/>
        </w:rPr>
        <w:t>; t</w:t>
      </w:r>
      <w:r w:rsidRPr="00FF452D">
        <w:rPr>
          <w:rFonts w:ascii="Times New Roman" w:hAnsi="Times New Roman" w:cs="Times New Roman"/>
          <w:sz w:val="24"/>
          <w:szCs w:val="24"/>
        </w:rPr>
        <w:t xml:space="preserve">herefore, 90.0% of the goal targets (nineout of </w:t>
      </w:r>
      <w:r w:rsidR="00F97268">
        <w:rPr>
          <w:rFonts w:ascii="Times New Roman" w:hAnsi="Times New Roman" w:cs="Times New Roman"/>
          <w:sz w:val="24"/>
          <w:szCs w:val="24"/>
        </w:rPr>
        <w:t>10</w:t>
      </w:r>
      <w:r w:rsidRPr="00FF452D">
        <w:rPr>
          <w:rFonts w:ascii="Times New Roman" w:hAnsi="Times New Roman" w:cs="Times New Roman"/>
          <w:sz w:val="24"/>
          <w:szCs w:val="24"/>
        </w:rPr>
        <w:t xml:space="preserve">) </w:t>
      </w:r>
      <w:r w:rsidR="00305B56">
        <w:rPr>
          <w:rFonts w:ascii="Times New Roman" w:hAnsi="Times New Roman" w:cs="Times New Roman"/>
          <w:sz w:val="24"/>
          <w:szCs w:val="24"/>
        </w:rPr>
        <w:t xml:space="preserve">have either </w:t>
      </w:r>
      <w:r w:rsidRPr="00FF452D">
        <w:rPr>
          <w:rFonts w:ascii="Times New Roman" w:hAnsi="Times New Roman" w:cs="Times New Roman"/>
          <w:sz w:val="24"/>
          <w:szCs w:val="24"/>
        </w:rPr>
        <w:t>been fully or partially</w:t>
      </w:r>
      <w:r w:rsidR="00305B56">
        <w:rPr>
          <w:rFonts w:ascii="Times New Roman" w:hAnsi="Times New Roman" w:cs="Times New Roman"/>
          <w:sz w:val="24"/>
          <w:szCs w:val="24"/>
        </w:rPr>
        <w:t xml:space="preserve"> covered.</w:t>
      </w:r>
    </w:p>
    <w:p w14:paraId="60ECF667" w14:textId="77777777" w:rsidR="0071415F" w:rsidRPr="00FF452D" w:rsidRDefault="0071415F" w:rsidP="0071415F">
      <w:pPr>
        <w:autoSpaceDE w:val="0"/>
        <w:autoSpaceDN w:val="0"/>
        <w:bidi w:val="0"/>
        <w:adjustRightInd w:val="0"/>
        <w:spacing w:after="0" w:line="240" w:lineRule="auto"/>
        <w:jc w:val="both"/>
        <w:rPr>
          <w:rFonts w:ascii="Times New Roman" w:hAnsi="Times New Roman" w:cs="Times New Roman"/>
          <w:bCs/>
          <w:iCs/>
          <w:sz w:val="24"/>
          <w:szCs w:val="24"/>
        </w:rPr>
      </w:pPr>
    </w:p>
    <w:p w14:paraId="7DB5BCE8" w14:textId="77777777" w:rsidR="0071415F" w:rsidRPr="00770C22" w:rsidRDefault="0071415F" w:rsidP="0071415F">
      <w:pPr>
        <w:bidi w:val="0"/>
        <w:spacing w:after="0" w:line="240" w:lineRule="auto"/>
        <w:jc w:val="center"/>
        <w:rPr>
          <w:rFonts w:asciiTheme="minorBidi" w:hAnsiTheme="minorBidi" w:cstheme="minorBidi"/>
          <w:b/>
          <w:bCs/>
          <w:lang w:eastAsia="ar-SA"/>
        </w:rPr>
      </w:pPr>
      <w:r w:rsidRPr="00770C22">
        <w:rPr>
          <w:rFonts w:asciiTheme="minorBidi" w:hAnsiTheme="minorBidi" w:cstheme="minorBidi"/>
          <w:b/>
          <w:bCs/>
          <w:lang w:eastAsia="ar-SA"/>
        </w:rPr>
        <w:t xml:space="preserve">Table </w:t>
      </w:r>
      <w:r w:rsidRPr="00770C22">
        <w:rPr>
          <w:rFonts w:asciiTheme="minorBidi" w:hAnsiTheme="minorBidi" w:cstheme="minorBidi"/>
          <w:b/>
          <w:bCs/>
          <w:rtl/>
          <w:lang w:eastAsia="ar-SA"/>
        </w:rPr>
        <w:t>10.2</w:t>
      </w:r>
      <w:r w:rsidRPr="00770C22">
        <w:rPr>
          <w:rFonts w:asciiTheme="minorBidi" w:hAnsiTheme="minorBidi" w:cstheme="minorBidi"/>
          <w:b/>
          <w:bCs/>
          <w:lang w:eastAsia="ar-SA"/>
        </w:rPr>
        <w:t xml:space="preserve">: List of SDGs </w:t>
      </w:r>
      <w:r w:rsidR="00F97268">
        <w:rPr>
          <w:rFonts w:asciiTheme="minorBidi" w:hAnsiTheme="minorBidi" w:cstheme="minorBidi"/>
          <w:b/>
          <w:bCs/>
          <w:lang w:eastAsia="ar-SA"/>
        </w:rPr>
        <w:t>I</w:t>
      </w:r>
      <w:r w:rsidRPr="00770C22">
        <w:rPr>
          <w:rFonts w:asciiTheme="minorBidi" w:hAnsiTheme="minorBidi" w:cstheme="minorBidi"/>
          <w:b/>
          <w:bCs/>
          <w:lang w:eastAsia="ar-SA"/>
        </w:rPr>
        <w:t xml:space="preserve">ndicators </w:t>
      </w:r>
      <w:r w:rsidR="00305B56">
        <w:rPr>
          <w:rFonts w:asciiTheme="minorBidi" w:hAnsiTheme="minorBidi" w:cstheme="minorBidi"/>
          <w:b/>
          <w:bCs/>
          <w:lang w:eastAsia="ar-SA"/>
        </w:rPr>
        <w:t>R</w:t>
      </w:r>
      <w:r w:rsidRPr="00770C22">
        <w:rPr>
          <w:rFonts w:asciiTheme="minorBidi" w:hAnsiTheme="minorBidi" w:cstheme="minorBidi"/>
          <w:b/>
          <w:bCs/>
          <w:lang w:eastAsia="ar-SA"/>
        </w:rPr>
        <w:t xml:space="preserve">eleased by </w:t>
      </w:r>
      <w:r w:rsidRPr="00770C22">
        <w:rPr>
          <w:rFonts w:asciiTheme="minorBidi" w:hAnsiTheme="minorBidi" w:cstheme="minorBidi"/>
          <w:b/>
          <w:bCs/>
        </w:rPr>
        <w:t>Other Sources</w:t>
      </w:r>
    </w:p>
    <w:p w14:paraId="401D1B46"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0D2E4D" w14:paraId="7B06F51C" w14:textId="77777777" w:rsidTr="00B73637">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AC242C"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61F47A5C" w14:textId="77777777" w:rsidR="0071415F" w:rsidRPr="00372F68" w:rsidRDefault="0071415F" w:rsidP="0071415F">
            <w:pPr>
              <w:bidi w:val="0"/>
              <w:spacing w:after="0" w:line="240" w:lineRule="auto"/>
              <w:jc w:val="center"/>
            </w:pPr>
            <w:r w:rsidRPr="00372F68">
              <w:rPr>
                <w:rFonts w:ascii="Arial" w:hAnsi="Arial"/>
                <w:b/>
                <w:bCs/>
                <w:sz w:val="18"/>
                <w:szCs w:val="18"/>
              </w:rPr>
              <w:t>Most Recent Year</w:t>
            </w:r>
          </w:p>
        </w:tc>
      </w:tr>
      <w:tr w:rsidR="0071415F" w:rsidRPr="000D2E4D" w14:paraId="708CBD80" w14:textId="77777777" w:rsidTr="00B73637">
        <w:trPr>
          <w:trHeight w:val="432"/>
        </w:trPr>
        <w:tc>
          <w:tcPr>
            <w:tcW w:w="6826" w:type="dxa"/>
            <w:tcBorders>
              <w:top w:val="single" w:sz="4" w:space="0" w:color="auto"/>
              <w:left w:val="single" w:sz="4" w:space="0" w:color="auto"/>
              <w:right w:val="single" w:sz="4" w:space="0" w:color="auto"/>
            </w:tcBorders>
            <w:shd w:val="clear" w:color="auto" w:fill="auto"/>
            <w:noWrap/>
            <w:vAlign w:val="center"/>
          </w:tcPr>
          <w:p w14:paraId="54F61D45" w14:textId="77777777" w:rsidR="0071415F" w:rsidRPr="00080517" w:rsidRDefault="0071415F" w:rsidP="00B73637">
            <w:pPr>
              <w:tabs>
                <w:tab w:val="left" w:pos="9072"/>
              </w:tabs>
              <w:bidi w:val="0"/>
              <w:spacing w:after="0" w:line="240" w:lineRule="auto"/>
              <w:rPr>
                <w:rFonts w:ascii="Arial" w:hAnsi="Arial"/>
                <w:color w:val="000000"/>
                <w:sz w:val="18"/>
                <w:szCs w:val="18"/>
              </w:rPr>
            </w:pPr>
            <w:r w:rsidRPr="00080517">
              <w:rPr>
                <w:rFonts w:ascii="Arial" w:hAnsi="Arial"/>
                <w:b/>
                <w:sz w:val="18"/>
                <w:szCs w:val="18"/>
              </w:rPr>
              <w:t>Indicator</w:t>
            </w:r>
            <w:r w:rsidRPr="001D5BA6">
              <w:rPr>
                <w:rFonts w:ascii="Arial" w:hAnsi="Arial"/>
                <w:b/>
                <w:bCs/>
                <w:sz w:val="18"/>
                <w:szCs w:val="18"/>
              </w:rPr>
              <w:t>10.4.1</w:t>
            </w:r>
            <w:r w:rsidRPr="003E4D77">
              <w:rPr>
                <w:rFonts w:ascii="Arial" w:hAnsi="Arial"/>
                <w:sz w:val="18"/>
                <w:szCs w:val="18"/>
              </w:rPr>
              <w:t>Labour share of GDP</w:t>
            </w:r>
          </w:p>
        </w:tc>
        <w:tc>
          <w:tcPr>
            <w:tcW w:w="2234" w:type="dxa"/>
            <w:tcBorders>
              <w:top w:val="single" w:sz="4" w:space="0" w:color="auto"/>
              <w:left w:val="nil"/>
              <w:right w:val="single" w:sz="4" w:space="0" w:color="auto"/>
            </w:tcBorders>
            <w:vAlign w:val="center"/>
          </w:tcPr>
          <w:p w14:paraId="00CDC1B4" w14:textId="77777777" w:rsidR="0071415F" w:rsidRPr="00080517" w:rsidRDefault="0071415F" w:rsidP="00B73637">
            <w:pPr>
              <w:spacing w:after="0" w:line="240" w:lineRule="auto"/>
              <w:ind w:right="57"/>
              <w:jc w:val="center"/>
              <w:rPr>
                <w:rFonts w:ascii="Arial" w:hAnsi="Arial"/>
                <w:color w:val="000000"/>
                <w:sz w:val="18"/>
                <w:szCs w:val="18"/>
              </w:rPr>
            </w:pPr>
            <w:r>
              <w:rPr>
                <w:rFonts w:ascii="Arial" w:hAnsi="Arial" w:hint="cs"/>
                <w:color w:val="000000"/>
                <w:sz w:val="18"/>
                <w:szCs w:val="18"/>
                <w:rtl/>
              </w:rPr>
              <w:t>2019</w:t>
            </w:r>
          </w:p>
        </w:tc>
      </w:tr>
      <w:tr w:rsidR="0071415F" w:rsidRPr="000D2E4D" w14:paraId="322A776F" w14:textId="77777777" w:rsidTr="00B73637">
        <w:trPr>
          <w:trHeight w:val="432"/>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D0A9" w14:textId="77777777" w:rsidR="0071415F" w:rsidRPr="00080517" w:rsidRDefault="0071415F" w:rsidP="00B73637">
            <w:pPr>
              <w:tabs>
                <w:tab w:val="left" w:pos="9072"/>
              </w:tabs>
              <w:bidi w:val="0"/>
              <w:spacing w:after="0" w:line="240" w:lineRule="auto"/>
              <w:rPr>
                <w:rFonts w:ascii="Arial" w:hAnsi="Arial"/>
                <w:color w:val="000000"/>
                <w:sz w:val="18"/>
                <w:szCs w:val="18"/>
              </w:rPr>
            </w:pPr>
            <w:r w:rsidRPr="005127E8">
              <w:rPr>
                <w:rFonts w:ascii="Arial" w:hAnsi="Arial"/>
                <w:b/>
                <w:sz w:val="18"/>
                <w:szCs w:val="18"/>
              </w:rPr>
              <w:t>Indicator</w:t>
            </w:r>
            <w:r w:rsidRPr="001D5BA6">
              <w:rPr>
                <w:rFonts w:ascii="Arial" w:hAnsi="Arial"/>
                <w:b/>
                <w:color w:val="000000"/>
                <w:sz w:val="18"/>
                <w:szCs w:val="18"/>
              </w:rPr>
              <w:t>10.a.1</w:t>
            </w:r>
            <w:r w:rsidRPr="004F4453">
              <w:rPr>
                <w:rFonts w:ascii="Arial" w:hAnsi="Arial"/>
                <w:color w:val="000000"/>
                <w:sz w:val="18"/>
                <w:szCs w:val="18"/>
              </w:rPr>
              <w:t xml:space="preserve"> Proportion of tariff lines applied to imports from least developed countries and developing countries with zero-tariff</w:t>
            </w:r>
          </w:p>
        </w:tc>
        <w:tc>
          <w:tcPr>
            <w:tcW w:w="2234" w:type="dxa"/>
            <w:tcBorders>
              <w:top w:val="single" w:sz="4" w:space="0" w:color="auto"/>
              <w:left w:val="nil"/>
              <w:bottom w:val="single" w:sz="4" w:space="0" w:color="auto"/>
              <w:right w:val="single" w:sz="4" w:space="0" w:color="auto"/>
            </w:tcBorders>
            <w:vAlign w:val="center"/>
          </w:tcPr>
          <w:p w14:paraId="04A7BDD6" w14:textId="77777777" w:rsidR="0071415F" w:rsidRPr="00080517" w:rsidRDefault="00321776" w:rsidP="00B73637">
            <w:pPr>
              <w:tabs>
                <w:tab w:val="left" w:pos="9072"/>
              </w:tabs>
              <w:spacing w:after="0" w:line="240" w:lineRule="auto"/>
              <w:ind w:right="57"/>
              <w:jc w:val="center"/>
              <w:rPr>
                <w:rFonts w:ascii="Arial" w:hAnsi="Arial"/>
                <w:color w:val="000000"/>
                <w:sz w:val="18"/>
                <w:szCs w:val="18"/>
                <w:rtl/>
              </w:rPr>
            </w:pPr>
            <w:r>
              <w:rPr>
                <w:rFonts w:ascii="Arial" w:hAnsi="Arial"/>
                <w:color w:val="000000"/>
                <w:sz w:val="18"/>
                <w:szCs w:val="18"/>
              </w:rPr>
              <w:t>2020</w:t>
            </w:r>
          </w:p>
        </w:tc>
      </w:tr>
    </w:tbl>
    <w:p w14:paraId="2234BC1C"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bCs/>
          <w:iCs/>
          <w:sz w:val="24"/>
          <w:szCs w:val="24"/>
        </w:rPr>
      </w:pPr>
    </w:p>
    <w:p w14:paraId="5C214F65"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195DAC">
        <w:rPr>
          <w:rFonts w:ascii="Times New Roman" w:hAnsi="Times New Roman" w:cs="Times New Roman"/>
          <w:b/>
          <w:bCs/>
          <w:i/>
          <w:iCs/>
          <w:sz w:val="24"/>
          <w:szCs w:val="24"/>
        </w:rPr>
        <w:t>Indicator 10.1.1 Growth rates of household expenditure or income per capita among the bottom 40</w:t>
      </w:r>
      <w:r w:rsidR="00305B56">
        <w:rPr>
          <w:rFonts w:ascii="Times New Roman" w:hAnsi="Times New Roman" w:cs="Times New Roman"/>
          <w:b/>
          <w:bCs/>
          <w:i/>
          <w:iCs/>
          <w:sz w:val="24"/>
          <w:szCs w:val="24"/>
        </w:rPr>
        <w:t>%</w:t>
      </w:r>
      <w:r w:rsidRPr="00195DAC">
        <w:rPr>
          <w:rFonts w:ascii="Times New Roman" w:hAnsi="Times New Roman" w:cs="Times New Roman"/>
          <w:b/>
          <w:bCs/>
          <w:i/>
          <w:iCs/>
          <w:sz w:val="24"/>
          <w:szCs w:val="24"/>
        </w:rPr>
        <w:t xml:space="preserve"> of the population and the total population</w:t>
      </w:r>
    </w:p>
    <w:p w14:paraId="04EFABA3" w14:textId="77777777" w:rsidR="00A92234" w:rsidRPr="00195DAC"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79984CC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The growth rate of household expenditure per capita among the bottom 40% of the population decreased by 9% in 2017 compared to 2009.</w:t>
      </w:r>
    </w:p>
    <w:p w14:paraId="62C74457" w14:textId="77777777" w:rsidR="0071415F" w:rsidRDefault="0071415F" w:rsidP="0071415F">
      <w:pPr>
        <w:tabs>
          <w:tab w:val="left" w:pos="9072"/>
        </w:tabs>
        <w:bidi w:val="0"/>
        <w:spacing w:after="0" w:line="240" w:lineRule="auto"/>
        <w:jc w:val="center"/>
        <w:rPr>
          <w:rFonts w:ascii="Arial" w:hAnsi="Arial"/>
          <w:b/>
          <w:bCs/>
        </w:rPr>
      </w:pPr>
    </w:p>
    <w:p w14:paraId="11959ECA"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Share of Poorest 40% Expenditure </w:t>
      </w:r>
      <w:r w:rsidR="00305B56">
        <w:rPr>
          <w:rFonts w:ascii="Arial" w:hAnsi="Arial"/>
          <w:b/>
          <w:bCs/>
        </w:rPr>
        <w:t>A</w:t>
      </w:r>
      <w:r w:rsidRPr="00422BE3">
        <w:rPr>
          <w:rFonts w:ascii="Arial" w:hAnsi="Arial"/>
          <w:b/>
          <w:bCs/>
        </w:rPr>
        <w:t xml:space="preserve">mong Total Population </w:t>
      </w:r>
      <w:r w:rsidR="00C66B88" w:rsidRPr="00422BE3">
        <w:rPr>
          <w:rFonts w:ascii="Arial" w:hAnsi="Arial"/>
          <w:b/>
          <w:bCs/>
        </w:rPr>
        <w:t>Expenditure, for</w:t>
      </w:r>
      <w:r w:rsidRPr="00422BE3">
        <w:rPr>
          <w:rFonts w:ascii="Arial" w:hAnsi="Arial"/>
          <w:b/>
          <w:bCs/>
        </w:rPr>
        <w:t xml:space="preserve">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041A28AC" w14:textId="77777777" w:rsidTr="0071415F">
        <w:tc>
          <w:tcPr>
            <w:tcW w:w="9286" w:type="dxa"/>
            <w:shd w:val="clear" w:color="auto" w:fill="auto"/>
          </w:tcPr>
          <w:p w14:paraId="33F9756A"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14:anchorId="7EB64C40" wp14:editId="3298236B">
                  <wp:extent cx="5677535" cy="2131060"/>
                  <wp:effectExtent l="0" t="0" r="0" b="2540"/>
                  <wp:docPr id="98" name="Chart 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bl>
    <w:p w14:paraId="7A96F4B2" w14:textId="77777777" w:rsidR="0071415F" w:rsidRDefault="0071415F" w:rsidP="00A608B4">
      <w:pPr>
        <w:bidi w:val="0"/>
        <w:spacing w:after="0" w:line="240" w:lineRule="auto"/>
        <w:ind w:left="720" w:hanging="720"/>
        <w:jc w:val="both"/>
        <w:rPr>
          <w:rFonts w:ascii="Arial" w:hAnsi="Arial"/>
          <w:sz w:val="18"/>
          <w:szCs w:val="18"/>
        </w:rPr>
      </w:pPr>
      <w:r w:rsidRPr="000D2E4D">
        <w:rPr>
          <w:rFonts w:ascii="Arial" w:hAnsi="Arial"/>
          <w:b/>
          <w:bCs/>
          <w:color w:val="000000"/>
          <w:sz w:val="18"/>
          <w:szCs w:val="18"/>
        </w:rPr>
        <w:t>Source: Palestinian</w:t>
      </w:r>
      <w:r w:rsidRPr="00FB56CF">
        <w:rPr>
          <w:rFonts w:ascii="Arial" w:hAnsi="Arial"/>
          <w:b/>
          <w:bCs/>
          <w:sz w:val="18"/>
          <w:szCs w:val="18"/>
        </w:rPr>
        <w:t xml:space="preserve"> Central Bureau of Statistics,</w:t>
      </w:r>
      <w:r w:rsidRPr="00FB56CF">
        <w:rPr>
          <w:rFonts w:ascii="Arial" w:hAnsi="Arial"/>
          <w:sz w:val="18"/>
          <w:szCs w:val="18"/>
        </w:rPr>
        <w:t>Main Findings of Living Standards in Palestine (Expenditure,   Consumption and Poverty), 2009-2011,</w:t>
      </w:r>
      <w:r>
        <w:rPr>
          <w:rFonts w:ascii="Arial" w:hAnsi="Arial"/>
          <w:sz w:val="18"/>
          <w:szCs w:val="18"/>
        </w:rPr>
        <w:t xml:space="preserve"> 2017.  Ramallah – Palestine.  </w:t>
      </w:r>
    </w:p>
    <w:p w14:paraId="0C3642EF"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18B27E74" w14:textId="77777777" w:rsidR="00F3507C" w:rsidRDefault="00F3507C" w:rsidP="00F3507C">
      <w:pPr>
        <w:autoSpaceDE w:val="0"/>
        <w:autoSpaceDN w:val="0"/>
        <w:bidi w:val="0"/>
        <w:adjustRightInd w:val="0"/>
        <w:spacing w:after="0" w:line="240" w:lineRule="auto"/>
        <w:jc w:val="both"/>
        <w:rPr>
          <w:rFonts w:ascii="Times New Roman" w:hAnsi="Times New Roman" w:cs="Times New Roman"/>
          <w:b/>
          <w:bCs/>
          <w:i/>
          <w:iCs/>
          <w:sz w:val="24"/>
          <w:szCs w:val="24"/>
          <w:rtl/>
        </w:rPr>
      </w:pPr>
    </w:p>
    <w:p w14:paraId="12A9E164" w14:textId="77777777" w:rsidR="00537CB3" w:rsidRDefault="00537CB3" w:rsidP="00537CB3">
      <w:pPr>
        <w:autoSpaceDE w:val="0"/>
        <w:autoSpaceDN w:val="0"/>
        <w:bidi w:val="0"/>
        <w:adjustRightInd w:val="0"/>
        <w:spacing w:after="0" w:line="240" w:lineRule="auto"/>
        <w:jc w:val="both"/>
        <w:rPr>
          <w:rFonts w:ascii="Times New Roman" w:hAnsi="Times New Roman" w:cs="Times New Roman"/>
          <w:b/>
          <w:bCs/>
          <w:i/>
          <w:iCs/>
          <w:sz w:val="24"/>
          <w:szCs w:val="24"/>
          <w:rtl/>
        </w:rPr>
      </w:pPr>
    </w:p>
    <w:p w14:paraId="1A38641D" w14:textId="77777777" w:rsidR="00537CB3" w:rsidRDefault="00537CB3" w:rsidP="00537CB3">
      <w:pPr>
        <w:autoSpaceDE w:val="0"/>
        <w:autoSpaceDN w:val="0"/>
        <w:bidi w:val="0"/>
        <w:adjustRightInd w:val="0"/>
        <w:spacing w:after="0" w:line="240" w:lineRule="auto"/>
        <w:jc w:val="both"/>
        <w:rPr>
          <w:rFonts w:ascii="Times New Roman" w:hAnsi="Times New Roman" w:cs="Times New Roman"/>
          <w:b/>
          <w:bCs/>
          <w:i/>
          <w:iCs/>
          <w:sz w:val="24"/>
          <w:szCs w:val="24"/>
          <w:rtl/>
        </w:rPr>
      </w:pPr>
    </w:p>
    <w:p w14:paraId="00657B84" w14:textId="77777777" w:rsidR="00537CB3" w:rsidRDefault="00537CB3" w:rsidP="00537CB3">
      <w:pPr>
        <w:autoSpaceDE w:val="0"/>
        <w:autoSpaceDN w:val="0"/>
        <w:bidi w:val="0"/>
        <w:adjustRightInd w:val="0"/>
        <w:spacing w:after="0" w:line="240" w:lineRule="auto"/>
        <w:jc w:val="both"/>
        <w:rPr>
          <w:rFonts w:ascii="Times New Roman" w:hAnsi="Times New Roman" w:cs="Times New Roman"/>
          <w:b/>
          <w:bCs/>
          <w:i/>
          <w:iCs/>
          <w:sz w:val="24"/>
          <w:szCs w:val="24"/>
        </w:rPr>
      </w:pPr>
    </w:p>
    <w:p w14:paraId="5040154C" w14:textId="77777777" w:rsidR="0071415F" w:rsidRDefault="0071415F" w:rsidP="00F3507C">
      <w:pPr>
        <w:autoSpaceDE w:val="0"/>
        <w:autoSpaceDN w:val="0"/>
        <w:bidi w:val="0"/>
        <w:adjustRightInd w:val="0"/>
        <w:spacing w:after="0" w:line="240" w:lineRule="auto"/>
        <w:jc w:val="both"/>
        <w:rPr>
          <w:rFonts w:ascii="Times New Roman" w:hAnsi="Times New Roman" w:cs="Times New Roman"/>
          <w:b/>
          <w:bCs/>
          <w:i/>
          <w:iCs/>
          <w:sz w:val="24"/>
          <w:szCs w:val="24"/>
        </w:rPr>
      </w:pPr>
      <w:r w:rsidRPr="00195DAC">
        <w:rPr>
          <w:rFonts w:ascii="Times New Roman" w:hAnsi="Times New Roman" w:cs="Times New Roman"/>
          <w:b/>
          <w:bCs/>
          <w:i/>
          <w:iCs/>
          <w:sz w:val="24"/>
          <w:szCs w:val="24"/>
        </w:rPr>
        <w:lastRenderedPageBreak/>
        <w:t>Indicator 10.</w:t>
      </w:r>
      <w:r>
        <w:rPr>
          <w:rFonts w:ascii="Times New Roman" w:hAnsi="Times New Roman" w:cs="Times New Roman"/>
          <w:b/>
          <w:bCs/>
          <w:i/>
          <w:iCs/>
          <w:sz w:val="24"/>
          <w:szCs w:val="24"/>
        </w:rPr>
        <w:t>2</w:t>
      </w:r>
      <w:r w:rsidRPr="00195DAC">
        <w:rPr>
          <w:rFonts w:ascii="Times New Roman" w:hAnsi="Times New Roman" w:cs="Times New Roman"/>
          <w:b/>
          <w:bCs/>
          <w:i/>
          <w:iCs/>
          <w:sz w:val="24"/>
          <w:szCs w:val="24"/>
        </w:rPr>
        <w:t xml:space="preserve">.1 </w:t>
      </w:r>
      <w:r w:rsidRPr="00F03E42">
        <w:rPr>
          <w:rFonts w:ascii="Times New Roman" w:hAnsi="Times New Roman" w:cs="Times New Roman"/>
          <w:b/>
          <w:bCs/>
          <w:i/>
          <w:iCs/>
          <w:sz w:val="24"/>
          <w:szCs w:val="24"/>
        </w:rPr>
        <w:t>Proportion of people living below 50 per cent of median income, by sex, age and persons with disabilities</w:t>
      </w:r>
    </w:p>
    <w:p w14:paraId="457DF41B" w14:textId="77777777" w:rsidR="00A92234" w:rsidRPr="00195DAC"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0C0A7C77" w14:textId="77777777" w:rsidR="0071415F" w:rsidRDefault="003F6854"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About </w:t>
      </w:r>
      <w:r w:rsidR="0071415F">
        <w:rPr>
          <w:rFonts w:ascii="Times New Roman" w:hAnsi="Times New Roman" w:cs="Times New Roman"/>
          <w:sz w:val="24"/>
          <w:szCs w:val="24"/>
        </w:rPr>
        <w:t xml:space="preserve">17.3% is the </w:t>
      </w:r>
      <w:r>
        <w:rPr>
          <w:rFonts w:ascii="Times New Roman" w:hAnsi="Times New Roman" w:cs="Times New Roman"/>
          <w:sz w:val="24"/>
          <w:szCs w:val="24"/>
        </w:rPr>
        <w:t>p</w:t>
      </w:r>
      <w:r w:rsidR="0071415F" w:rsidRPr="00F03E42">
        <w:rPr>
          <w:rFonts w:ascii="Times New Roman" w:hAnsi="Times New Roman" w:cs="Times New Roman"/>
          <w:sz w:val="24"/>
          <w:szCs w:val="24"/>
        </w:rPr>
        <w:t>roportion of people living below 50</w:t>
      </w:r>
      <w:r>
        <w:rPr>
          <w:rFonts w:ascii="Times New Roman" w:hAnsi="Times New Roman" w:cs="Times New Roman"/>
          <w:sz w:val="24"/>
          <w:szCs w:val="24"/>
        </w:rPr>
        <w:t>%</w:t>
      </w:r>
      <w:r w:rsidR="0071415F" w:rsidRPr="00F03E42">
        <w:rPr>
          <w:rFonts w:ascii="Times New Roman" w:hAnsi="Times New Roman" w:cs="Times New Roman"/>
          <w:sz w:val="24"/>
          <w:szCs w:val="24"/>
        </w:rPr>
        <w:t xml:space="preserve"> of median consumption</w:t>
      </w:r>
      <w:r w:rsidR="0071415F">
        <w:rPr>
          <w:rFonts w:ascii="Times New Roman" w:hAnsi="Times New Roman" w:cs="Times New Roman"/>
          <w:sz w:val="24"/>
          <w:szCs w:val="24"/>
        </w:rPr>
        <w:t>; of which 3.7% in the West Bank and 41.9% in Gaza Strip in 2017.</w:t>
      </w:r>
    </w:p>
    <w:p w14:paraId="09558DBE"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322B6174" w14:textId="77777777" w:rsidR="0071415F" w:rsidRPr="0017589E" w:rsidRDefault="0071415F" w:rsidP="0071415F">
      <w:pPr>
        <w:tabs>
          <w:tab w:val="left" w:pos="9072"/>
        </w:tabs>
        <w:bidi w:val="0"/>
        <w:spacing w:after="0" w:line="240" w:lineRule="auto"/>
        <w:jc w:val="center"/>
        <w:rPr>
          <w:rFonts w:ascii="Arial" w:hAnsi="Arial"/>
          <w:b/>
          <w:bCs/>
          <w:rtl/>
        </w:rPr>
      </w:pPr>
      <w:r w:rsidRPr="0017589E">
        <w:rPr>
          <w:rFonts w:ascii="Arial" w:hAnsi="Arial"/>
          <w:b/>
          <w:bCs/>
        </w:rPr>
        <w:t xml:space="preserve">Proportion of </w:t>
      </w:r>
      <w:r w:rsidR="00DF58F3">
        <w:rPr>
          <w:rFonts w:ascii="Arial" w:hAnsi="Arial"/>
          <w:b/>
          <w:bCs/>
        </w:rPr>
        <w:t>P</w:t>
      </w:r>
      <w:r w:rsidRPr="0017589E">
        <w:rPr>
          <w:rFonts w:ascii="Arial" w:hAnsi="Arial"/>
          <w:b/>
          <w:bCs/>
        </w:rPr>
        <w:t xml:space="preserve">eople </w:t>
      </w:r>
      <w:r w:rsidR="00DF58F3">
        <w:rPr>
          <w:rFonts w:ascii="Arial" w:hAnsi="Arial"/>
          <w:b/>
          <w:bCs/>
        </w:rPr>
        <w:t>L</w:t>
      </w:r>
      <w:r w:rsidRPr="0017589E">
        <w:rPr>
          <w:rFonts w:ascii="Arial" w:hAnsi="Arial"/>
          <w:b/>
          <w:bCs/>
        </w:rPr>
        <w:t xml:space="preserve">iving </w:t>
      </w:r>
      <w:r w:rsidR="00DF58F3">
        <w:rPr>
          <w:rFonts w:ascii="Arial" w:hAnsi="Arial"/>
          <w:b/>
          <w:bCs/>
        </w:rPr>
        <w:t>B</w:t>
      </w:r>
      <w:r w:rsidRPr="0017589E">
        <w:rPr>
          <w:rFonts w:ascii="Arial" w:hAnsi="Arial"/>
          <w:b/>
          <w:bCs/>
        </w:rPr>
        <w:t>elow 50</w:t>
      </w:r>
      <w:r w:rsidR="00DF58F3">
        <w:rPr>
          <w:rFonts w:ascii="Arial" w:hAnsi="Arial"/>
          <w:b/>
          <w:bCs/>
        </w:rPr>
        <w:t>%</w:t>
      </w:r>
      <w:r w:rsidRPr="0017589E">
        <w:rPr>
          <w:rFonts w:ascii="Arial" w:hAnsi="Arial"/>
          <w:b/>
          <w:bCs/>
        </w:rPr>
        <w:t xml:space="preserve"> of </w:t>
      </w:r>
      <w:r w:rsidR="00DF58F3">
        <w:rPr>
          <w:rFonts w:ascii="Arial" w:hAnsi="Arial"/>
          <w:b/>
          <w:bCs/>
        </w:rPr>
        <w:t>M</w:t>
      </w:r>
      <w:r w:rsidRPr="0017589E">
        <w:rPr>
          <w:rFonts w:ascii="Arial" w:hAnsi="Arial"/>
          <w:b/>
          <w:bCs/>
        </w:rPr>
        <w:t xml:space="preserve">edian </w:t>
      </w:r>
      <w:r w:rsidR="00DF58F3">
        <w:rPr>
          <w:rFonts w:ascii="Arial" w:hAnsi="Arial"/>
          <w:b/>
          <w:bCs/>
        </w:rPr>
        <w:t>C</w:t>
      </w:r>
      <w:r w:rsidRPr="0017589E">
        <w:rPr>
          <w:rFonts w:ascii="Arial" w:hAnsi="Arial"/>
          <w:b/>
          <w:bCs/>
        </w:rPr>
        <w:t>onsumption, 2017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C70C31" w14:paraId="3B7C6847" w14:textId="77777777" w:rsidTr="0071415F">
        <w:trPr>
          <w:trHeight w:val="3306"/>
        </w:trPr>
        <w:tc>
          <w:tcPr>
            <w:tcW w:w="8630" w:type="dxa"/>
            <w:shd w:val="clear" w:color="auto" w:fill="auto"/>
          </w:tcPr>
          <w:p w14:paraId="45467828" w14:textId="77777777" w:rsidR="0071415F" w:rsidRPr="00C70C31" w:rsidRDefault="0071415F" w:rsidP="0071415F">
            <w:pPr>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rPr>
              <w:drawing>
                <wp:inline distT="0" distB="0" distL="0" distR="0" wp14:anchorId="11939691" wp14:editId="6603F238">
                  <wp:extent cx="5703242" cy="2096135"/>
                  <wp:effectExtent l="0" t="0" r="0" b="0"/>
                  <wp:docPr id="218"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bl>
    <w:p w14:paraId="2EB94C27" w14:textId="77777777" w:rsidR="0071415F" w:rsidRDefault="0071415F" w:rsidP="003500CD">
      <w:pPr>
        <w:bidi w:val="0"/>
        <w:spacing w:after="0" w:line="240" w:lineRule="auto"/>
        <w:ind w:left="720" w:hanging="720"/>
        <w:jc w:val="both"/>
        <w:rPr>
          <w:rFonts w:ascii="Arial" w:hAnsi="Arial"/>
          <w:sz w:val="18"/>
          <w:szCs w:val="18"/>
        </w:rPr>
      </w:pPr>
      <w:r w:rsidRPr="000D2E4D">
        <w:rPr>
          <w:rFonts w:ascii="Arial" w:hAnsi="Arial"/>
          <w:b/>
          <w:bCs/>
          <w:color w:val="000000"/>
          <w:sz w:val="18"/>
          <w:szCs w:val="18"/>
        </w:rPr>
        <w:t>Source: Palestinian</w:t>
      </w:r>
      <w:r w:rsidRPr="00FB56CF">
        <w:rPr>
          <w:rFonts w:ascii="Arial" w:hAnsi="Arial"/>
          <w:b/>
          <w:bCs/>
          <w:sz w:val="18"/>
          <w:szCs w:val="18"/>
        </w:rPr>
        <w:t xml:space="preserve"> Central Bureau of </w:t>
      </w:r>
      <w:r w:rsidR="00C66B88" w:rsidRPr="00FB56CF">
        <w:rPr>
          <w:rFonts w:ascii="Arial" w:hAnsi="Arial"/>
          <w:b/>
          <w:bCs/>
          <w:sz w:val="18"/>
          <w:szCs w:val="18"/>
        </w:rPr>
        <w:t>Statistics,</w:t>
      </w:r>
      <w:r w:rsidR="00C66B88" w:rsidRPr="00FB56CF">
        <w:rPr>
          <w:rFonts w:ascii="Arial" w:hAnsi="Arial"/>
          <w:sz w:val="18"/>
          <w:szCs w:val="18"/>
        </w:rPr>
        <w:t xml:space="preserve"> Main</w:t>
      </w:r>
      <w:r w:rsidRPr="00FB56CF">
        <w:rPr>
          <w:rFonts w:ascii="Arial" w:hAnsi="Arial"/>
          <w:sz w:val="18"/>
          <w:szCs w:val="18"/>
        </w:rPr>
        <w:t xml:space="preserve"> Findings of Living Standards in Palestine (Expenditure,   Consumption and Poverty), </w:t>
      </w:r>
      <w:r>
        <w:rPr>
          <w:rFonts w:ascii="Arial" w:hAnsi="Arial"/>
          <w:sz w:val="18"/>
          <w:szCs w:val="18"/>
        </w:rPr>
        <w:t xml:space="preserve">2017.  Ramallah – Palestine.  </w:t>
      </w:r>
    </w:p>
    <w:p w14:paraId="15AB3E46" w14:textId="77777777" w:rsidR="0071415F" w:rsidRDefault="0071415F" w:rsidP="0071415F">
      <w:pPr>
        <w:tabs>
          <w:tab w:val="left" w:pos="10076"/>
        </w:tabs>
        <w:spacing w:after="0" w:line="240" w:lineRule="auto"/>
        <w:jc w:val="both"/>
        <w:rPr>
          <w:rFonts w:ascii="Simplified Arabic" w:hAnsi="Simplified Arabic" w:cs="Simplified Arabic"/>
          <w:color w:val="000000"/>
          <w:sz w:val="24"/>
          <w:szCs w:val="24"/>
          <w:rtl/>
        </w:rPr>
      </w:pPr>
    </w:p>
    <w:p w14:paraId="6580CF8E"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10.3.1 </w:t>
      </w:r>
      <w:r w:rsidRPr="00B15ACB">
        <w:rPr>
          <w:rFonts w:ascii="Times New Roman" w:hAnsi="Times New Roman" w:cs="Times New Roman"/>
          <w:b/>
          <w:bCs/>
          <w:i/>
          <w:iCs/>
          <w:sz w:val="24"/>
          <w:szCs w:val="24"/>
        </w:rPr>
        <w:t>Proportion of population reporting having personally felt discriminated against or harassed in the previous 12 months on the basis of a ground of discrimination prohibited under international human rights law.</w:t>
      </w:r>
    </w:p>
    <w:p w14:paraId="19A76968" w14:textId="77777777" w:rsidR="00A92234" w:rsidRPr="00B15ACB"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4683870F" w14:textId="77777777" w:rsidR="0071415F" w:rsidRDefault="00DF58F3"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 s</w:t>
      </w:r>
      <w:r w:rsidR="0071415F" w:rsidRPr="00CC079E">
        <w:rPr>
          <w:rFonts w:ascii="Times New Roman" w:hAnsi="Times New Roman" w:cs="Times New Roman"/>
          <w:sz w:val="24"/>
          <w:szCs w:val="24"/>
        </w:rPr>
        <w:t xml:space="preserve">light </w:t>
      </w:r>
      <w:r>
        <w:rPr>
          <w:rFonts w:ascii="Times New Roman" w:hAnsi="Times New Roman" w:cs="Times New Roman"/>
          <w:sz w:val="24"/>
          <w:szCs w:val="24"/>
        </w:rPr>
        <w:t>d</w:t>
      </w:r>
      <w:r w:rsidR="0071415F" w:rsidRPr="00CC079E">
        <w:rPr>
          <w:rFonts w:ascii="Times New Roman" w:hAnsi="Times New Roman" w:cs="Times New Roman"/>
          <w:sz w:val="24"/>
          <w:szCs w:val="24"/>
        </w:rPr>
        <w:t xml:space="preserve">ecrease </w:t>
      </w:r>
      <w:r>
        <w:rPr>
          <w:rFonts w:ascii="Times New Roman" w:hAnsi="Times New Roman" w:cs="Times New Roman"/>
          <w:sz w:val="24"/>
          <w:szCs w:val="24"/>
        </w:rPr>
        <w:t xml:space="preserve">in </w:t>
      </w:r>
      <w:r w:rsidR="0071415F" w:rsidRPr="00CC079E">
        <w:rPr>
          <w:rFonts w:ascii="Times New Roman" w:hAnsi="Times New Roman" w:cs="Times New Roman"/>
          <w:sz w:val="24"/>
          <w:szCs w:val="24"/>
        </w:rPr>
        <w:t>the percentage of the persons age</w:t>
      </w:r>
      <w:r>
        <w:rPr>
          <w:rFonts w:ascii="Times New Roman" w:hAnsi="Times New Roman" w:cs="Times New Roman"/>
          <w:sz w:val="24"/>
          <w:szCs w:val="24"/>
        </w:rPr>
        <w:t>s</w:t>
      </w:r>
      <w:r w:rsidR="0071415F" w:rsidRPr="00CC079E">
        <w:rPr>
          <w:rFonts w:ascii="Times New Roman" w:hAnsi="Times New Roman" w:cs="Times New Roman"/>
          <w:sz w:val="24"/>
          <w:szCs w:val="24"/>
        </w:rPr>
        <w:t xml:space="preserve"> (18 and above) stated that they experienced discrimination against </w:t>
      </w:r>
      <w:r>
        <w:rPr>
          <w:rFonts w:ascii="Times New Roman" w:hAnsi="Times New Roman" w:cs="Times New Roman"/>
          <w:sz w:val="24"/>
          <w:szCs w:val="24"/>
        </w:rPr>
        <w:t xml:space="preserve">them </w:t>
      </w:r>
      <w:r w:rsidR="0071415F" w:rsidRPr="00CC079E">
        <w:rPr>
          <w:rFonts w:ascii="Times New Roman" w:hAnsi="Times New Roman" w:cs="Times New Roman"/>
          <w:sz w:val="24"/>
          <w:szCs w:val="24"/>
        </w:rPr>
        <w:t xml:space="preserve">or </w:t>
      </w:r>
      <w:r>
        <w:rPr>
          <w:rFonts w:ascii="Times New Roman" w:hAnsi="Times New Roman" w:cs="Times New Roman"/>
          <w:sz w:val="24"/>
          <w:szCs w:val="24"/>
        </w:rPr>
        <w:t xml:space="preserve">were </w:t>
      </w:r>
      <w:r w:rsidR="0071415F" w:rsidRPr="00CC079E">
        <w:rPr>
          <w:rFonts w:ascii="Times New Roman" w:hAnsi="Times New Roman" w:cs="Times New Roman"/>
          <w:sz w:val="24"/>
          <w:szCs w:val="24"/>
        </w:rPr>
        <w:t>harassment under international human rights law in Palestine</w:t>
      </w:r>
      <w:r w:rsidR="0071415F">
        <w:rPr>
          <w:rFonts w:ascii="Times New Roman" w:hAnsi="Times New Roman" w:cs="Times New Roman"/>
          <w:sz w:val="24"/>
          <w:szCs w:val="24"/>
        </w:rPr>
        <w:t xml:space="preserve">, reaching </w:t>
      </w:r>
      <w:r w:rsidR="0071415F" w:rsidRPr="00CC079E">
        <w:rPr>
          <w:rFonts w:ascii="Times New Roman" w:hAnsi="Times New Roman" w:cs="Times New Roman"/>
          <w:sz w:val="24"/>
          <w:szCs w:val="24"/>
        </w:rPr>
        <w:t>10.2% in 2021 compared 10.</w:t>
      </w:r>
      <w:r w:rsidR="0071415F">
        <w:rPr>
          <w:rFonts w:ascii="Times New Roman" w:hAnsi="Times New Roman" w:cs="Times New Roman"/>
          <w:sz w:val="24"/>
          <w:szCs w:val="24"/>
        </w:rPr>
        <w:t>5</w:t>
      </w:r>
      <w:r w:rsidR="0071415F" w:rsidRPr="00CC079E">
        <w:rPr>
          <w:rFonts w:ascii="Times New Roman" w:hAnsi="Times New Roman" w:cs="Times New Roman"/>
          <w:sz w:val="24"/>
          <w:szCs w:val="24"/>
        </w:rPr>
        <w:t>% in 2018.</w:t>
      </w:r>
    </w:p>
    <w:p w14:paraId="3EE120D8"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5DB5C281" w14:textId="77777777"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t xml:space="preserve">Proportion of Population (18 and above) who Experienced Discrimination  or Harassment Under International Human Rights Law,  </w:t>
      </w:r>
      <w:r w:rsidR="00E96211">
        <w:rPr>
          <w:rFonts w:ascii="Arial" w:hAnsi="Arial"/>
          <w:b/>
          <w:bCs/>
        </w:rPr>
        <w:t>S</w:t>
      </w:r>
      <w:r>
        <w:rPr>
          <w:rFonts w:ascii="Arial" w:hAnsi="Arial"/>
          <w:b/>
          <w:bCs/>
        </w:rPr>
        <w:t xml:space="preserve">elected </w:t>
      </w:r>
      <w:r w:rsidR="00E96211">
        <w:rPr>
          <w:rFonts w:ascii="Arial" w:hAnsi="Arial"/>
          <w:b/>
          <w:bCs/>
        </w:rPr>
        <w:t>Y</w:t>
      </w:r>
      <w:r>
        <w:rPr>
          <w:rFonts w:ascii="Arial" w:hAnsi="Arial"/>
          <w:b/>
          <w:bCs/>
        </w:rPr>
        <w:t>ears</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3E3457B8" w14:textId="77777777" w:rsidTr="0071415F">
        <w:trPr>
          <w:trHeight w:val="3465"/>
        </w:trPr>
        <w:tc>
          <w:tcPr>
            <w:tcW w:w="9242" w:type="dxa"/>
            <w:shd w:val="clear" w:color="auto" w:fill="auto"/>
          </w:tcPr>
          <w:p w14:paraId="20F3A602"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40703B5D" wp14:editId="2CA243A4">
                  <wp:extent cx="5452745" cy="2208530"/>
                  <wp:effectExtent l="0" t="0" r="0" b="1270"/>
                  <wp:docPr id="12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tc>
      </w:tr>
    </w:tbl>
    <w:p w14:paraId="79160223" w14:textId="77777777" w:rsidR="0071415F" w:rsidRPr="00891951" w:rsidRDefault="0071415F" w:rsidP="003500CD">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 Palestinian Central Bureau of Statistics</w:t>
      </w:r>
      <w:r w:rsidR="005823B7">
        <w:rPr>
          <w:rFonts w:ascii="Arial" w:hAnsi="Arial"/>
          <w:sz w:val="18"/>
          <w:szCs w:val="18"/>
        </w:rPr>
        <w:t>,</w:t>
      </w:r>
      <w:r w:rsidRPr="00891951">
        <w:rPr>
          <w:rFonts w:ascii="Arial" w:hAnsi="Arial"/>
          <w:sz w:val="18"/>
          <w:szCs w:val="18"/>
        </w:rPr>
        <w:t xml:space="preserve"> Rule of Law and Access to Justice Survey </w:t>
      </w:r>
      <w:r w:rsidR="005823B7" w:rsidRPr="00891951">
        <w:rPr>
          <w:rFonts w:ascii="Arial" w:hAnsi="Arial"/>
          <w:sz w:val="18"/>
          <w:szCs w:val="18"/>
        </w:rPr>
        <w:t>Database</w:t>
      </w:r>
      <w:r w:rsidR="005823B7">
        <w:rPr>
          <w:rFonts w:ascii="Arial" w:hAnsi="Arial"/>
          <w:sz w:val="18"/>
          <w:szCs w:val="18"/>
        </w:rPr>
        <w:t>,</w:t>
      </w:r>
      <w:r w:rsidRPr="00891951">
        <w:rPr>
          <w:rFonts w:ascii="Arial" w:hAnsi="Arial"/>
          <w:sz w:val="18"/>
          <w:szCs w:val="18"/>
        </w:rPr>
        <w:t>2018</w:t>
      </w:r>
      <w:r w:rsidR="003B7793">
        <w:rPr>
          <w:rFonts w:ascii="Arial" w:hAnsi="Arial"/>
          <w:sz w:val="18"/>
          <w:szCs w:val="18"/>
        </w:rPr>
        <w:t xml:space="preserve"> and </w:t>
      </w:r>
      <w:r>
        <w:rPr>
          <w:rFonts w:ascii="Arial" w:hAnsi="Arial"/>
          <w:sz w:val="18"/>
          <w:szCs w:val="18"/>
        </w:rPr>
        <w:t>2021</w:t>
      </w:r>
      <w:r w:rsidRPr="00891951">
        <w:rPr>
          <w:rFonts w:ascii="Arial" w:hAnsi="Arial"/>
          <w:sz w:val="18"/>
          <w:szCs w:val="18"/>
        </w:rPr>
        <w:t xml:space="preserve">.  </w:t>
      </w:r>
      <w:r w:rsidRPr="00B15ACB">
        <w:rPr>
          <w:rFonts w:ascii="Arial" w:hAnsi="Arial"/>
          <w:sz w:val="18"/>
          <w:szCs w:val="18"/>
        </w:rPr>
        <w:t>Ramallah</w:t>
      </w:r>
      <w:r w:rsidRPr="00891951">
        <w:rPr>
          <w:rFonts w:ascii="Arial" w:hAnsi="Arial"/>
          <w:sz w:val="18"/>
          <w:szCs w:val="18"/>
        </w:rPr>
        <w:t xml:space="preserve"> - Palestine</w:t>
      </w:r>
      <w:r w:rsidRPr="00891951">
        <w:rPr>
          <w:rFonts w:ascii="Arial" w:hAnsi="Arial"/>
          <w:sz w:val="18"/>
          <w:szCs w:val="18"/>
          <w:rtl/>
        </w:rPr>
        <w:t>.</w:t>
      </w:r>
    </w:p>
    <w:p w14:paraId="5C5CDFD1"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72032C5D"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7EC9EB03"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2349BC6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5ECDFEC1" w14:textId="77777777" w:rsidR="0071415F" w:rsidRDefault="0071415F" w:rsidP="0071415F">
      <w:pPr>
        <w:autoSpaceDE w:val="0"/>
        <w:autoSpaceDN w:val="0"/>
        <w:bidi w:val="0"/>
        <w:adjustRightInd w:val="0"/>
        <w:spacing w:after="0" w:line="240" w:lineRule="auto"/>
        <w:jc w:val="both"/>
        <w:rPr>
          <w:rFonts w:ascii="Arial" w:hAnsi="Arial"/>
          <w:sz w:val="18"/>
          <w:szCs w:val="18"/>
        </w:rPr>
      </w:pPr>
    </w:p>
    <w:p w14:paraId="1FB3208F" w14:textId="77777777"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lastRenderedPageBreak/>
        <w:t xml:space="preserve">Proportion of Population (18 </w:t>
      </w:r>
      <w:r w:rsidR="00E96211">
        <w:rPr>
          <w:rFonts w:ascii="Arial" w:hAnsi="Arial"/>
          <w:b/>
          <w:bCs/>
        </w:rPr>
        <w:t>y</w:t>
      </w:r>
      <w:r w:rsidRPr="00422BE3">
        <w:rPr>
          <w:rFonts w:ascii="Arial" w:hAnsi="Arial"/>
          <w:b/>
          <w:bCs/>
        </w:rPr>
        <w:t xml:space="preserve">ears and above) who Experienced Discrimination  or Harassment Under International Human Rights Law, </w:t>
      </w:r>
      <w:r w:rsidR="003B7793" w:rsidRPr="00422BE3">
        <w:rPr>
          <w:rFonts w:ascii="Arial" w:hAnsi="Arial"/>
          <w:b/>
          <w:bCs/>
        </w:rPr>
        <w:t>Regi</w:t>
      </w:r>
      <w:r w:rsidRPr="00422BE3">
        <w:rPr>
          <w:rFonts w:ascii="Arial" w:hAnsi="Arial"/>
          <w:b/>
          <w:bCs/>
        </w:rPr>
        <w:t>on</w:t>
      </w:r>
      <w:r>
        <w:rPr>
          <w:rFonts w:ascii="Arial" w:hAnsi="Arial"/>
          <w:b/>
          <w:bCs/>
        </w:rPr>
        <w:t xml:space="preserve">, Sex, Locality </w:t>
      </w:r>
      <w:r w:rsidR="005D6E71">
        <w:rPr>
          <w:rFonts w:ascii="Arial" w:hAnsi="Arial"/>
          <w:b/>
          <w:bCs/>
        </w:rPr>
        <w:t>T</w:t>
      </w:r>
      <w:r>
        <w:rPr>
          <w:rFonts w:ascii="Arial" w:hAnsi="Arial"/>
          <w:b/>
          <w:bCs/>
        </w:rPr>
        <w:t>ype, 2021</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0DEBD363" w14:textId="77777777" w:rsidTr="0071415F">
        <w:trPr>
          <w:trHeight w:val="3482"/>
        </w:trPr>
        <w:tc>
          <w:tcPr>
            <w:tcW w:w="9242" w:type="dxa"/>
            <w:shd w:val="clear" w:color="auto" w:fill="auto"/>
          </w:tcPr>
          <w:p w14:paraId="35F4DDC0"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6809B0C9" wp14:editId="56CFF06D">
                  <wp:extent cx="5367020" cy="2122805"/>
                  <wp:effectExtent l="0" t="0" r="5080" b="0"/>
                  <wp:docPr id="219"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bl>
    <w:p w14:paraId="2B193F21" w14:textId="77777777" w:rsidR="0071415F" w:rsidRPr="00891951" w:rsidRDefault="0071415F" w:rsidP="003500CD">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 Palestinian Central Bureau of Statistics</w:t>
      </w:r>
      <w:r w:rsidRPr="00B15ACB">
        <w:rPr>
          <w:rFonts w:ascii="Arial" w:hAnsi="Arial"/>
          <w:sz w:val="18"/>
          <w:szCs w:val="18"/>
        </w:rPr>
        <w:t xml:space="preserve">, </w:t>
      </w:r>
      <w:r w:rsidRPr="00891951">
        <w:rPr>
          <w:rFonts w:ascii="Arial" w:hAnsi="Arial"/>
          <w:sz w:val="18"/>
          <w:szCs w:val="18"/>
        </w:rPr>
        <w:t xml:space="preserve">Rule of Law and Access to Justice </w:t>
      </w:r>
      <w:r w:rsidR="00C66B88" w:rsidRPr="00891951">
        <w:rPr>
          <w:rFonts w:ascii="Arial" w:hAnsi="Arial"/>
          <w:sz w:val="18"/>
          <w:szCs w:val="18"/>
        </w:rPr>
        <w:t>Survey</w:t>
      </w:r>
      <w:r w:rsidR="00C66B88">
        <w:rPr>
          <w:rFonts w:ascii="Arial" w:hAnsi="Arial"/>
          <w:sz w:val="18"/>
          <w:szCs w:val="18"/>
        </w:rPr>
        <w:t xml:space="preserve"> Database</w:t>
      </w:r>
      <w:r>
        <w:rPr>
          <w:rFonts w:ascii="Arial" w:hAnsi="Arial"/>
          <w:sz w:val="18"/>
          <w:szCs w:val="18"/>
        </w:rPr>
        <w:t>, 2021</w:t>
      </w:r>
      <w:r w:rsidRPr="00891951">
        <w:rPr>
          <w:rFonts w:ascii="Arial" w:hAnsi="Arial"/>
          <w:sz w:val="18"/>
          <w:szCs w:val="18"/>
        </w:rPr>
        <w:t xml:space="preserve">.  </w:t>
      </w:r>
      <w:r w:rsidRPr="00B15ACB">
        <w:rPr>
          <w:rFonts w:ascii="Arial" w:hAnsi="Arial"/>
          <w:sz w:val="18"/>
          <w:szCs w:val="18"/>
        </w:rPr>
        <w:t>Ramallah</w:t>
      </w:r>
      <w:r w:rsidRPr="00891951">
        <w:rPr>
          <w:rFonts w:ascii="Arial" w:hAnsi="Arial"/>
          <w:sz w:val="18"/>
          <w:szCs w:val="18"/>
        </w:rPr>
        <w:t xml:space="preserve"> - Palestine</w:t>
      </w:r>
      <w:r w:rsidRPr="00891951">
        <w:rPr>
          <w:rFonts w:ascii="Arial" w:hAnsi="Arial"/>
          <w:sz w:val="18"/>
          <w:szCs w:val="18"/>
          <w:rtl/>
        </w:rPr>
        <w:t>.</w:t>
      </w:r>
    </w:p>
    <w:p w14:paraId="02979761"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0C97152C" w14:textId="77777777" w:rsidR="0071415F" w:rsidRPr="00537CB3" w:rsidRDefault="004A40F1" w:rsidP="00C70E73">
      <w:pPr>
        <w:autoSpaceDE w:val="0"/>
        <w:autoSpaceDN w:val="0"/>
        <w:bidi w:val="0"/>
        <w:adjustRightInd w:val="0"/>
        <w:spacing w:after="0" w:line="240" w:lineRule="auto"/>
        <w:jc w:val="both"/>
        <w:rPr>
          <w:rFonts w:ascii="Times New Roman" w:hAnsi="Times New Roman" w:cs="Times New Roman"/>
          <w:b/>
          <w:bCs/>
          <w:i/>
          <w:iCs/>
          <w:sz w:val="24"/>
          <w:szCs w:val="24"/>
        </w:rPr>
      </w:pPr>
      <w:r w:rsidRPr="00537CB3">
        <w:rPr>
          <w:rFonts w:ascii="Times New Roman" w:hAnsi="Times New Roman" w:cs="Times New Roman"/>
          <w:b/>
          <w:bCs/>
          <w:i/>
          <w:iCs/>
          <w:sz w:val="24"/>
          <w:szCs w:val="24"/>
        </w:rPr>
        <w:t>Indicator 10.5.1 Financial Soundness Indicators</w:t>
      </w:r>
    </w:p>
    <w:p w14:paraId="1B13DD8E" w14:textId="77777777" w:rsidR="0071415F" w:rsidRPr="00537CB3" w:rsidRDefault="004A40F1" w:rsidP="0071415F">
      <w:pPr>
        <w:pStyle w:val="Heading5"/>
        <w:shd w:val="clear" w:color="auto" w:fill="FFFFFF"/>
        <w:bidi w:val="0"/>
        <w:spacing w:before="0" w:line="240" w:lineRule="auto"/>
        <w:jc w:val="both"/>
        <w:rPr>
          <w:rFonts w:ascii="Times New Roman" w:hAnsi="Times New Roman"/>
          <w:color w:val="auto"/>
          <w:sz w:val="24"/>
          <w:szCs w:val="24"/>
        </w:rPr>
      </w:pPr>
      <w:r w:rsidRPr="00537CB3">
        <w:rPr>
          <w:rFonts w:ascii="Times New Roman" w:hAnsi="Times New Roman"/>
          <w:color w:val="auto"/>
          <w:sz w:val="24"/>
          <w:szCs w:val="24"/>
        </w:rPr>
        <w:t>Financial soundness indicators are considered the most important indicators to improve the regulation and monitor of global financial markets, institutions, and strengthen the implementation of such regulations in the economy.</w:t>
      </w:r>
    </w:p>
    <w:p w14:paraId="64274D44" w14:textId="77777777" w:rsidR="005D6E71" w:rsidRPr="00537CB3" w:rsidRDefault="005D6E71" w:rsidP="006D0C5D">
      <w:pPr>
        <w:bidi w:val="0"/>
      </w:pPr>
    </w:p>
    <w:p w14:paraId="52CC1F9A" w14:textId="77777777" w:rsidR="0071415F" w:rsidRPr="00537CB3" w:rsidRDefault="004A40F1" w:rsidP="00B9140F">
      <w:pPr>
        <w:pStyle w:val="Heading5"/>
        <w:shd w:val="clear" w:color="auto" w:fill="FFFFFF"/>
        <w:bidi w:val="0"/>
        <w:spacing w:before="0" w:line="240" w:lineRule="auto"/>
        <w:jc w:val="both"/>
        <w:rPr>
          <w:rFonts w:ascii="Times New Roman" w:hAnsi="Times New Roman"/>
          <w:color w:val="auto"/>
          <w:sz w:val="24"/>
          <w:szCs w:val="24"/>
        </w:rPr>
      </w:pPr>
      <w:r w:rsidRPr="00537CB3">
        <w:rPr>
          <w:rFonts w:ascii="Times New Roman" w:hAnsi="Times New Roman"/>
          <w:color w:val="auto"/>
          <w:sz w:val="24"/>
          <w:szCs w:val="24"/>
        </w:rPr>
        <w:t>The Palestinian Monetary Authority estimates financial soundness indicators</w:t>
      </w:r>
      <w:r w:rsidR="00ED0012" w:rsidRPr="00537CB3">
        <w:rPr>
          <w:rFonts w:ascii="Times New Roman" w:hAnsi="Times New Roman"/>
          <w:color w:val="auto"/>
          <w:sz w:val="24"/>
          <w:szCs w:val="24"/>
        </w:rPr>
        <w:t xml:space="preserve"> f</w:t>
      </w:r>
      <w:r w:rsidRPr="00537CB3">
        <w:rPr>
          <w:rFonts w:ascii="Times New Roman" w:hAnsi="Times New Roman"/>
          <w:color w:val="auto"/>
          <w:sz w:val="24"/>
          <w:szCs w:val="24"/>
        </w:rPr>
        <w:t xml:space="preserve">or </w:t>
      </w:r>
      <w:r w:rsidR="00ED0012" w:rsidRPr="00537CB3">
        <w:rPr>
          <w:rFonts w:ascii="Times New Roman" w:hAnsi="Times New Roman"/>
          <w:color w:val="auto"/>
          <w:sz w:val="24"/>
          <w:szCs w:val="24"/>
        </w:rPr>
        <w:t>2022</w:t>
      </w:r>
      <w:r w:rsidRPr="00537CB3">
        <w:rPr>
          <w:rFonts w:ascii="Times New Roman" w:hAnsi="Times New Roman"/>
          <w:color w:val="auto"/>
          <w:sz w:val="24"/>
          <w:szCs w:val="24"/>
        </w:rPr>
        <w:t xml:space="preserve">, the data shows that liquid assets to short-term liabilitiesreached </w:t>
      </w:r>
      <w:r w:rsidR="00B9140F" w:rsidRPr="00537CB3">
        <w:rPr>
          <w:rFonts w:ascii="Simplified Arabic" w:hAnsi="Simplified Arabic" w:cs="Simplified Arabic"/>
          <w:sz w:val="24"/>
          <w:szCs w:val="24"/>
        </w:rPr>
        <w:t>43.5</w:t>
      </w:r>
      <w:r w:rsidRPr="00537CB3">
        <w:rPr>
          <w:rFonts w:ascii="Times New Roman" w:hAnsi="Times New Roman"/>
          <w:color w:val="auto"/>
          <w:sz w:val="24"/>
          <w:szCs w:val="24"/>
        </w:rPr>
        <w:t xml:space="preserve">%. Non-performing loans net of provisions to capital reached </w:t>
      </w:r>
      <w:r w:rsidR="00B9140F" w:rsidRPr="00537CB3">
        <w:rPr>
          <w:rFonts w:ascii="Simplified Arabic" w:hAnsi="Simplified Arabic" w:cs="Simplified Arabic"/>
          <w:sz w:val="24"/>
          <w:szCs w:val="24"/>
        </w:rPr>
        <w:t>3.0</w:t>
      </w:r>
      <w:r w:rsidRPr="00537CB3">
        <w:rPr>
          <w:rFonts w:ascii="Times New Roman" w:hAnsi="Times New Roman"/>
          <w:color w:val="auto"/>
          <w:sz w:val="24"/>
          <w:szCs w:val="24"/>
        </w:rPr>
        <w:t xml:space="preserve">%;non-performing loans to total gross loans reached </w:t>
      </w:r>
      <w:r w:rsidR="00B9140F" w:rsidRPr="00537CB3">
        <w:rPr>
          <w:rFonts w:ascii="Simplified Arabic" w:hAnsi="Simplified Arabic" w:cs="Simplified Arabic"/>
          <w:sz w:val="24"/>
          <w:szCs w:val="24"/>
        </w:rPr>
        <w:t>4.0</w:t>
      </w:r>
      <w:r w:rsidRPr="00537CB3">
        <w:rPr>
          <w:rFonts w:ascii="Times New Roman" w:hAnsi="Times New Roman"/>
          <w:color w:val="auto"/>
          <w:sz w:val="24"/>
          <w:szCs w:val="24"/>
        </w:rPr>
        <w:t xml:space="preserve">%, while regulatory tier 1 capital to risk-weighted assets reached </w:t>
      </w:r>
      <w:r w:rsidR="00B9140F" w:rsidRPr="00537CB3">
        <w:rPr>
          <w:rFonts w:ascii="Simplified Arabic" w:hAnsi="Simplified Arabic" w:cs="Simplified Arabic"/>
          <w:sz w:val="24"/>
          <w:szCs w:val="24"/>
        </w:rPr>
        <w:t>14.5</w:t>
      </w:r>
      <w:r w:rsidRPr="00537CB3">
        <w:rPr>
          <w:rFonts w:ascii="Times New Roman" w:hAnsi="Times New Roman"/>
          <w:color w:val="auto"/>
          <w:sz w:val="24"/>
          <w:szCs w:val="24"/>
        </w:rPr>
        <w:t xml:space="preserve">%.Regulatory capital to assetsrecorded </w:t>
      </w:r>
      <w:r w:rsidR="00B9140F" w:rsidRPr="00537CB3">
        <w:rPr>
          <w:rFonts w:ascii="Simplified Arabic" w:hAnsi="Simplified Arabic" w:cs="Simplified Arabic"/>
          <w:sz w:val="24"/>
          <w:szCs w:val="24"/>
        </w:rPr>
        <w:t>8.7</w:t>
      </w:r>
      <w:r w:rsidRPr="00537CB3">
        <w:rPr>
          <w:rFonts w:ascii="Times New Roman" w:hAnsi="Times New Roman"/>
          <w:color w:val="auto"/>
          <w:sz w:val="24"/>
          <w:szCs w:val="24"/>
        </w:rPr>
        <w:t xml:space="preserve">% whilereturn on assets reached </w:t>
      </w:r>
      <w:r w:rsidR="00B9140F" w:rsidRPr="00537CB3">
        <w:rPr>
          <w:rFonts w:ascii="Simplified Arabic" w:hAnsi="Simplified Arabic" w:cs="Simplified Arabic"/>
          <w:sz w:val="24"/>
          <w:szCs w:val="24"/>
        </w:rPr>
        <w:t>1.5</w:t>
      </w:r>
      <w:r w:rsidRPr="00537CB3">
        <w:rPr>
          <w:rFonts w:ascii="Times New Roman" w:hAnsi="Times New Roman"/>
          <w:color w:val="auto"/>
          <w:sz w:val="24"/>
          <w:szCs w:val="24"/>
        </w:rPr>
        <w:t>% in Palestine.</w:t>
      </w:r>
    </w:p>
    <w:p w14:paraId="7BE53CB2" w14:textId="77777777" w:rsidR="0071415F" w:rsidRPr="00537CB3"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24566C21" w14:textId="77777777" w:rsidR="0071415F" w:rsidRPr="00537CB3" w:rsidRDefault="0071415F" w:rsidP="00321776">
      <w:pPr>
        <w:autoSpaceDE w:val="0"/>
        <w:autoSpaceDN w:val="0"/>
        <w:bidi w:val="0"/>
        <w:adjustRightInd w:val="0"/>
        <w:spacing w:after="0" w:line="240" w:lineRule="auto"/>
        <w:jc w:val="center"/>
        <w:rPr>
          <w:rFonts w:ascii="Arial" w:hAnsi="Arial"/>
          <w:b/>
          <w:bCs/>
        </w:rPr>
      </w:pPr>
      <w:r w:rsidRPr="00537CB3">
        <w:rPr>
          <w:rFonts w:ascii="Arial" w:hAnsi="Arial"/>
          <w:b/>
          <w:bCs/>
        </w:rPr>
        <w:t xml:space="preserve">Financial Soundness Indicators in Palestine, </w:t>
      </w:r>
      <w:r w:rsidR="00321776" w:rsidRPr="00537CB3">
        <w:rPr>
          <w:rFonts w:ascii="Arial" w:hAnsi="Arial"/>
          <w:b/>
          <w:bCs/>
        </w:rPr>
        <w:t xml:space="preserve">2022 </w:t>
      </w:r>
      <w:r w:rsidRPr="00537CB3">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537CB3" w14:paraId="7DD7E7A2" w14:textId="77777777" w:rsidTr="0071415F">
        <w:tc>
          <w:tcPr>
            <w:tcW w:w="9060" w:type="dxa"/>
            <w:shd w:val="clear" w:color="auto" w:fill="auto"/>
          </w:tcPr>
          <w:p w14:paraId="227F0462" w14:textId="77777777" w:rsidR="0071415F" w:rsidRPr="00537CB3" w:rsidRDefault="0071415F" w:rsidP="0071415F">
            <w:pPr>
              <w:tabs>
                <w:tab w:val="left" w:pos="9072"/>
              </w:tabs>
              <w:bidi w:val="0"/>
              <w:spacing w:after="0" w:line="240" w:lineRule="auto"/>
              <w:jc w:val="center"/>
              <w:rPr>
                <w:rFonts w:ascii="Arial" w:hAnsi="Arial"/>
                <w:b/>
                <w:bCs/>
                <w:sz w:val="18"/>
                <w:szCs w:val="18"/>
              </w:rPr>
            </w:pPr>
            <w:r w:rsidRPr="00537CB3">
              <w:rPr>
                <w:rFonts w:ascii="Arial" w:hAnsi="Arial"/>
                <w:b/>
                <w:bCs/>
                <w:noProof/>
                <w:sz w:val="18"/>
                <w:szCs w:val="18"/>
              </w:rPr>
              <w:drawing>
                <wp:inline distT="0" distB="0" distL="0" distR="0" wp14:anchorId="02476489" wp14:editId="07E89492">
                  <wp:extent cx="5496261" cy="2289810"/>
                  <wp:effectExtent l="0" t="0" r="0" b="0"/>
                  <wp:docPr id="220" name="Chart 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bl>
    <w:p w14:paraId="5EDE2F5B" w14:textId="77777777" w:rsidR="0071415F" w:rsidRPr="008970F7" w:rsidRDefault="0071415F" w:rsidP="00B9140F">
      <w:pPr>
        <w:bidi w:val="0"/>
        <w:spacing w:after="0" w:line="240" w:lineRule="auto"/>
        <w:ind w:right="139"/>
        <w:jc w:val="both"/>
        <w:rPr>
          <w:rFonts w:ascii="Arial" w:hAnsi="Arial"/>
          <w:sz w:val="18"/>
          <w:szCs w:val="18"/>
        </w:rPr>
      </w:pPr>
      <w:r w:rsidRPr="00537CB3">
        <w:rPr>
          <w:rFonts w:ascii="Arial" w:hAnsi="Arial"/>
          <w:b/>
          <w:bCs/>
          <w:sz w:val="18"/>
          <w:szCs w:val="18"/>
        </w:rPr>
        <w:t>Source: Palestinian Monetary Authority,</w:t>
      </w:r>
      <w:r w:rsidR="00B9140F" w:rsidRPr="00537CB3">
        <w:rPr>
          <w:rFonts w:ascii="Arial" w:hAnsi="Arial"/>
          <w:sz w:val="18"/>
          <w:szCs w:val="18"/>
        </w:rPr>
        <w:t>2022</w:t>
      </w:r>
      <w:r w:rsidRPr="00537CB3">
        <w:rPr>
          <w:rFonts w:ascii="Arial" w:hAnsi="Arial"/>
          <w:sz w:val="18"/>
          <w:szCs w:val="18"/>
        </w:rPr>
        <w:t>.  Ramallah – Palestine.</w:t>
      </w:r>
      <w:r w:rsidRPr="008970F7">
        <w:rPr>
          <w:rFonts w:ascii="Arial" w:hAnsi="Arial"/>
          <w:sz w:val="18"/>
          <w:szCs w:val="18"/>
        </w:rPr>
        <w:t xml:space="preserve">  </w:t>
      </w:r>
    </w:p>
    <w:p w14:paraId="0CCB997E" w14:textId="77777777" w:rsidR="001F12C6" w:rsidRDefault="001F12C6" w:rsidP="0071415F">
      <w:pPr>
        <w:autoSpaceDE w:val="0"/>
        <w:autoSpaceDN w:val="0"/>
        <w:bidi w:val="0"/>
        <w:adjustRightInd w:val="0"/>
        <w:spacing w:after="0" w:line="240" w:lineRule="auto"/>
        <w:jc w:val="both"/>
        <w:rPr>
          <w:rFonts w:ascii="Times New Roman" w:hAnsi="Times New Roman" w:cs="Times New Roman"/>
          <w:sz w:val="24"/>
          <w:szCs w:val="24"/>
        </w:rPr>
      </w:pPr>
    </w:p>
    <w:p w14:paraId="79CC2BAB" w14:textId="77777777" w:rsidR="001F12C6" w:rsidRDefault="001F12C6" w:rsidP="001F12C6">
      <w:pPr>
        <w:autoSpaceDE w:val="0"/>
        <w:autoSpaceDN w:val="0"/>
        <w:bidi w:val="0"/>
        <w:adjustRightInd w:val="0"/>
        <w:spacing w:after="0" w:line="240" w:lineRule="auto"/>
        <w:jc w:val="both"/>
        <w:rPr>
          <w:rFonts w:ascii="Times New Roman" w:hAnsi="Times New Roman" w:cs="Times New Roman"/>
          <w:sz w:val="24"/>
          <w:szCs w:val="24"/>
        </w:rPr>
      </w:pPr>
    </w:p>
    <w:p w14:paraId="28B44877" w14:textId="77777777" w:rsidR="001F12C6" w:rsidRDefault="001F12C6" w:rsidP="001F12C6">
      <w:pPr>
        <w:autoSpaceDE w:val="0"/>
        <w:autoSpaceDN w:val="0"/>
        <w:bidi w:val="0"/>
        <w:adjustRightInd w:val="0"/>
        <w:spacing w:after="0" w:line="240" w:lineRule="auto"/>
        <w:jc w:val="both"/>
        <w:rPr>
          <w:rFonts w:ascii="Times New Roman" w:hAnsi="Times New Roman" w:cs="Times New Roman"/>
          <w:sz w:val="24"/>
          <w:szCs w:val="24"/>
        </w:rPr>
      </w:pPr>
    </w:p>
    <w:p w14:paraId="274CD520" w14:textId="77777777" w:rsidR="0071415F" w:rsidRPr="00537CB3" w:rsidRDefault="0071415F" w:rsidP="001F12C6">
      <w:pPr>
        <w:autoSpaceDE w:val="0"/>
        <w:autoSpaceDN w:val="0"/>
        <w:bidi w:val="0"/>
        <w:adjustRightInd w:val="0"/>
        <w:spacing w:after="0" w:line="240" w:lineRule="auto"/>
        <w:jc w:val="both"/>
        <w:rPr>
          <w:rFonts w:ascii="Times New Roman" w:hAnsi="Times New Roman" w:cs="Times New Roman"/>
          <w:b/>
          <w:bCs/>
          <w:i/>
          <w:iCs/>
          <w:sz w:val="24"/>
          <w:szCs w:val="24"/>
        </w:rPr>
      </w:pPr>
      <w:r w:rsidRPr="00195DAC">
        <w:rPr>
          <w:rFonts w:ascii="Times New Roman" w:hAnsi="Times New Roman" w:cs="Times New Roman"/>
          <w:b/>
          <w:bCs/>
          <w:i/>
          <w:iCs/>
          <w:sz w:val="24"/>
          <w:szCs w:val="24"/>
        </w:rPr>
        <w:lastRenderedPageBreak/>
        <w:t xml:space="preserve">Indicator </w:t>
      </w:r>
      <w:r w:rsidRPr="00F03E42">
        <w:rPr>
          <w:rFonts w:ascii="Times New Roman" w:hAnsi="Times New Roman" w:cs="Times New Roman"/>
          <w:b/>
          <w:bCs/>
          <w:i/>
          <w:iCs/>
          <w:sz w:val="24"/>
          <w:szCs w:val="24"/>
        </w:rPr>
        <w:t>10.</w:t>
      </w:r>
      <w:r w:rsidRPr="00537CB3">
        <w:rPr>
          <w:rFonts w:ascii="Times New Roman" w:hAnsi="Times New Roman" w:cs="Times New Roman"/>
          <w:b/>
          <w:bCs/>
          <w:i/>
          <w:iCs/>
          <w:sz w:val="24"/>
          <w:szCs w:val="24"/>
        </w:rPr>
        <w:t>b.1  Total resource flows for development, by recipient</w:t>
      </w:r>
      <w:r w:rsidR="005D6E71" w:rsidRPr="00537CB3">
        <w:rPr>
          <w:rFonts w:ascii="Times New Roman" w:hAnsi="Times New Roman" w:cs="Times New Roman"/>
          <w:b/>
          <w:bCs/>
          <w:i/>
          <w:iCs/>
          <w:sz w:val="24"/>
          <w:szCs w:val="24"/>
        </w:rPr>
        <w:t>,</w:t>
      </w:r>
      <w:r w:rsidRPr="00537CB3">
        <w:rPr>
          <w:rFonts w:ascii="Times New Roman" w:hAnsi="Times New Roman" w:cs="Times New Roman"/>
          <w:b/>
          <w:bCs/>
          <w:i/>
          <w:iCs/>
          <w:sz w:val="24"/>
          <w:szCs w:val="24"/>
        </w:rPr>
        <w:t xml:space="preserve"> donor countr</w:t>
      </w:r>
      <w:r w:rsidR="005D6E71" w:rsidRPr="00537CB3">
        <w:rPr>
          <w:rFonts w:ascii="Times New Roman" w:hAnsi="Times New Roman" w:cs="Times New Roman"/>
          <w:b/>
          <w:bCs/>
          <w:i/>
          <w:iCs/>
          <w:sz w:val="24"/>
          <w:szCs w:val="24"/>
        </w:rPr>
        <w:t>y,</w:t>
      </w:r>
      <w:r w:rsidRPr="00537CB3">
        <w:rPr>
          <w:rFonts w:ascii="Times New Roman" w:hAnsi="Times New Roman" w:cs="Times New Roman"/>
          <w:b/>
          <w:bCs/>
          <w:i/>
          <w:iCs/>
          <w:sz w:val="24"/>
          <w:szCs w:val="24"/>
        </w:rPr>
        <w:t xml:space="preserve"> and type of flow (e.g. official development assistance, foreign direct investment and other flows)</w:t>
      </w:r>
    </w:p>
    <w:p w14:paraId="4998E293" w14:textId="77777777" w:rsidR="00A92234" w:rsidRPr="00537CB3"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0938F2DA" w14:textId="77777777" w:rsidR="0071415F" w:rsidRPr="00537CB3" w:rsidRDefault="0071415F" w:rsidP="00B9140F">
      <w:pPr>
        <w:bidi w:val="0"/>
        <w:spacing w:after="0" w:line="240" w:lineRule="auto"/>
        <w:jc w:val="both"/>
        <w:rPr>
          <w:rFonts w:ascii="Times New Roman" w:hAnsi="Times New Roman" w:cs="Times New Roman"/>
          <w:sz w:val="24"/>
          <w:szCs w:val="24"/>
          <w:rtl/>
        </w:rPr>
      </w:pPr>
      <w:r w:rsidRPr="00537CB3">
        <w:rPr>
          <w:rFonts w:ascii="Times New Roman" w:hAnsi="Times New Roman" w:cs="Times New Roman"/>
          <w:sz w:val="24"/>
          <w:szCs w:val="24"/>
        </w:rPr>
        <w:t>The total resource flows for development increase</w:t>
      </w:r>
      <w:r w:rsidR="005D6E71" w:rsidRPr="00537CB3">
        <w:rPr>
          <w:rFonts w:ascii="Times New Roman" w:hAnsi="Times New Roman" w:cs="Times New Roman"/>
          <w:sz w:val="24"/>
          <w:szCs w:val="24"/>
        </w:rPr>
        <w:t>d</w:t>
      </w:r>
      <w:r w:rsidRPr="00537CB3">
        <w:rPr>
          <w:rFonts w:ascii="Times New Roman" w:hAnsi="Times New Roman" w:cs="Times New Roman"/>
          <w:sz w:val="24"/>
          <w:szCs w:val="24"/>
        </w:rPr>
        <w:t xml:space="preserve"> to </w:t>
      </w:r>
      <w:r w:rsidR="00B9140F" w:rsidRPr="00537CB3">
        <w:rPr>
          <w:rFonts w:ascii="Times New Roman" w:hAnsi="Times New Roman" w:cs="Times New Roman"/>
          <w:sz w:val="24"/>
          <w:szCs w:val="24"/>
        </w:rPr>
        <w:t>2295.0</w:t>
      </w:r>
      <w:r w:rsidRPr="00537CB3">
        <w:rPr>
          <w:rFonts w:ascii="Times New Roman" w:hAnsi="Times New Roman" w:cs="Times New Roman"/>
          <w:sz w:val="24"/>
          <w:szCs w:val="24"/>
        </w:rPr>
        <w:t xml:space="preserve"> million US</w:t>
      </w:r>
      <w:r w:rsidR="005D6E71" w:rsidRPr="00537CB3">
        <w:rPr>
          <w:rFonts w:ascii="Times New Roman" w:hAnsi="Times New Roman" w:cs="Times New Roman"/>
          <w:sz w:val="24"/>
          <w:szCs w:val="24"/>
        </w:rPr>
        <w:t>D</w:t>
      </w:r>
      <w:r w:rsidRPr="00537CB3">
        <w:rPr>
          <w:rFonts w:ascii="Times New Roman" w:hAnsi="Times New Roman" w:cs="Times New Roman"/>
          <w:sz w:val="24"/>
          <w:szCs w:val="24"/>
        </w:rPr>
        <w:t xml:space="preserve"> in </w:t>
      </w:r>
      <w:r w:rsidR="00B9140F" w:rsidRPr="00537CB3">
        <w:rPr>
          <w:rFonts w:ascii="Times New Roman" w:hAnsi="Times New Roman" w:cs="Times New Roman"/>
          <w:sz w:val="24"/>
          <w:szCs w:val="24"/>
        </w:rPr>
        <w:t>2019</w:t>
      </w:r>
      <w:r w:rsidRPr="00537CB3">
        <w:rPr>
          <w:rFonts w:ascii="Times New Roman" w:hAnsi="Times New Roman" w:cs="Times New Roman"/>
          <w:sz w:val="24"/>
          <w:szCs w:val="24"/>
        </w:rPr>
        <w:t xml:space="preserve">, compared to </w:t>
      </w:r>
      <w:r w:rsidR="00B337DF" w:rsidRPr="00537CB3">
        <w:rPr>
          <w:rFonts w:ascii="Times New Roman" w:hAnsi="Times New Roman" w:cs="Times New Roman"/>
          <w:sz w:val="24"/>
          <w:szCs w:val="24"/>
        </w:rPr>
        <w:t>1887.1</w:t>
      </w:r>
      <w:r w:rsidRPr="00537CB3">
        <w:rPr>
          <w:rFonts w:ascii="Times New Roman" w:hAnsi="Times New Roman" w:cs="Times New Roman"/>
          <w:sz w:val="24"/>
          <w:szCs w:val="24"/>
        </w:rPr>
        <w:t xml:space="preserve"> million US</w:t>
      </w:r>
      <w:r w:rsidR="005D6E71" w:rsidRPr="00537CB3">
        <w:rPr>
          <w:rFonts w:ascii="Times New Roman" w:hAnsi="Times New Roman" w:cs="Times New Roman"/>
          <w:sz w:val="24"/>
          <w:szCs w:val="24"/>
        </w:rPr>
        <w:t>D</w:t>
      </w:r>
      <w:r w:rsidRPr="00537CB3">
        <w:rPr>
          <w:rFonts w:ascii="Times New Roman" w:hAnsi="Times New Roman" w:cs="Times New Roman"/>
          <w:sz w:val="24"/>
          <w:szCs w:val="24"/>
        </w:rPr>
        <w:t xml:space="preserve"> in </w:t>
      </w:r>
      <w:r w:rsidR="00B337DF" w:rsidRPr="00537CB3">
        <w:rPr>
          <w:rFonts w:ascii="Times New Roman" w:hAnsi="Times New Roman" w:cs="Times New Roman"/>
          <w:sz w:val="24"/>
          <w:szCs w:val="24"/>
        </w:rPr>
        <w:t>2015</w:t>
      </w:r>
      <w:r w:rsidRPr="00537CB3">
        <w:rPr>
          <w:rFonts w:ascii="Times New Roman" w:hAnsi="Times New Roman" w:cs="Times New Roman"/>
          <w:sz w:val="24"/>
          <w:szCs w:val="24"/>
        </w:rPr>
        <w:t>.</w:t>
      </w:r>
    </w:p>
    <w:p w14:paraId="68C959AD" w14:textId="77777777" w:rsidR="00C70E73" w:rsidRPr="00537CB3" w:rsidRDefault="00C70E73" w:rsidP="00F3507C">
      <w:pPr>
        <w:tabs>
          <w:tab w:val="left" w:pos="9072"/>
        </w:tabs>
        <w:bidi w:val="0"/>
        <w:spacing w:after="0" w:line="240" w:lineRule="auto"/>
        <w:rPr>
          <w:rFonts w:ascii="Arial" w:hAnsi="Arial"/>
          <w:b/>
          <w:bCs/>
        </w:rPr>
      </w:pPr>
    </w:p>
    <w:p w14:paraId="0F8242CD" w14:textId="77777777" w:rsidR="0071415F" w:rsidRPr="00537CB3" w:rsidRDefault="0071415F" w:rsidP="00B9140F">
      <w:pPr>
        <w:tabs>
          <w:tab w:val="left" w:pos="9072"/>
        </w:tabs>
        <w:bidi w:val="0"/>
        <w:spacing w:after="0" w:line="240" w:lineRule="auto"/>
        <w:jc w:val="center"/>
        <w:rPr>
          <w:rFonts w:ascii="Arial" w:hAnsi="Arial"/>
          <w:b/>
          <w:bCs/>
        </w:rPr>
      </w:pPr>
      <w:r w:rsidRPr="00537CB3">
        <w:rPr>
          <w:rFonts w:ascii="Arial" w:hAnsi="Arial"/>
          <w:b/>
          <w:bCs/>
        </w:rPr>
        <w:t xml:space="preserve">Total </w:t>
      </w:r>
      <w:r w:rsidR="005D6E71" w:rsidRPr="00537CB3">
        <w:rPr>
          <w:rFonts w:ascii="Arial" w:hAnsi="Arial"/>
          <w:b/>
          <w:bCs/>
        </w:rPr>
        <w:t>R</w:t>
      </w:r>
      <w:r w:rsidRPr="00537CB3">
        <w:rPr>
          <w:rFonts w:ascii="Arial" w:hAnsi="Arial"/>
          <w:b/>
          <w:bCs/>
        </w:rPr>
        <w:t xml:space="preserve">esource </w:t>
      </w:r>
      <w:r w:rsidR="005D6E71" w:rsidRPr="00537CB3">
        <w:rPr>
          <w:rFonts w:ascii="Arial" w:hAnsi="Arial"/>
          <w:b/>
          <w:bCs/>
        </w:rPr>
        <w:t>F</w:t>
      </w:r>
      <w:r w:rsidRPr="00537CB3">
        <w:rPr>
          <w:rFonts w:ascii="Arial" w:hAnsi="Arial"/>
          <w:b/>
          <w:bCs/>
        </w:rPr>
        <w:t xml:space="preserve">lows for </w:t>
      </w:r>
      <w:r w:rsidR="005D6E71" w:rsidRPr="00537CB3">
        <w:rPr>
          <w:rFonts w:ascii="Arial" w:hAnsi="Arial"/>
          <w:b/>
          <w:bCs/>
        </w:rPr>
        <w:t>D</w:t>
      </w:r>
      <w:r w:rsidRPr="00537CB3">
        <w:rPr>
          <w:rFonts w:ascii="Arial" w:hAnsi="Arial"/>
          <w:b/>
          <w:bCs/>
        </w:rPr>
        <w:t xml:space="preserve">evelopment, </w:t>
      </w:r>
      <w:r w:rsidR="00B337DF" w:rsidRPr="00537CB3">
        <w:rPr>
          <w:rFonts w:ascii="Arial" w:hAnsi="Arial" w:hint="cs"/>
          <w:b/>
          <w:bCs/>
          <w:rtl/>
        </w:rPr>
        <w:t>2015</w:t>
      </w:r>
      <w:r w:rsidRPr="00537CB3">
        <w:rPr>
          <w:rFonts w:ascii="Arial" w:hAnsi="Arial"/>
          <w:b/>
          <w:bCs/>
        </w:rPr>
        <w:t>-201</w:t>
      </w:r>
      <w:r w:rsidR="00B9140F" w:rsidRPr="00537CB3">
        <w:rPr>
          <w:rFonts w:ascii="Arial" w:hAnsi="Arial"/>
          <w:b/>
          <w:bCs/>
        </w:rPr>
        <w:t>9</w:t>
      </w:r>
      <w:r w:rsidRPr="00537CB3">
        <w:rPr>
          <w:rFonts w:ascii="Arial" w:hAnsi="Arial"/>
          <w:b/>
          <w:bCs/>
        </w:rPr>
        <w:t xml:space="preserve"> (Million US$)</w:t>
      </w:r>
    </w:p>
    <w:tbl>
      <w:tblPr>
        <w:bidiVisual/>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3"/>
      </w:tblGrid>
      <w:tr w:rsidR="0071415F" w:rsidRPr="00537CB3" w14:paraId="055124FE" w14:textId="77777777" w:rsidTr="007B4A03">
        <w:trPr>
          <w:trHeight w:val="3441"/>
        </w:trPr>
        <w:tc>
          <w:tcPr>
            <w:tcW w:w="9083" w:type="dxa"/>
            <w:shd w:val="clear" w:color="auto" w:fill="auto"/>
          </w:tcPr>
          <w:p w14:paraId="13497D1B" w14:textId="77777777" w:rsidR="0071415F" w:rsidRPr="00537CB3" w:rsidRDefault="0071415F" w:rsidP="0071415F">
            <w:pPr>
              <w:spacing w:after="0" w:line="240" w:lineRule="auto"/>
              <w:jc w:val="center"/>
              <w:rPr>
                <w:rFonts w:ascii="Simplified Arabic" w:hAnsi="Simplified Arabic" w:cs="Simplified Arabic"/>
                <w:b/>
                <w:bCs/>
                <w:color w:val="000000"/>
                <w:rtl/>
              </w:rPr>
            </w:pPr>
            <w:r w:rsidRPr="00537CB3">
              <w:rPr>
                <w:rFonts w:ascii="Simplified Arabic" w:hAnsi="Simplified Arabic" w:cs="Simplified Arabic"/>
                <w:b/>
                <w:bCs/>
                <w:noProof/>
                <w:color w:val="000000"/>
              </w:rPr>
              <w:drawing>
                <wp:inline distT="0" distB="0" distL="0" distR="0" wp14:anchorId="00984C62" wp14:editId="6DB6FD91">
                  <wp:extent cx="5295900" cy="2096135"/>
                  <wp:effectExtent l="0" t="0" r="0" b="0"/>
                  <wp:docPr id="221"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bl>
    <w:p w14:paraId="1504CFE2" w14:textId="77777777" w:rsidR="00A92234" w:rsidRPr="00537CB3" w:rsidRDefault="00996372" w:rsidP="00B9140F">
      <w:pPr>
        <w:autoSpaceDE w:val="0"/>
        <w:autoSpaceDN w:val="0"/>
        <w:bidi w:val="0"/>
        <w:adjustRightInd w:val="0"/>
        <w:spacing w:after="0" w:line="240" w:lineRule="auto"/>
        <w:jc w:val="both"/>
        <w:rPr>
          <w:rFonts w:asciiTheme="minorBidi" w:hAnsiTheme="minorBidi" w:cstheme="minorBidi"/>
          <w:sz w:val="18"/>
          <w:szCs w:val="18"/>
        </w:rPr>
      </w:pPr>
      <w:r w:rsidRPr="00537CB3">
        <w:rPr>
          <w:rFonts w:ascii="Arial" w:hAnsi="Arial"/>
          <w:b/>
          <w:bCs/>
          <w:sz w:val="18"/>
          <w:szCs w:val="18"/>
        </w:rPr>
        <w:t>Source</w:t>
      </w:r>
      <w:r w:rsidRPr="00537CB3">
        <w:rPr>
          <w:rFonts w:asciiTheme="minorBidi" w:hAnsiTheme="minorBidi" w:cstheme="minorBidi"/>
          <w:b/>
          <w:bCs/>
          <w:sz w:val="18"/>
          <w:szCs w:val="18"/>
        </w:rPr>
        <w:t>: Organization for Economic Co-operation and Development (OECD)</w:t>
      </w:r>
      <w:r w:rsidRPr="00537CB3">
        <w:rPr>
          <w:rFonts w:asciiTheme="minorBidi" w:hAnsiTheme="minorBidi" w:cstheme="minorBidi"/>
          <w:sz w:val="18"/>
          <w:szCs w:val="18"/>
        </w:rPr>
        <w:t>,2015-201</w:t>
      </w:r>
      <w:r w:rsidR="00B9140F" w:rsidRPr="00537CB3">
        <w:rPr>
          <w:rFonts w:asciiTheme="minorBidi" w:hAnsiTheme="minorBidi" w:cstheme="minorBidi"/>
          <w:sz w:val="18"/>
          <w:szCs w:val="18"/>
        </w:rPr>
        <w:t>9</w:t>
      </w:r>
    </w:p>
    <w:p w14:paraId="74A7E000" w14:textId="77777777" w:rsidR="00A92234" w:rsidRPr="00537CB3"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6749441A" w14:textId="77777777" w:rsidR="0071415F" w:rsidRPr="00537CB3" w:rsidRDefault="0071415F" w:rsidP="00A92234">
      <w:pPr>
        <w:autoSpaceDE w:val="0"/>
        <w:autoSpaceDN w:val="0"/>
        <w:bidi w:val="0"/>
        <w:adjustRightInd w:val="0"/>
        <w:spacing w:after="0" w:line="240" w:lineRule="auto"/>
        <w:jc w:val="both"/>
        <w:rPr>
          <w:rFonts w:ascii="Times New Roman" w:hAnsi="Times New Roman" w:cs="Times New Roman"/>
          <w:b/>
          <w:bCs/>
          <w:i/>
          <w:iCs/>
          <w:sz w:val="24"/>
          <w:szCs w:val="24"/>
        </w:rPr>
      </w:pPr>
      <w:r w:rsidRPr="00537CB3">
        <w:rPr>
          <w:rFonts w:ascii="Times New Roman" w:hAnsi="Times New Roman" w:cs="Times New Roman"/>
          <w:b/>
          <w:bCs/>
          <w:i/>
          <w:iCs/>
          <w:sz w:val="24"/>
          <w:szCs w:val="24"/>
        </w:rPr>
        <w:t>Indicator 10.c.1 Remittance costs as a proportion of the amount remitted</w:t>
      </w:r>
    </w:p>
    <w:p w14:paraId="00C68D10" w14:textId="77777777" w:rsidR="00A92234" w:rsidRPr="00537CB3"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5C1E5CB4" w14:textId="77777777" w:rsidR="0071415F" w:rsidRPr="00CB3790" w:rsidRDefault="005D6E71" w:rsidP="0071415F">
      <w:pPr>
        <w:autoSpaceDE w:val="0"/>
        <w:autoSpaceDN w:val="0"/>
        <w:bidi w:val="0"/>
        <w:adjustRightInd w:val="0"/>
        <w:spacing w:after="0" w:line="240" w:lineRule="auto"/>
        <w:jc w:val="both"/>
        <w:rPr>
          <w:rFonts w:ascii="Times New Roman" w:hAnsi="Times New Roman" w:cs="Times New Roman"/>
          <w:sz w:val="24"/>
          <w:szCs w:val="24"/>
        </w:rPr>
      </w:pPr>
      <w:r w:rsidRPr="00537CB3">
        <w:rPr>
          <w:rFonts w:ascii="Times New Roman" w:hAnsi="Times New Roman" w:cs="Times New Roman"/>
          <w:sz w:val="24"/>
          <w:szCs w:val="24"/>
        </w:rPr>
        <w:t>R</w:t>
      </w:r>
      <w:r w:rsidR="0071415F" w:rsidRPr="00537CB3">
        <w:rPr>
          <w:rFonts w:ascii="Times New Roman" w:hAnsi="Times New Roman" w:cs="Times New Roman"/>
          <w:sz w:val="24"/>
          <w:szCs w:val="24"/>
        </w:rPr>
        <w:t>emittance cost</w:t>
      </w:r>
      <w:r w:rsidRPr="00537CB3">
        <w:rPr>
          <w:rFonts w:ascii="Times New Roman" w:hAnsi="Times New Roman" w:cs="Times New Roman"/>
          <w:sz w:val="24"/>
          <w:szCs w:val="24"/>
        </w:rPr>
        <w:t>sreached</w:t>
      </w:r>
      <w:r w:rsidR="0071415F" w:rsidRPr="00537CB3">
        <w:rPr>
          <w:rFonts w:ascii="Times New Roman" w:hAnsi="Times New Roman" w:cs="Times New Roman"/>
          <w:sz w:val="24"/>
          <w:szCs w:val="24"/>
        </w:rPr>
        <w:t xml:space="preserve"> 7.3% of </w:t>
      </w:r>
      <w:r w:rsidRPr="00537CB3">
        <w:rPr>
          <w:rFonts w:ascii="Times New Roman" w:hAnsi="Times New Roman" w:cs="Times New Roman"/>
          <w:sz w:val="24"/>
          <w:szCs w:val="24"/>
        </w:rPr>
        <w:t xml:space="preserve">the </w:t>
      </w:r>
      <w:r w:rsidR="0071415F" w:rsidRPr="00537CB3">
        <w:rPr>
          <w:rFonts w:ascii="Times New Roman" w:hAnsi="Times New Roman" w:cs="Times New Roman"/>
          <w:sz w:val="24"/>
          <w:szCs w:val="24"/>
        </w:rPr>
        <w:t>total amount remitted in the years 2016 and 2017 but decreased to 6.7% in 2020.</w:t>
      </w:r>
    </w:p>
    <w:p w14:paraId="13D74095" w14:textId="77777777" w:rsidR="0071415F" w:rsidRDefault="0071415F" w:rsidP="0071415F">
      <w:pPr>
        <w:tabs>
          <w:tab w:val="left" w:pos="9072"/>
        </w:tabs>
        <w:bidi w:val="0"/>
        <w:spacing w:after="0" w:line="240" w:lineRule="auto"/>
        <w:jc w:val="center"/>
        <w:rPr>
          <w:rFonts w:ascii="Arial" w:hAnsi="Arial"/>
          <w:b/>
          <w:bCs/>
          <w:color w:val="FF0000"/>
        </w:rPr>
      </w:pPr>
    </w:p>
    <w:p w14:paraId="43D5553E" w14:textId="77777777" w:rsidR="0071415F" w:rsidRPr="00CB3790" w:rsidRDefault="0071415F" w:rsidP="0071415F">
      <w:pPr>
        <w:tabs>
          <w:tab w:val="left" w:pos="9072"/>
        </w:tabs>
        <w:bidi w:val="0"/>
        <w:spacing w:after="0" w:line="240" w:lineRule="auto"/>
        <w:jc w:val="center"/>
        <w:rPr>
          <w:rFonts w:ascii="Arial" w:hAnsi="Arial"/>
          <w:b/>
          <w:bCs/>
        </w:rPr>
      </w:pPr>
      <w:r w:rsidRPr="00CB3790">
        <w:rPr>
          <w:rFonts w:ascii="Arial" w:hAnsi="Arial"/>
          <w:b/>
          <w:bCs/>
        </w:rPr>
        <w:t xml:space="preserve">Remittance </w:t>
      </w:r>
      <w:r w:rsidR="005D6E71">
        <w:rPr>
          <w:rFonts w:ascii="Arial" w:hAnsi="Arial"/>
          <w:b/>
          <w:bCs/>
        </w:rPr>
        <w:t>C</w:t>
      </w:r>
      <w:r w:rsidRPr="00CB3790">
        <w:rPr>
          <w:rFonts w:ascii="Arial" w:hAnsi="Arial"/>
          <w:b/>
          <w:bCs/>
        </w:rPr>
        <w:t xml:space="preserve">osts as a </w:t>
      </w:r>
      <w:r w:rsidR="005D6E71">
        <w:rPr>
          <w:rFonts w:ascii="Arial" w:hAnsi="Arial"/>
          <w:b/>
          <w:bCs/>
        </w:rPr>
        <w:t>P</w:t>
      </w:r>
      <w:r w:rsidRPr="00CB3790">
        <w:rPr>
          <w:rFonts w:ascii="Arial" w:hAnsi="Arial"/>
          <w:b/>
          <w:bCs/>
        </w:rPr>
        <w:t xml:space="preserve">roportion of the </w:t>
      </w:r>
      <w:r w:rsidR="005D6E71">
        <w:rPr>
          <w:rFonts w:ascii="Arial" w:hAnsi="Arial"/>
          <w:b/>
          <w:bCs/>
        </w:rPr>
        <w:t>T</w:t>
      </w:r>
      <w:r w:rsidRPr="00CB3790">
        <w:rPr>
          <w:rFonts w:ascii="Arial" w:hAnsi="Arial"/>
          <w:b/>
          <w:bCs/>
        </w:rPr>
        <w:t xml:space="preserve">otal </w:t>
      </w:r>
      <w:r w:rsidR="005D6E71">
        <w:rPr>
          <w:rFonts w:ascii="Arial" w:hAnsi="Arial"/>
          <w:b/>
          <w:bCs/>
        </w:rPr>
        <w:t>A</w:t>
      </w:r>
      <w:r w:rsidRPr="00CB3790">
        <w:rPr>
          <w:rFonts w:ascii="Arial" w:hAnsi="Arial"/>
          <w:b/>
          <w:bCs/>
        </w:rPr>
        <w:t xml:space="preserve">mount </w:t>
      </w:r>
      <w:r w:rsidR="005D6E71">
        <w:rPr>
          <w:rFonts w:ascii="Arial" w:hAnsi="Arial"/>
          <w:b/>
          <w:bCs/>
        </w:rPr>
        <w:t>R</w:t>
      </w:r>
      <w:r w:rsidRPr="00CB3790">
        <w:rPr>
          <w:rFonts w:ascii="Arial" w:hAnsi="Arial"/>
          <w:b/>
          <w:bCs/>
        </w:rPr>
        <w:t>emitted, 2016-2020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CB3790" w14:paraId="67DB7CAC" w14:textId="77777777" w:rsidTr="00C70E73">
        <w:trPr>
          <w:trHeight w:val="3614"/>
        </w:trPr>
        <w:tc>
          <w:tcPr>
            <w:tcW w:w="9060" w:type="dxa"/>
            <w:shd w:val="clear" w:color="auto" w:fill="auto"/>
          </w:tcPr>
          <w:p w14:paraId="6A33FF71" w14:textId="77777777" w:rsidR="0071415F" w:rsidRPr="00CB3790" w:rsidRDefault="0071415F" w:rsidP="0071415F">
            <w:pPr>
              <w:tabs>
                <w:tab w:val="left" w:pos="9072"/>
              </w:tabs>
              <w:bidi w:val="0"/>
              <w:spacing w:after="0" w:line="240" w:lineRule="auto"/>
              <w:jc w:val="center"/>
              <w:rPr>
                <w:rFonts w:ascii="Arial" w:hAnsi="Arial"/>
                <w:b/>
                <w:bCs/>
                <w:lang w:val="it-IT"/>
              </w:rPr>
            </w:pPr>
            <w:r w:rsidRPr="00CB3790">
              <w:rPr>
                <w:rFonts w:ascii="Times New Roman" w:hAnsi="Times New Roman" w:cs="Times New Roman"/>
                <w:b/>
                <w:iCs/>
                <w:noProof/>
              </w:rPr>
              <w:drawing>
                <wp:inline distT="0" distB="0" distL="0" distR="0" wp14:anchorId="202A9A8B" wp14:editId="1D779027">
                  <wp:extent cx="5725160" cy="2206869"/>
                  <wp:effectExtent l="0" t="0" r="8890" b="3175"/>
                  <wp:docPr id="9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bl>
    <w:p w14:paraId="6A4ABE87" w14:textId="77777777" w:rsidR="0071415F" w:rsidRPr="00E300A7" w:rsidRDefault="0071415F" w:rsidP="007141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jc w:val="both"/>
        <w:rPr>
          <w:rFonts w:asciiTheme="minorBidi" w:hAnsiTheme="minorBidi" w:cstheme="minorBidi"/>
          <w:b/>
          <w:bCs/>
          <w:sz w:val="18"/>
          <w:szCs w:val="18"/>
        </w:rPr>
      </w:pPr>
      <w:r w:rsidRPr="00770C22">
        <w:rPr>
          <w:rFonts w:asciiTheme="minorBidi" w:hAnsiTheme="minorBidi" w:cstheme="minorBidi"/>
          <w:b/>
          <w:bCs/>
          <w:sz w:val="18"/>
          <w:szCs w:val="18"/>
        </w:rPr>
        <w:t>Sour</w:t>
      </w:r>
      <w:r w:rsidRPr="00770C22">
        <w:rPr>
          <w:rFonts w:asciiTheme="minorBidi" w:hAnsiTheme="minorBidi" w:cstheme="minorBidi"/>
          <w:b/>
          <w:bCs/>
          <w:color w:val="000000"/>
          <w:sz w:val="18"/>
          <w:szCs w:val="18"/>
        </w:rPr>
        <w:t>ce</w:t>
      </w:r>
      <w:r w:rsidRPr="00770C22">
        <w:rPr>
          <w:rFonts w:asciiTheme="minorBidi" w:hAnsiTheme="minorBidi" w:cstheme="minorBidi"/>
          <w:sz w:val="18"/>
          <w:szCs w:val="18"/>
        </w:rPr>
        <w:t xml:space="preserve">: </w:t>
      </w:r>
      <w:hyperlink r:id="rId144" w:history="1">
        <w:r w:rsidRPr="00E300A7">
          <w:rPr>
            <w:rStyle w:val="Hyperlink"/>
            <w:rFonts w:asciiTheme="minorBidi" w:hAnsiTheme="minorBidi" w:cstheme="minorBidi"/>
            <w:b/>
            <w:bCs/>
            <w:sz w:val="18"/>
            <w:szCs w:val="18"/>
          </w:rPr>
          <w:t>https://unstats.un.org/sdgs/indicators/database</w:t>
        </w:r>
      </w:hyperlink>
    </w:p>
    <w:p w14:paraId="507C3E66"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Cs/>
          <w:sz w:val="24"/>
          <w:szCs w:val="24"/>
        </w:rPr>
      </w:pPr>
    </w:p>
    <w:p w14:paraId="4972A479"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Summary</w:t>
      </w:r>
    </w:p>
    <w:p w14:paraId="4E1C927E"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In Palestine</w:t>
      </w:r>
      <w:r w:rsidR="003B7793">
        <w:rPr>
          <w:rFonts w:ascii="Times New Roman" w:hAnsi="Times New Roman" w:cs="Times New Roman"/>
          <w:sz w:val="24"/>
          <w:szCs w:val="24"/>
        </w:rPr>
        <w:t xml:space="preserve"> in 2019</w:t>
      </w:r>
      <w:r w:rsidRPr="00195DAC">
        <w:rPr>
          <w:rFonts w:ascii="Times New Roman" w:hAnsi="Times New Roman" w:cs="Times New Roman"/>
          <w:sz w:val="24"/>
          <w:szCs w:val="24"/>
        </w:rPr>
        <w:t xml:space="preserve">, the share of </w:t>
      </w:r>
      <w:r w:rsidR="005D6E71">
        <w:rPr>
          <w:rFonts w:ascii="Times New Roman" w:hAnsi="Times New Roman" w:cs="Times New Roman"/>
          <w:sz w:val="24"/>
          <w:szCs w:val="24"/>
        </w:rPr>
        <w:t xml:space="preserve">the </w:t>
      </w:r>
      <w:r w:rsidRPr="00195DAC">
        <w:rPr>
          <w:rFonts w:ascii="Times New Roman" w:hAnsi="Times New Roman" w:cs="Times New Roman"/>
          <w:sz w:val="24"/>
          <w:szCs w:val="24"/>
        </w:rPr>
        <w:t xml:space="preserve">bottom 40% of </w:t>
      </w:r>
      <w:r w:rsidR="005D6E71">
        <w:rPr>
          <w:rFonts w:ascii="Times New Roman" w:hAnsi="Times New Roman" w:cs="Times New Roman"/>
          <w:sz w:val="24"/>
          <w:szCs w:val="24"/>
        </w:rPr>
        <w:t xml:space="preserve">the </w:t>
      </w:r>
      <w:r w:rsidRPr="00195DAC">
        <w:rPr>
          <w:rFonts w:ascii="Times New Roman" w:hAnsi="Times New Roman" w:cs="Times New Roman"/>
          <w:sz w:val="24"/>
          <w:szCs w:val="24"/>
        </w:rPr>
        <w:t>population was 25.6% of total population expenditure</w:t>
      </w:r>
      <w:r w:rsidR="005D6E71">
        <w:rPr>
          <w:rFonts w:ascii="Times New Roman" w:hAnsi="Times New Roman" w:cs="Times New Roman"/>
          <w:sz w:val="24"/>
          <w:szCs w:val="24"/>
        </w:rPr>
        <w:t>s</w:t>
      </w:r>
      <w:r w:rsidRPr="00195DAC">
        <w:rPr>
          <w:rFonts w:ascii="Times New Roman" w:hAnsi="Times New Roman" w:cs="Times New Roman"/>
          <w:sz w:val="24"/>
          <w:szCs w:val="24"/>
        </w:rPr>
        <w:t xml:space="preserve">. Thus, this share decreased to 24.4% in the years 2010 and 2011 and </w:t>
      </w:r>
      <w:r w:rsidR="005D6E71">
        <w:rPr>
          <w:rFonts w:ascii="Times New Roman" w:hAnsi="Times New Roman" w:cs="Times New Roman"/>
          <w:sz w:val="24"/>
          <w:szCs w:val="24"/>
        </w:rPr>
        <w:t xml:space="preserve">continued </w:t>
      </w:r>
      <w:r w:rsidRPr="00195DAC">
        <w:rPr>
          <w:rFonts w:ascii="Times New Roman" w:hAnsi="Times New Roman" w:cs="Times New Roman"/>
          <w:sz w:val="24"/>
          <w:szCs w:val="24"/>
        </w:rPr>
        <w:t xml:space="preserve"> decreasing in 2017 </w:t>
      </w:r>
      <w:r w:rsidR="005D6E71">
        <w:rPr>
          <w:rFonts w:ascii="Times New Roman" w:hAnsi="Times New Roman" w:cs="Times New Roman"/>
          <w:sz w:val="24"/>
          <w:szCs w:val="24"/>
        </w:rPr>
        <w:t>un</w:t>
      </w:r>
      <w:r w:rsidRPr="00195DAC">
        <w:rPr>
          <w:rFonts w:ascii="Times New Roman" w:hAnsi="Times New Roman" w:cs="Times New Roman"/>
          <w:sz w:val="24"/>
          <w:szCs w:val="24"/>
        </w:rPr>
        <w:t>til it reached 23.4%.</w:t>
      </w:r>
    </w:p>
    <w:p w14:paraId="392CD220"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tl/>
        </w:rPr>
      </w:pPr>
    </w:p>
    <w:p w14:paraId="0785F41D"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8F2B1E3"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519F1187"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tbl>
      <w:tblPr>
        <w:tblW w:w="0" w:type="auto"/>
        <w:tblBorders>
          <w:top w:val="thinThickSmallGap" w:sz="24" w:space="0" w:color="F49633"/>
          <w:left w:val="thinThickSmallGap" w:sz="24" w:space="0" w:color="F49633"/>
          <w:bottom w:val="thinThickSmallGap" w:sz="24" w:space="0" w:color="F49633"/>
          <w:right w:val="thinThickSmallGap" w:sz="24" w:space="0" w:color="F49633"/>
        </w:tblBorders>
        <w:tblLook w:val="04A0" w:firstRow="1" w:lastRow="0" w:firstColumn="1" w:lastColumn="0" w:noHBand="0" w:noVBand="1"/>
      </w:tblPr>
      <w:tblGrid>
        <w:gridCol w:w="2079"/>
        <w:gridCol w:w="6901"/>
      </w:tblGrid>
      <w:tr w:rsidR="00EC0053" w:rsidRPr="000D2E4D" w14:paraId="32DC3E60" w14:textId="77777777" w:rsidTr="00335608">
        <w:tc>
          <w:tcPr>
            <w:tcW w:w="2088" w:type="dxa"/>
            <w:shd w:val="clear" w:color="auto" w:fill="auto"/>
            <w:vAlign w:val="center"/>
          </w:tcPr>
          <w:p w14:paraId="5E704D7F" w14:textId="77777777" w:rsidR="00EC0053" w:rsidRPr="000D2E4D" w:rsidRDefault="00EC0053"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0EE1F0DA" wp14:editId="0CE19604">
                  <wp:extent cx="1065530" cy="1073150"/>
                  <wp:effectExtent l="19050" t="0" r="1270" b="0"/>
                  <wp:docPr id="10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4" cstate="print"/>
                          <a:srcRect/>
                          <a:stretch>
                            <a:fillRect/>
                          </a:stretch>
                        </pic:blipFill>
                        <pic:spPr bwMode="auto">
                          <a:xfrm>
                            <a:off x="0" y="0"/>
                            <a:ext cx="1065530" cy="1073150"/>
                          </a:xfrm>
                          <a:prstGeom prst="rect">
                            <a:avLst/>
                          </a:prstGeom>
                          <a:noFill/>
                          <a:ln w="9525">
                            <a:noFill/>
                            <a:miter lim="800000"/>
                            <a:headEnd/>
                            <a:tailEnd/>
                          </a:ln>
                        </pic:spPr>
                      </pic:pic>
                    </a:graphicData>
                  </a:graphic>
                </wp:inline>
              </w:drawing>
            </w:r>
          </w:p>
        </w:tc>
        <w:tc>
          <w:tcPr>
            <w:tcW w:w="7198" w:type="dxa"/>
            <w:shd w:val="clear" w:color="auto" w:fill="auto"/>
            <w:vAlign w:val="center"/>
          </w:tcPr>
          <w:p w14:paraId="1559D8BB" w14:textId="77777777"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11 – Make Cities </w:t>
            </w:r>
            <w:r w:rsidR="0039377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 xml:space="preserve">nd Human Settlements Inclusive, Safe, Resilient </w:t>
            </w:r>
            <w:r w:rsidR="0039377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Sustainable</w:t>
            </w:r>
          </w:p>
        </w:tc>
      </w:tr>
    </w:tbl>
    <w:p w14:paraId="4651A471" w14:textId="77777777" w:rsidR="00EC0053" w:rsidRDefault="00EC0053" w:rsidP="008C6258">
      <w:pPr>
        <w:autoSpaceDE w:val="0"/>
        <w:autoSpaceDN w:val="0"/>
        <w:bidi w:val="0"/>
        <w:adjustRightInd w:val="0"/>
        <w:spacing w:after="0" w:line="240" w:lineRule="auto"/>
        <w:jc w:val="both"/>
        <w:rPr>
          <w:rFonts w:ascii="Times New Roman" w:hAnsi="Times New Roman" w:cs="Times New Roman"/>
          <w:b/>
          <w:color w:val="000000"/>
          <w:sz w:val="24"/>
          <w:szCs w:val="24"/>
          <w:rtl/>
        </w:rPr>
      </w:pPr>
    </w:p>
    <w:p w14:paraId="451E6C66"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Introduction to the Goal</w:t>
      </w:r>
    </w:p>
    <w:p w14:paraId="3B316DBB"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Goal 11 regards the topic of urban sustainability. Cities play an essential role in reaching theSustainable Development Goals: half of the world’s population lives in urban areas. In all countries, and to a greater extent in developing countries, there is a growing concentration of the population in urban areas. Cities are responsible for the largest share of energy consumption and carbon emissions, for the growing pressure on the environment and the related problems with public health. There are many aspects to be considered in a systematic, inclusive and integrated way so that cities can continue to prosper in a sustainable way. The population that lives, works or travels in cities should, in fact, be ensured access to mobility, quality in dwellings and safety, in terms of the structural suitability of buildings and public and private infrastructure, and with reference to protection from forms of predatory crime, violence or harassment. When it comes to public health, a reduction of pollution and improvement in air quality is a central feature, along with waste management, the water cycle and waste water. The weakest groups, those at risk and more vulnerable (people with disabilities, the elderly, children, the poorest parts of the population) should be ensured an equal guarantee of access and use of services. On the subject of management and safety of the land, further elements to be incorporated are: land use, adaptations to climate change and mitigation of its effects, resilience to disasters. The breadth and complexity of urban sustainability are thus evident, as is the significance of measures to strengthen planning abilities and participatory, integrated management.</w:t>
      </w:r>
    </w:p>
    <w:p w14:paraId="724B6F41"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52F80606"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Targets</w:t>
      </w:r>
    </w:p>
    <w:p w14:paraId="100C064C"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b/>
          <w:bCs/>
          <w:color w:val="000000"/>
          <w:sz w:val="24"/>
          <w:szCs w:val="24"/>
        </w:rPr>
      </w:pPr>
      <w:r w:rsidRPr="00195DAC">
        <w:rPr>
          <w:rFonts w:ascii="Times New Roman" w:hAnsi="Times New Roman" w:cs="Times New Roman"/>
          <w:sz w:val="24"/>
          <w:szCs w:val="24"/>
        </w:rPr>
        <w:t>Goal</w:t>
      </w:r>
      <w:r w:rsidRPr="000D2E4D">
        <w:rPr>
          <w:rFonts w:ascii="Times New Roman" w:eastAsia="Calibri" w:hAnsi="Times New Roman" w:cs="Times New Roman"/>
          <w:sz w:val="24"/>
          <w:szCs w:val="24"/>
        </w:rPr>
        <w:t xml:space="preserve"> 11 is broken down into 10 </w:t>
      </w:r>
      <w:r w:rsidR="00393778">
        <w:rPr>
          <w:rFonts w:ascii="Times New Roman" w:eastAsia="Calibri" w:hAnsi="Times New Roman" w:cs="Times New Roman"/>
          <w:sz w:val="24"/>
          <w:szCs w:val="24"/>
        </w:rPr>
        <w:t>t</w:t>
      </w:r>
      <w:r w:rsidRPr="000D2E4D">
        <w:rPr>
          <w:rFonts w:ascii="Times New Roman" w:eastAsia="Calibri" w:hAnsi="Times New Roman" w:cs="Times New Roman"/>
          <w:sz w:val="24"/>
          <w:szCs w:val="24"/>
        </w:rPr>
        <w:t xml:space="preserve">argets of which the last </w:t>
      </w:r>
      <w:r w:rsidR="00393778">
        <w:rPr>
          <w:rFonts w:ascii="Times New Roman" w:eastAsia="Calibri" w:hAnsi="Times New Roman" w:cs="Times New Roman"/>
          <w:sz w:val="24"/>
          <w:szCs w:val="24"/>
        </w:rPr>
        <w:t>three</w:t>
      </w:r>
      <w:r w:rsidRPr="000D2E4D">
        <w:rPr>
          <w:rFonts w:ascii="Times New Roman" w:eastAsia="Calibri" w:hAnsi="Times New Roman" w:cs="Times New Roman"/>
          <w:sz w:val="24"/>
          <w:szCs w:val="24"/>
        </w:rPr>
        <w:t xml:space="preserve"> refer to means of implementation:</w:t>
      </w:r>
    </w:p>
    <w:p w14:paraId="385A5D96"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11.1 </w:t>
      </w:r>
    </w:p>
    <w:p w14:paraId="7DC5245F"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ensure access for all to adequate, safe</w:t>
      </w:r>
      <w:r w:rsidR="00393778">
        <w:rPr>
          <w:rFonts w:ascii="Times New Roman" w:hAnsi="Times New Roman" w:cs="Times New Roman"/>
          <w:sz w:val="24"/>
          <w:szCs w:val="24"/>
        </w:rPr>
        <w:t>,</w:t>
      </w:r>
      <w:r w:rsidRPr="00195DAC">
        <w:rPr>
          <w:rFonts w:ascii="Times New Roman" w:hAnsi="Times New Roman" w:cs="Times New Roman"/>
          <w:sz w:val="24"/>
          <w:szCs w:val="24"/>
        </w:rPr>
        <w:t xml:space="preserve"> and affordable housing and basic services and upgrade slums</w:t>
      </w:r>
      <w:r w:rsidR="00393778">
        <w:rPr>
          <w:rFonts w:ascii="Times New Roman" w:hAnsi="Times New Roman" w:cs="Times New Roman"/>
          <w:sz w:val="24"/>
          <w:szCs w:val="24"/>
        </w:rPr>
        <w:t>.</w:t>
      </w:r>
    </w:p>
    <w:p w14:paraId="0F114B66"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5863756"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11.2 </w:t>
      </w:r>
    </w:p>
    <w:p w14:paraId="2905A952"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provide access to safe, affordable, accessible and sustainable transport systems for all</w:t>
      </w:r>
      <w:r w:rsidR="00393778">
        <w:rPr>
          <w:rFonts w:ascii="Times New Roman" w:hAnsi="Times New Roman" w:cs="Times New Roman"/>
          <w:sz w:val="24"/>
          <w:szCs w:val="24"/>
        </w:rPr>
        <w:t>. I</w:t>
      </w:r>
      <w:r w:rsidRPr="00195DAC">
        <w:rPr>
          <w:rFonts w:ascii="Times New Roman" w:hAnsi="Times New Roman" w:cs="Times New Roman"/>
          <w:sz w:val="24"/>
          <w:szCs w:val="24"/>
        </w:rPr>
        <w:t>mproving road safety, notably by expanding public transport, with special attention to the needs of those in vulnerable situations, women, children, persons with disabilities</w:t>
      </w:r>
      <w:r w:rsidR="00393778">
        <w:rPr>
          <w:rFonts w:ascii="Times New Roman" w:hAnsi="Times New Roman" w:cs="Times New Roman"/>
          <w:sz w:val="24"/>
          <w:szCs w:val="24"/>
        </w:rPr>
        <w:t>,</w:t>
      </w:r>
      <w:r w:rsidRPr="00195DAC">
        <w:rPr>
          <w:rFonts w:ascii="Times New Roman" w:hAnsi="Times New Roman" w:cs="Times New Roman"/>
          <w:sz w:val="24"/>
          <w:szCs w:val="24"/>
        </w:rPr>
        <w:t xml:space="preserve"> and older persons</w:t>
      </w:r>
      <w:r w:rsidR="00393778">
        <w:rPr>
          <w:rFonts w:ascii="Times New Roman" w:hAnsi="Times New Roman" w:cs="Times New Roman"/>
          <w:sz w:val="24"/>
          <w:szCs w:val="24"/>
        </w:rPr>
        <w:t>.</w:t>
      </w:r>
    </w:p>
    <w:p w14:paraId="593D88C7"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28B519E7"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11.3 </w:t>
      </w:r>
    </w:p>
    <w:p w14:paraId="46AF8411"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195DAC">
        <w:rPr>
          <w:rFonts w:ascii="Times New Roman" w:hAnsi="Times New Roman" w:cs="Times New Roman"/>
          <w:sz w:val="24"/>
          <w:szCs w:val="24"/>
        </w:rPr>
        <w:t>By 2030, enhance inclusive and sustainable urbanization and capacity for participatory, integrated</w:t>
      </w:r>
      <w:r w:rsidR="00393778">
        <w:rPr>
          <w:rFonts w:ascii="Times New Roman" w:hAnsi="Times New Roman" w:cs="Times New Roman"/>
          <w:sz w:val="24"/>
          <w:szCs w:val="24"/>
        </w:rPr>
        <w:t>,</w:t>
      </w:r>
      <w:r w:rsidRPr="000D2E4D">
        <w:rPr>
          <w:rFonts w:ascii="Times New Roman" w:hAnsi="Times New Roman" w:cs="Times New Roman"/>
          <w:color w:val="000000"/>
          <w:sz w:val="24"/>
          <w:szCs w:val="24"/>
        </w:rPr>
        <w:t xml:space="preserve"> and sustainable human settlement planning and management in all countries</w:t>
      </w:r>
      <w:r w:rsidR="00393778">
        <w:rPr>
          <w:rFonts w:ascii="Times New Roman" w:hAnsi="Times New Roman" w:cs="Times New Roman"/>
          <w:color w:val="000000"/>
          <w:sz w:val="24"/>
          <w:szCs w:val="24"/>
        </w:rPr>
        <w:t>.</w:t>
      </w:r>
    </w:p>
    <w:p w14:paraId="566A4F26"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76B4FE1"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11.4 </w:t>
      </w:r>
    </w:p>
    <w:p w14:paraId="7AE433D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Strengthen efforts to protect and safeguard the world’s cultural and natural heritage</w:t>
      </w:r>
      <w:r w:rsidR="00393778">
        <w:rPr>
          <w:rFonts w:ascii="Times New Roman" w:hAnsi="Times New Roman" w:cs="Times New Roman"/>
          <w:sz w:val="24"/>
          <w:szCs w:val="24"/>
        </w:rPr>
        <w:t>.</w:t>
      </w:r>
    </w:p>
    <w:p w14:paraId="1FA6B048"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8C56B88"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11.5 </w:t>
      </w:r>
    </w:p>
    <w:p w14:paraId="28BB3525"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significantly reduce the number of deaths and the number of people affected and substantially decrease the direct economic losses relative to global gross domestic product caused by disasters, including water-related disasters, with a focus on protecting the poor and people in vulnerable situations</w:t>
      </w:r>
      <w:r w:rsidR="00393778">
        <w:rPr>
          <w:rFonts w:ascii="Times New Roman" w:hAnsi="Times New Roman" w:cs="Times New Roman"/>
          <w:sz w:val="24"/>
          <w:szCs w:val="24"/>
        </w:rPr>
        <w:t>.</w:t>
      </w:r>
    </w:p>
    <w:p w14:paraId="30F2A622"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lastRenderedPageBreak/>
        <w:t xml:space="preserve">11.6 </w:t>
      </w:r>
    </w:p>
    <w:p w14:paraId="67DC2A16"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reduce the adverse per capita environmental impact of cities including by paying special attention to air quality and municipal and other waste management</w:t>
      </w:r>
      <w:r w:rsidR="00393778">
        <w:rPr>
          <w:rFonts w:ascii="Times New Roman" w:hAnsi="Times New Roman" w:cs="Times New Roman"/>
          <w:sz w:val="24"/>
          <w:szCs w:val="24"/>
        </w:rPr>
        <w:t>.</w:t>
      </w:r>
    </w:p>
    <w:p w14:paraId="04476FA1"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3921A9A"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11.7 </w:t>
      </w:r>
    </w:p>
    <w:p w14:paraId="571358B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provide universal access to safe, inclusive and accessible, green and public spaces, in particular for women and children, older persons</w:t>
      </w:r>
      <w:r w:rsidR="00393778">
        <w:rPr>
          <w:rFonts w:ascii="Times New Roman" w:hAnsi="Times New Roman" w:cs="Times New Roman"/>
          <w:sz w:val="24"/>
          <w:szCs w:val="24"/>
        </w:rPr>
        <w:t>,</w:t>
      </w:r>
      <w:r w:rsidRPr="00195DAC">
        <w:rPr>
          <w:rFonts w:ascii="Times New Roman" w:hAnsi="Times New Roman" w:cs="Times New Roman"/>
          <w:sz w:val="24"/>
          <w:szCs w:val="24"/>
        </w:rPr>
        <w:t xml:space="preserve"> and persons with disabilities</w:t>
      </w:r>
      <w:r w:rsidR="00393778">
        <w:rPr>
          <w:rFonts w:ascii="Times New Roman" w:hAnsi="Times New Roman" w:cs="Times New Roman"/>
          <w:sz w:val="24"/>
          <w:szCs w:val="24"/>
        </w:rPr>
        <w:t>.</w:t>
      </w:r>
    </w:p>
    <w:p w14:paraId="1C403FDA"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7DE44F7"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11.a</w:t>
      </w:r>
    </w:p>
    <w:p w14:paraId="5508AF77"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Support positive economic, social and environmental links between urban, peri-urban and rural areas by strengthening national and regional development planning</w:t>
      </w:r>
      <w:r w:rsidR="00393778">
        <w:rPr>
          <w:rFonts w:ascii="Times New Roman" w:hAnsi="Times New Roman" w:cs="Times New Roman"/>
          <w:sz w:val="24"/>
          <w:szCs w:val="24"/>
        </w:rPr>
        <w:t>.</w:t>
      </w:r>
    </w:p>
    <w:p w14:paraId="49404C1C"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2B4ACE2"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11.b</w:t>
      </w:r>
    </w:p>
    <w:p w14:paraId="2859245B"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2020, substantially increase the number of cities and human settlements adopting and implementing integrated policies and plans towards inclusion, resource efficiency, mitigation and adaptation to climate change, resilience to disasters, and develop and implement, in line with the Sendai Framework for Disaster Risk Reduction 2015–2030, holistic disaster risk management at all levels</w:t>
      </w:r>
      <w:r w:rsidR="00393778">
        <w:rPr>
          <w:rFonts w:ascii="Times New Roman" w:hAnsi="Times New Roman" w:cs="Times New Roman"/>
          <w:sz w:val="24"/>
          <w:szCs w:val="24"/>
        </w:rPr>
        <w:t>.</w:t>
      </w:r>
    </w:p>
    <w:p w14:paraId="7ED4911E"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BD038D7"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6E3144">
        <w:rPr>
          <w:rFonts w:ascii="Times New Roman" w:hAnsi="Times New Roman" w:cs="Times New Roman"/>
          <w:b/>
          <w:bCs/>
          <w:sz w:val="24"/>
          <w:szCs w:val="24"/>
        </w:rPr>
        <w:t>11.c</w:t>
      </w:r>
    </w:p>
    <w:p w14:paraId="3E215D35"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Support least developed countries including through financial and technical assistance, in building sustainable and resilient buildings utilizing local materials</w:t>
      </w:r>
      <w:r w:rsidR="00393778">
        <w:rPr>
          <w:rFonts w:ascii="Times New Roman" w:hAnsi="Times New Roman" w:cs="Times New Roman"/>
          <w:color w:val="000000" w:themeColor="text1"/>
          <w:sz w:val="24"/>
          <w:szCs w:val="24"/>
        </w:rPr>
        <w:t>.</w:t>
      </w:r>
    </w:p>
    <w:p w14:paraId="21019093"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4141478" w14:textId="77777777" w:rsidR="0071415F" w:rsidRPr="00A6200E" w:rsidRDefault="0071415F" w:rsidP="00FB1314">
      <w:pPr>
        <w:pStyle w:val="ListParagraph"/>
        <w:numPr>
          <w:ilvl w:val="0"/>
          <w:numId w:val="16"/>
        </w:numPr>
        <w:autoSpaceDE w:val="0"/>
        <w:autoSpaceDN w:val="0"/>
        <w:adjustRightInd w:val="0"/>
        <w:spacing w:after="0" w:line="240" w:lineRule="auto"/>
        <w:jc w:val="both"/>
        <w:rPr>
          <w:rFonts w:ascii="Times New Roman" w:hAnsi="Times New Roman" w:cs="Times New Roman"/>
          <w:b/>
          <w:bCs/>
          <w:color w:val="000000" w:themeColor="text1"/>
          <w:sz w:val="24"/>
          <w:szCs w:val="24"/>
        </w:rPr>
      </w:pPr>
      <w:r w:rsidRPr="00A6200E">
        <w:rPr>
          <w:rFonts w:ascii="Times New Roman" w:hAnsi="Times New Roman" w:cs="Times New Roman"/>
          <w:b/>
          <w:bCs/>
          <w:color w:val="000000" w:themeColor="text1"/>
          <w:sz w:val="24"/>
          <w:szCs w:val="24"/>
        </w:rPr>
        <w:t>Indicators released by PCBS</w:t>
      </w:r>
    </w:p>
    <w:p w14:paraId="21621ADC"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There are </w:t>
      </w:r>
      <w:r w:rsidR="00393778">
        <w:rPr>
          <w:rFonts w:ascii="Times New Roman" w:hAnsi="Times New Roman" w:cs="Times New Roman"/>
          <w:color w:val="000000" w:themeColor="text1"/>
          <w:sz w:val="24"/>
          <w:szCs w:val="24"/>
        </w:rPr>
        <w:t>seven</w:t>
      </w:r>
      <w:r w:rsidRPr="00966878">
        <w:rPr>
          <w:rFonts w:ascii="Times New Roman" w:hAnsi="Times New Roman" w:cs="Times New Roman"/>
          <w:color w:val="000000" w:themeColor="text1"/>
          <w:sz w:val="24"/>
          <w:szCs w:val="24"/>
        </w:rPr>
        <w:t xml:space="preserve"> indicators released by PCBS for Goal 11, represent</w:t>
      </w:r>
      <w:r w:rsidR="00393778">
        <w:rPr>
          <w:rFonts w:ascii="Times New Roman" w:hAnsi="Times New Roman" w:cs="Times New Roman"/>
          <w:color w:val="000000" w:themeColor="text1"/>
          <w:sz w:val="24"/>
          <w:szCs w:val="24"/>
        </w:rPr>
        <w:t>ingnine</w:t>
      </w:r>
      <w:r w:rsidRPr="00966878">
        <w:rPr>
          <w:rFonts w:ascii="Times New Roman" w:hAnsi="Times New Roman" w:cs="Times New Roman"/>
          <w:color w:val="000000" w:themeColor="text1"/>
          <w:sz w:val="24"/>
          <w:szCs w:val="24"/>
        </w:rPr>
        <w:t xml:space="preserve"> data point</w:t>
      </w:r>
      <w:r w:rsidR="00393778">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referring to </w:t>
      </w:r>
      <w:r w:rsidR="00393778">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 xml:space="preserve"> of the 10 targets</w:t>
      </w:r>
      <w:r w:rsidR="00393778">
        <w:rPr>
          <w:rFonts w:ascii="Times New Roman" w:hAnsi="Times New Roman" w:cs="Times New Roman"/>
          <w:color w:val="000000" w:themeColor="text1"/>
          <w:sz w:val="24"/>
          <w:szCs w:val="24"/>
        </w:rPr>
        <w:t xml:space="preserve">; </w:t>
      </w:r>
      <w:r w:rsidR="00393778">
        <w:rPr>
          <w:rFonts w:ascii="Times New Roman" w:hAnsi="Times New Roman" w:cs="Times New Roman"/>
          <w:sz w:val="24"/>
          <w:szCs w:val="24"/>
        </w:rPr>
        <w:t>t</w:t>
      </w:r>
      <w:r w:rsidRPr="001D5BA6">
        <w:rPr>
          <w:rFonts w:ascii="Times New Roman" w:hAnsi="Times New Roman" w:cs="Times New Roman"/>
          <w:sz w:val="24"/>
          <w:szCs w:val="24"/>
        </w:rPr>
        <w:t xml:space="preserve">herefore, </w:t>
      </w:r>
      <w:r>
        <w:rPr>
          <w:rFonts w:ascii="Times New Roman" w:hAnsi="Times New Roman" w:cs="Times New Roman" w:hint="cs"/>
          <w:sz w:val="24"/>
          <w:szCs w:val="24"/>
          <w:rtl/>
        </w:rPr>
        <w:t>5</w:t>
      </w:r>
      <w:r>
        <w:rPr>
          <w:rFonts w:ascii="Times New Roman" w:hAnsi="Times New Roman" w:cs="Times New Roman"/>
          <w:sz w:val="24"/>
          <w:szCs w:val="24"/>
        </w:rPr>
        <w:t xml:space="preserve">0.0%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Pr="00345E00">
        <w:rPr>
          <w:rFonts w:ascii="Times New Roman" w:hAnsi="Times New Roman" w:cs="Times New Roman"/>
          <w:sz w:val="24"/>
          <w:szCs w:val="24"/>
        </w:rPr>
        <w:t>five</w:t>
      </w:r>
      <w:r>
        <w:rPr>
          <w:rFonts w:ascii="Times New Roman" w:hAnsi="Times New Roman" w:cs="Times New Roman"/>
          <w:sz w:val="24"/>
          <w:szCs w:val="24"/>
        </w:rPr>
        <w:t>out of ten)</w:t>
      </w:r>
      <w:r w:rsidR="00393778">
        <w:rPr>
          <w:rFonts w:ascii="Times New Roman" w:hAnsi="Times New Roman" w:cs="Times New Roman"/>
          <w:sz w:val="24"/>
          <w:szCs w:val="24"/>
        </w:rPr>
        <w:t xml:space="preserve">have either </w:t>
      </w:r>
      <w:r w:rsidRPr="001D5BA6">
        <w:rPr>
          <w:rFonts w:ascii="Times New Roman" w:hAnsi="Times New Roman" w:cs="Times New Roman"/>
          <w:sz w:val="24"/>
          <w:szCs w:val="24"/>
        </w:rPr>
        <w:t>been fully or partially</w:t>
      </w:r>
      <w:r w:rsidR="00393778">
        <w:rPr>
          <w:rFonts w:ascii="Times New Roman" w:hAnsi="Times New Roman" w:cs="Times New Roman"/>
          <w:sz w:val="24"/>
          <w:szCs w:val="24"/>
        </w:rPr>
        <w:t xml:space="preserve"> covered.</w:t>
      </w:r>
    </w:p>
    <w:p w14:paraId="4BAD268A"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CAC53F3"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Table 11.1: List of SDG </w:t>
      </w:r>
      <w:r w:rsidR="00393778">
        <w:rPr>
          <w:rFonts w:ascii="Arial" w:hAnsi="Arial"/>
          <w:b/>
          <w:bCs/>
        </w:rPr>
        <w:t>I</w:t>
      </w:r>
      <w:r w:rsidRPr="00422BE3">
        <w:rPr>
          <w:rFonts w:ascii="Arial" w:hAnsi="Arial"/>
          <w:b/>
          <w:bCs/>
        </w:rPr>
        <w:t xml:space="preserve">ndicators </w:t>
      </w:r>
      <w:r w:rsidR="00393778">
        <w:rPr>
          <w:rFonts w:ascii="Arial" w:hAnsi="Arial"/>
          <w:b/>
          <w:bCs/>
        </w:rPr>
        <w:t>R</w:t>
      </w:r>
      <w:r w:rsidRPr="00422BE3">
        <w:rPr>
          <w:rFonts w:ascii="Arial" w:hAnsi="Arial"/>
          <w:b/>
          <w:bCs/>
        </w:rPr>
        <w:t>eleased by PCBS</w:t>
      </w:r>
    </w:p>
    <w:p w14:paraId="0A1D66A0" w14:textId="77777777" w:rsidR="0071415F" w:rsidRPr="006E3144" w:rsidRDefault="0071415F" w:rsidP="0071415F">
      <w:pPr>
        <w:tabs>
          <w:tab w:val="left" w:pos="9072"/>
        </w:tabs>
        <w:bidi w:val="0"/>
        <w:spacing w:after="0" w:line="240" w:lineRule="auto"/>
        <w:jc w:val="center"/>
        <w:rPr>
          <w:rFonts w:ascii="Arial" w:hAnsi="Arial"/>
          <w:b/>
          <w:bCs/>
          <w:sz w:val="12"/>
          <w:szCs w:val="12"/>
        </w:rPr>
      </w:pPr>
    </w:p>
    <w:tbl>
      <w:tblPr>
        <w:tblW w:w="9918" w:type="dxa"/>
        <w:jc w:val="center"/>
        <w:tblLook w:val="04A0" w:firstRow="1" w:lastRow="0" w:firstColumn="1" w:lastColumn="0" w:noHBand="0" w:noVBand="1"/>
      </w:tblPr>
      <w:tblGrid>
        <w:gridCol w:w="5102"/>
        <w:gridCol w:w="1247"/>
        <w:gridCol w:w="1160"/>
        <w:gridCol w:w="1064"/>
        <w:gridCol w:w="1345"/>
      </w:tblGrid>
      <w:tr w:rsidR="0071415F" w:rsidRPr="00770C22" w14:paraId="4576B4DA" w14:textId="77777777" w:rsidTr="00A45E6B">
        <w:trPr>
          <w:trHeight w:val="504"/>
          <w:tblHeader/>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6B755"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tl/>
              </w:rPr>
              <w:br w:type="page"/>
            </w:r>
            <w:r w:rsidRPr="00770C22">
              <w:rPr>
                <w:rFonts w:asciiTheme="minorBidi" w:hAnsiTheme="minorBidi" w:cstheme="minorBidi"/>
                <w:b/>
                <w:bCs/>
                <w:sz w:val="18"/>
                <w:szCs w:val="18"/>
              </w:rPr>
              <w:t>Indicators</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27E3FBFE"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 xml:space="preserve">Referring to the SDG </w:t>
            </w:r>
            <w:r w:rsidR="00393778">
              <w:rPr>
                <w:rFonts w:asciiTheme="minorBidi" w:hAnsiTheme="minorBidi" w:cstheme="minorBidi"/>
                <w:b/>
                <w:bCs/>
                <w:sz w:val="18"/>
                <w:szCs w:val="18"/>
              </w:rPr>
              <w:t>i</w:t>
            </w:r>
            <w:r w:rsidRPr="00770C22">
              <w:rPr>
                <w:rFonts w:asciiTheme="minorBidi" w:hAnsiTheme="minorBidi" w:cstheme="minorBidi"/>
                <w:b/>
                <w:bCs/>
                <w:sz w:val="18"/>
                <w:szCs w:val="18"/>
              </w:rPr>
              <w:t>ndicator</w:t>
            </w:r>
          </w:p>
        </w:tc>
        <w:tc>
          <w:tcPr>
            <w:tcW w:w="1160" w:type="dxa"/>
            <w:tcBorders>
              <w:top w:val="single" w:sz="4" w:space="0" w:color="auto"/>
              <w:left w:val="nil"/>
              <w:bottom w:val="single" w:sz="4" w:space="0" w:color="auto"/>
              <w:right w:val="single" w:sz="4" w:space="0" w:color="auto"/>
            </w:tcBorders>
          </w:tcPr>
          <w:p w14:paraId="7046F704"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Previous data</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F5A0C"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 xml:space="preserve">Last </w:t>
            </w:r>
            <w:r w:rsidR="00393778">
              <w:rPr>
                <w:rFonts w:asciiTheme="minorBidi" w:hAnsiTheme="minorBidi" w:cstheme="minorBidi"/>
                <w:b/>
                <w:bCs/>
                <w:sz w:val="18"/>
                <w:szCs w:val="18"/>
              </w:rPr>
              <w:t>a</w:t>
            </w:r>
            <w:r w:rsidRPr="00770C22">
              <w:rPr>
                <w:rFonts w:asciiTheme="minorBidi" w:hAnsiTheme="minorBidi" w:cstheme="minorBidi"/>
                <w:b/>
                <w:bCs/>
                <w:sz w:val="18"/>
                <w:szCs w:val="18"/>
              </w:rPr>
              <w:t>vailable data</w:t>
            </w:r>
          </w:p>
        </w:tc>
        <w:tc>
          <w:tcPr>
            <w:tcW w:w="1345" w:type="dxa"/>
            <w:tcBorders>
              <w:top w:val="single" w:sz="4" w:space="0" w:color="auto"/>
              <w:left w:val="single" w:sz="4" w:space="0" w:color="auto"/>
              <w:bottom w:val="single" w:sz="4" w:space="0" w:color="auto"/>
              <w:right w:val="single" w:sz="4" w:space="0" w:color="auto"/>
            </w:tcBorders>
          </w:tcPr>
          <w:p w14:paraId="49AE7977"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Compared to the previous data point</w:t>
            </w:r>
          </w:p>
        </w:tc>
      </w:tr>
      <w:tr w:rsidR="00A45E6B" w:rsidRPr="00770C22" w14:paraId="248620CE" w14:textId="77777777" w:rsidTr="00A45E6B">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7604FB3D" w14:textId="77777777" w:rsidR="00A45E6B" w:rsidRPr="00537CB3" w:rsidRDefault="00A45E6B" w:rsidP="00A45E6B">
            <w:pPr>
              <w:tabs>
                <w:tab w:val="left" w:pos="9072"/>
              </w:tabs>
              <w:bidi w:val="0"/>
              <w:spacing w:after="0" w:line="240" w:lineRule="auto"/>
              <w:jc w:val="both"/>
              <w:rPr>
                <w:rFonts w:asciiTheme="minorBidi" w:hAnsiTheme="minorBidi" w:cstheme="minorBidi"/>
                <w:b/>
                <w:color w:val="000000" w:themeColor="text1"/>
                <w:sz w:val="18"/>
                <w:szCs w:val="18"/>
              </w:rPr>
            </w:pPr>
            <w:r w:rsidRPr="00537CB3">
              <w:rPr>
                <w:rFonts w:asciiTheme="minorBidi" w:hAnsiTheme="minorBidi" w:cstheme="minorBidi"/>
                <w:b/>
                <w:color w:val="000000" w:themeColor="text1"/>
                <w:sz w:val="18"/>
                <w:szCs w:val="18"/>
              </w:rPr>
              <w:t xml:space="preserve">Indicator  11.1.1 </w:t>
            </w:r>
            <w:r w:rsidRPr="00537CB3">
              <w:rPr>
                <w:rFonts w:asciiTheme="minorBidi" w:hAnsiTheme="minorBidi" w:cstheme="minorBidi"/>
                <w:bCs/>
                <w:color w:val="000000" w:themeColor="text1"/>
                <w:sz w:val="18"/>
                <w:szCs w:val="18"/>
              </w:rPr>
              <w:t>Proportion of urban population living in slums, informal settlements or inadequate housing</w:t>
            </w:r>
            <w:r w:rsidRPr="00537CB3">
              <w:rPr>
                <w:rFonts w:asciiTheme="minorBidi" w:hAnsiTheme="minorBidi" w:cstheme="minorBidi"/>
                <w:color w:val="000000" w:themeColor="text1"/>
                <w:sz w:val="18"/>
                <w:szCs w:val="18"/>
              </w:rPr>
              <w:t>(UNSD, 2020, Ppercentage)</w:t>
            </w:r>
          </w:p>
        </w:tc>
        <w:tc>
          <w:tcPr>
            <w:tcW w:w="1247" w:type="dxa"/>
            <w:tcBorders>
              <w:top w:val="single" w:sz="4" w:space="0" w:color="auto"/>
              <w:left w:val="nil"/>
              <w:right w:val="single" w:sz="4" w:space="0" w:color="auto"/>
            </w:tcBorders>
            <w:shd w:val="clear" w:color="auto" w:fill="auto"/>
            <w:noWrap/>
            <w:vAlign w:val="center"/>
          </w:tcPr>
          <w:p w14:paraId="38275084" w14:textId="77777777" w:rsidR="00A45E6B" w:rsidRPr="00537CB3" w:rsidRDefault="00A45E6B" w:rsidP="00A45E6B">
            <w:pPr>
              <w:bidi w:val="0"/>
              <w:spacing w:after="0" w:line="240" w:lineRule="auto"/>
              <w:jc w:val="center"/>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Identical</w:t>
            </w:r>
          </w:p>
        </w:tc>
        <w:tc>
          <w:tcPr>
            <w:tcW w:w="1160" w:type="dxa"/>
            <w:tcBorders>
              <w:top w:val="single" w:sz="4" w:space="0" w:color="auto"/>
              <w:left w:val="nil"/>
              <w:right w:val="single" w:sz="4" w:space="0" w:color="auto"/>
            </w:tcBorders>
          </w:tcPr>
          <w:p w14:paraId="5748AD72" w14:textId="77777777" w:rsidR="00A45E6B" w:rsidRPr="00537CB3" w:rsidRDefault="00A45E6B" w:rsidP="00A45E6B">
            <w:pPr>
              <w:spacing w:after="0" w:line="240" w:lineRule="auto"/>
              <w:jc w:val="center"/>
              <w:rPr>
                <w:rFonts w:ascii="Simplified Arabic" w:hAnsi="Simplified Arabic" w:cs="Simplified Arabic"/>
                <w:sz w:val="18"/>
                <w:szCs w:val="18"/>
                <w:rtl/>
              </w:rPr>
            </w:pPr>
            <w:r w:rsidRPr="00537CB3">
              <w:rPr>
                <w:rFonts w:ascii="Simplified Arabic" w:hAnsi="Simplified Arabic" w:cs="Simplified Arabic" w:hint="cs"/>
                <w:sz w:val="18"/>
                <w:szCs w:val="18"/>
                <w:rtl/>
              </w:rPr>
              <w:t>19.5 (2018)</w:t>
            </w:r>
          </w:p>
        </w:tc>
        <w:tc>
          <w:tcPr>
            <w:tcW w:w="1064" w:type="dxa"/>
            <w:tcBorders>
              <w:top w:val="single" w:sz="4" w:space="0" w:color="auto"/>
              <w:left w:val="single" w:sz="4" w:space="0" w:color="auto"/>
              <w:right w:val="single" w:sz="4" w:space="0" w:color="auto"/>
            </w:tcBorders>
            <w:shd w:val="clear" w:color="auto" w:fill="auto"/>
            <w:noWrap/>
          </w:tcPr>
          <w:p w14:paraId="1A32D1EC" w14:textId="77777777" w:rsidR="00A45E6B" w:rsidRPr="00537CB3" w:rsidRDefault="00A45E6B" w:rsidP="00A45E6B">
            <w:pPr>
              <w:bidi w:val="0"/>
              <w:spacing w:after="0" w:line="240" w:lineRule="auto"/>
              <w:jc w:val="center"/>
              <w:rPr>
                <w:rFonts w:asciiTheme="minorBidi" w:hAnsiTheme="minorBidi" w:cstheme="minorBidi"/>
                <w:sz w:val="18"/>
                <w:szCs w:val="18"/>
              </w:rPr>
            </w:pPr>
            <w:r w:rsidRPr="00537CB3">
              <w:rPr>
                <w:rFonts w:ascii="Simplified Arabic" w:hAnsi="Simplified Arabic" w:cs="Simplified Arabic" w:hint="cs"/>
                <w:sz w:val="18"/>
                <w:szCs w:val="18"/>
                <w:rtl/>
              </w:rPr>
              <w:t>19.5</w:t>
            </w:r>
          </w:p>
        </w:tc>
        <w:tc>
          <w:tcPr>
            <w:tcW w:w="1345" w:type="dxa"/>
            <w:tcBorders>
              <w:top w:val="single" w:sz="4" w:space="0" w:color="auto"/>
              <w:left w:val="single" w:sz="4" w:space="0" w:color="auto"/>
              <w:right w:val="single" w:sz="4" w:space="0" w:color="auto"/>
            </w:tcBorders>
          </w:tcPr>
          <w:p w14:paraId="2AAC069B" w14:textId="77777777" w:rsidR="00A45E6B" w:rsidRPr="00537CB3" w:rsidRDefault="00A45E6B" w:rsidP="00A45E6B">
            <w:pPr>
              <w:bidi w:val="0"/>
              <w:spacing w:after="0" w:line="240" w:lineRule="auto"/>
              <w:jc w:val="center"/>
              <w:rPr>
                <w:rFonts w:asciiTheme="minorBidi" w:hAnsiTheme="minorBidi" w:cstheme="minorBidi"/>
                <w:sz w:val="18"/>
                <w:szCs w:val="18"/>
                <w:rtl/>
              </w:rPr>
            </w:pPr>
            <w:r w:rsidRPr="00537CB3">
              <w:rPr>
                <w:rFonts w:asciiTheme="minorBidi" w:hAnsiTheme="minorBidi" w:cstheme="minorBidi"/>
                <w:sz w:val="18"/>
                <w:szCs w:val="18"/>
              </w:rPr>
              <w:t>No change</w:t>
            </w:r>
          </w:p>
        </w:tc>
      </w:tr>
      <w:tr w:rsidR="0071415F" w:rsidRPr="00770C22" w14:paraId="055A703B" w14:textId="77777777" w:rsidTr="00A45E6B">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48A55707" w14:textId="77777777" w:rsidR="0071415F" w:rsidRPr="00537CB3" w:rsidRDefault="0071415F" w:rsidP="0071415F">
            <w:pPr>
              <w:tabs>
                <w:tab w:val="left" w:pos="9072"/>
              </w:tabs>
              <w:bidi w:val="0"/>
              <w:spacing w:after="0" w:line="240" w:lineRule="auto"/>
              <w:jc w:val="both"/>
              <w:rPr>
                <w:rFonts w:asciiTheme="minorBidi" w:hAnsiTheme="minorBidi" w:cstheme="minorBidi"/>
                <w:b/>
                <w:color w:val="000000" w:themeColor="text1"/>
                <w:sz w:val="18"/>
                <w:szCs w:val="18"/>
              </w:rPr>
            </w:pPr>
            <w:r w:rsidRPr="00537CB3">
              <w:rPr>
                <w:rFonts w:asciiTheme="minorBidi" w:hAnsiTheme="minorBidi" w:cstheme="minorBidi"/>
                <w:b/>
                <w:color w:val="000000" w:themeColor="text1"/>
                <w:sz w:val="18"/>
                <w:szCs w:val="18"/>
              </w:rPr>
              <w:t xml:space="preserve">Indicator  11.2.1 </w:t>
            </w:r>
            <w:r w:rsidRPr="00537CB3">
              <w:rPr>
                <w:rFonts w:asciiTheme="minorBidi" w:hAnsiTheme="minorBidi" w:cstheme="minorBidi"/>
                <w:bCs/>
                <w:color w:val="000000" w:themeColor="text1"/>
                <w:sz w:val="18"/>
                <w:szCs w:val="18"/>
              </w:rPr>
              <w:t>Proportion of population that has convenient access to public transport, by sex, age and persons with disabilities</w:t>
            </w:r>
            <w:r w:rsidRPr="00537CB3">
              <w:rPr>
                <w:rFonts w:asciiTheme="minorBidi" w:hAnsiTheme="minorBidi" w:cstheme="minorBidi"/>
                <w:color w:val="000000" w:themeColor="text1"/>
                <w:sz w:val="18"/>
                <w:szCs w:val="18"/>
              </w:rPr>
              <w:t xml:space="preserve">(PCBS, 2020, </w:t>
            </w:r>
            <w:r w:rsidR="00966751" w:rsidRPr="00537CB3">
              <w:rPr>
                <w:rFonts w:asciiTheme="minorBidi" w:hAnsiTheme="minorBidi" w:cstheme="minorBidi"/>
                <w:color w:val="000000" w:themeColor="text1"/>
                <w:sz w:val="18"/>
                <w:szCs w:val="18"/>
              </w:rPr>
              <w:t>p</w:t>
            </w:r>
            <w:r w:rsidRPr="00537CB3">
              <w:rPr>
                <w:rFonts w:asciiTheme="minorBidi" w:hAnsiTheme="minorBidi" w:cstheme="minorBidi"/>
                <w:color w:val="000000" w:themeColor="text1"/>
                <w:sz w:val="18"/>
                <w:szCs w:val="18"/>
              </w:rPr>
              <w:t>ercentage)</w:t>
            </w:r>
          </w:p>
        </w:tc>
        <w:tc>
          <w:tcPr>
            <w:tcW w:w="1247" w:type="dxa"/>
            <w:tcBorders>
              <w:top w:val="single" w:sz="4" w:space="0" w:color="auto"/>
              <w:left w:val="nil"/>
              <w:right w:val="single" w:sz="4" w:space="0" w:color="auto"/>
            </w:tcBorders>
            <w:shd w:val="clear" w:color="auto" w:fill="auto"/>
            <w:noWrap/>
            <w:vAlign w:val="center"/>
          </w:tcPr>
          <w:p w14:paraId="0A08795E"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Identical</w:t>
            </w:r>
          </w:p>
        </w:tc>
        <w:tc>
          <w:tcPr>
            <w:tcW w:w="1160" w:type="dxa"/>
            <w:tcBorders>
              <w:top w:val="single" w:sz="4" w:space="0" w:color="auto"/>
              <w:left w:val="nil"/>
              <w:right w:val="single" w:sz="4" w:space="0" w:color="auto"/>
            </w:tcBorders>
            <w:vAlign w:val="center"/>
          </w:tcPr>
          <w:p w14:paraId="0224CC1E"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p>
        </w:tc>
        <w:tc>
          <w:tcPr>
            <w:tcW w:w="1064" w:type="dxa"/>
            <w:tcBorders>
              <w:top w:val="single" w:sz="4" w:space="0" w:color="auto"/>
              <w:left w:val="single" w:sz="4" w:space="0" w:color="auto"/>
              <w:right w:val="single" w:sz="4" w:space="0" w:color="auto"/>
            </w:tcBorders>
            <w:shd w:val="clear" w:color="auto" w:fill="auto"/>
            <w:noWrap/>
            <w:vAlign w:val="center"/>
          </w:tcPr>
          <w:p w14:paraId="58B73A84" w14:textId="77777777" w:rsidR="0071415F" w:rsidRPr="00537CB3" w:rsidRDefault="0071415F" w:rsidP="0071415F">
            <w:pPr>
              <w:bidi w:val="0"/>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rPr>
              <w:t>77.1</w:t>
            </w:r>
          </w:p>
        </w:tc>
        <w:tc>
          <w:tcPr>
            <w:tcW w:w="1345" w:type="dxa"/>
            <w:tcBorders>
              <w:top w:val="single" w:sz="4" w:space="0" w:color="auto"/>
              <w:left w:val="single" w:sz="4" w:space="0" w:color="auto"/>
              <w:right w:val="single" w:sz="4" w:space="0" w:color="auto"/>
            </w:tcBorders>
            <w:vAlign w:val="center"/>
          </w:tcPr>
          <w:p w14:paraId="084CCCD3" w14:textId="77777777" w:rsidR="0071415F" w:rsidRPr="00537CB3" w:rsidRDefault="0071415F" w:rsidP="0071415F">
            <w:pPr>
              <w:bidi w:val="0"/>
              <w:spacing w:after="0" w:line="240" w:lineRule="auto"/>
              <w:jc w:val="center"/>
              <w:rPr>
                <w:rFonts w:asciiTheme="minorBidi" w:hAnsiTheme="minorBidi" w:cstheme="minorBidi"/>
                <w:sz w:val="18"/>
                <w:szCs w:val="18"/>
              </w:rPr>
            </w:pPr>
          </w:p>
        </w:tc>
      </w:tr>
      <w:tr w:rsidR="0071415F" w:rsidRPr="00770C22" w14:paraId="27D8EDFF" w14:textId="77777777" w:rsidTr="00A45E6B">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79903609" w14:textId="77777777" w:rsidR="0071415F" w:rsidRPr="00537CB3"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537CB3">
              <w:rPr>
                <w:rFonts w:asciiTheme="minorBidi" w:hAnsiTheme="minorBidi" w:cstheme="minorBidi"/>
                <w:b/>
                <w:color w:val="000000" w:themeColor="text1"/>
                <w:sz w:val="18"/>
                <w:szCs w:val="18"/>
              </w:rPr>
              <w:t>Indicator</w:t>
            </w:r>
            <w:r w:rsidRPr="00537CB3">
              <w:rPr>
                <w:rFonts w:asciiTheme="minorBidi" w:hAnsiTheme="minorBidi" w:cstheme="minorBidi"/>
                <w:b/>
                <w:bCs/>
                <w:color w:val="000000" w:themeColor="text1"/>
                <w:sz w:val="18"/>
                <w:szCs w:val="18"/>
              </w:rPr>
              <w:t xml:space="preserve"> 11.5.1</w:t>
            </w:r>
            <w:r w:rsidRPr="00537CB3">
              <w:rPr>
                <w:rFonts w:asciiTheme="minorBidi" w:hAnsiTheme="minorBidi" w:cstheme="minorBidi"/>
                <w:color w:val="000000" w:themeColor="text1"/>
                <w:sz w:val="18"/>
                <w:szCs w:val="18"/>
              </w:rPr>
              <w:t xml:space="preserve"> Number of deaths, missing persons and directly affected persons attributed to disasters per 100,000 population</w:t>
            </w:r>
            <w:r w:rsidRPr="00537CB3">
              <w:rPr>
                <w:rFonts w:asciiTheme="minorBidi" w:hAnsiTheme="minorBidi" w:cstheme="minorBidi"/>
                <w:b/>
                <w:bCs/>
                <w:color w:val="000000" w:themeColor="text1"/>
                <w:sz w:val="18"/>
                <w:szCs w:val="18"/>
              </w:rPr>
              <w:t xml:space="preserve"> (repeated with indicators: 1.5.1 and 13.1.1)</w:t>
            </w:r>
          </w:p>
        </w:tc>
        <w:tc>
          <w:tcPr>
            <w:tcW w:w="1247" w:type="dxa"/>
            <w:tcBorders>
              <w:top w:val="single" w:sz="4" w:space="0" w:color="auto"/>
              <w:left w:val="nil"/>
              <w:right w:val="single" w:sz="4" w:space="0" w:color="auto"/>
            </w:tcBorders>
            <w:shd w:val="clear" w:color="auto" w:fill="auto"/>
            <w:noWrap/>
            <w:hideMark/>
          </w:tcPr>
          <w:p w14:paraId="2C75F6B9"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p>
        </w:tc>
        <w:tc>
          <w:tcPr>
            <w:tcW w:w="1160" w:type="dxa"/>
            <w:tcBorders>
              <w:top w:val="single" w:sz="4" w:space="0" w:color="auto"/>
              <w:left w:val="nil"/>
              <w:right w:val="single" w:sz="4" w:space="0" w:color="auto"/>
            </w:tcBorders>
          </w:tcPr>
          <w:p w14:paraId="4486EFFF"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p>
        </w:tc>
        <w:tc>
          <w:tcPr>
            <w:tcW w:w="1064" w:type="dxa"/>
            <w:tcBorders>
              <w:top w:val="single" w:sz="4" w:space="0" w:color="auto"/>
              <w:left w:val="single" w:sz="4" w:space="0" w:color="auto"/>
              <w:right w:val="single" w:sz="4" w:space="0" w:color="auto"/>
            </w:tcBorders>
            <w:shd w:val="clear" w:color="auto" w:fill="auto"/>
            <w:noWrap/>
            <w:hideMark/>
          </w:tcPr>
          <w:p w14:paraId="07B1ECD8" w14:textId="77777777" w:rsidR="0071415F" w:rsidRPr="00537CB3" w:rsidRDefault="0071415F" w:rsidP="0071415F">
            <w:pPr>
              <w:bidi w:val="0"/>
              <w:spacing w:after="0" w:line="240" w:lineRule="auto"/>
              <w:jc w:val="center"/>
              <w:rPr>
                <w:rFonts w:asciiTheme="minorBidi" w:hAnsiTheme="minorBidi" w:cstheme="minorBidi"/>
                <w:sz w:val="18"/>
                <w:szCs w:val="18"/>
              </w:rPr>
            </w:pPr>
          </w:p>
        </w:tc>
        <w:tc>
          <w:tcPr>
            <w:tcW w:w="1345" w:type="dxa"/>
            <w:tcBorders>
              <w:top w:val="single" w:sz="4" w:space="0" w:color="auto"/>
              <w:left w:val="single" w:sz="4" w:space="0" w:color="auto"/>
              <w:right w:val="single" w:sz="4" w:space="0" w:color="auto"/>
            </w:tcBorders>
          </w:tcPr>
          <w:p w14:paraId="4FD7E0D3" w14:textId="77777777" w:rsidR="0071415F" w:rsidRPr="00537CB3" w:rsidRDefault="0071415F" w:rsidP="0071415F">
            <w:pPr>
              <w:bidi w:val="0"/>
              <w:spacing w:after="0" w:line="240" w:lineRule="auto"/>
              <w:jc w:val="center"/>
              <w:rPr>
                <w:rFonts w:asciiTheme="minorBidi" w:hAnsiTheme="minorBidi" w:cstheme="minorBidi"/>
                <w:sz w:val="18"/>
                <w:szCs w:val="18"/>
              </w:rPr>
            </w:pPr>
          </w:p>
        </w:tc>
      </w:tr>
      <w:tr w:rsidR="0071415F" w:rsidRPr="00770C22" w14:paraId="1D9FF8F5" w14:textId="77777777" w:rsidTr="00A45E6B">
        <w:trPr>
          <w:trHeight w:val="389"/>
          <w:jc w:val="center"/>
        </w:trPr>
        <w:tc>
          <w:tcPr>
            <w:tcW w:w="5102" w:type="dxa"/>
            <w:tcBorders>
              <w:left w:val="single" w:sz="4" w:space="0" w:color="auto"/>
              <w:right w:val="single" w:sz="4" w:space="0" w:color="auto"/>
            </w:tcBorders>
            <w:shd w:val="clear" w:color="auto" w:fill="auto"/>
            <w:noWrap/>
            <w:vAlign w:val="center"/>
          </w:tcPr>
          <w:p w14:paraId="482F2654" w14:textId="77777777" w:rsidR="0071415F" w:rsidRPr="00537CB3" w:rsidRDefault="0071415F" w:rsidP="007B4A03">
            <w:pPr>
              <w:tabs>
                <w:tab w:val="left" w:pos="9072"/>
              </w:tabs>
              <w:bidi w:val="0"/>
              <w:spacing w:after="0" w:line="240" w:lineRule="auto"/>
              <w:ind w:left="60"/>
              <w:jc w:val="both"/>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 xml:space="preserve">11.5.1.1 Number of deaths attributed to disasters per 100,000 population (UNSD, 2018, </w:t>
            </w:r>
            <w:r w:rsidR="00966751" w:rsidRPr="00537CB3">
              <w:rPr>
                <w:rFonts w:asciiTheme="minorBidi" w:hAnsiTheme="minorBidi" w:cstheme="minorBidi"/>
                <w:color w:val="000000" w:themeColor="text1"/>
                <w:sz w:val="18"/>
                <w:szCs w:val="18"/>
              </w:rPr>
              <w:t>p</w:t>
            </w:r>
            <w:r w:rsidRPr="00537CB3">
              <w:rPr>
                <w:rFonts w:asciiTheme="minorBidi" w:hAnsiTheme="minorBidi" w:cstheme="minorBidi"/>
                <w:color w:val="000000" w:themeColor="text1"/>
                <w:sz w:val="18"/>
                <w:szCs w:val="18"/>
              </w:rPr>
              <w:t>er 100,000 population)</w:t>
            </w:r>
          </w:p>
        </w:tc>
        <w:tc>
          <w:tcPr>
            <w:tcW w:w="1247" w:type="dxa"/>
            <w:tcBorders>
              <w:left w:val="nil"/>
              <w:right w:val="single" w:sz="4" w:space="0" w:color="auto"/>
            </w:tcBorders>
            <w:shd w:val="clear" w:color="auto" w:fill="auto"/>
            <w:noWrap/>
          </w:tcPr>
          <w:p w14:paraId="53DE446C"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Identical</w:t>
            </w:r>
          </w:p>
        </w:tc>
        <w:tc>
          <w:tcPr>
            <w:tcW w:w="1160" w:type="dxa"/>
            <w:tcBorders>
              <w:left w:val="nil"/>
              <w:right w:val="single" w:sz="4" w:space="0" w:color="auto"/>
            </w:tcBorders>
          </w:tcPr>
          <w:p w14:paraId="10F3D042"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1.42 (2017)</w:t>
            </w:r>
          </w:p>
        </w:tc>
        <w:tc>
          <w:tcPr>
            <w:tcW w:w="1064" w:type="dxa"/>
            <w:tcBorders>
              <w:left w:val="single" w:sz="4" w:space="0" w:color="auto"/>
              <w:right w:val="single" w:sz="4" w:space="0" w:color="auto"/>
            </w:tcBorders>
            <w:shd w:val="clear" w:color="auto" w:fill="auto"/>
          </w:tcPr>
          <w:p w14:paraId="74893277" w14:textId="77777777" w:rsidR="0071415F" w:rsidRPr="00537CB3" w:rsidRDefault="0071415F" w:rsidP="0071415F">
            <w:pPr>
              <w:bidi w:val="0"/>
              <w:spacing w:after="0" w:line="240" w:lineRule="auto"/>
              <w:jc w:val="center"/>
              <w:rPr>
                <w:rFonts w:asciiTheme="minorBidi" w:hAnsiTheme="minorBidi" w:cstheme="minorBidi"/>
                <w:sz w:val="18"/>
                <w:szCs w:val="18"/>
                <w:rtl/>
              </w:rPr>
            </w:pPr>
            <w:r w:rsidRPr="00537CB3">
              <w:rPr>
                <w:rFonts w:asciiTheme="minorBidi" w:hAnsiTheme="minorBidi" w:cstheme="minorBidi"/>
                <w:sz w:val="18"/>
                <w:szCs w:val="18"/>
              </w:rPr>
              <w:t>0.02</w:t>
            </w:r>
          </w:p>
        </w:tc>
        <w:tc>
          <w:tcPr>
            <w:tcW w:w="1345" w:type="dxa"/>
            <w:tcBorders>
              <w:left w:val="single" w:sz="4" w:space="0" w:color="auto"/>
              <w:right w:val="single" w:sz="4" w:space="0" w:color="auto"/>
            </w:tcBorders>
          </w:tcPr>
          <w:p w14:paraId="4E61EBCD" w14:textId="77777777" w:rsidR="0071415F" w:rsidRPr="00537CB3" w:rsidRDefault="0071415F" w:rsidP="0071415F">
            <w:pPr>
              <w:bidi w:val="0"/>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rPr>
              <w:t>Decrease</w:t>
            </w:r>
          </w:p>
        </w:tc>
      </w:tr>
      <w:tr w:rsidR="0071415F" w:rsidRPr="00770C22" w14:paraId="2D5728D0" w14:textId="77777777" w:rsidTr="00A45E6B">
        <w:trPr>
          <w:trHeight w:val="389"/>
          <w:jc w:val="center"/>
        </w:trPr>
        <w:tc>
          <w:tcPr>
            <w:tcW w:w="5102" w:type="dxa"/>
            <w:tcBorders>
              <w:left w:val="single" w:sz="4" w:space="0" w:color="auto"/>
              <w:right w:val="single" w:sz="4" w:space="0" w:color="auto"/>
            </w:tcBorders>
            <w:shd w:val="clear" w:color="auto" w:fill="auto"/>
            <w:noWrap/>
            <w:vAlign w:val="center"/>
          </w:tcPr>
          <w:p w14:paraId="1D1E8E8C" w14:textId="77777777" w:rsidR="0071415F" w:rsidRPr="00537CB3" w:rsidRDefault="0071415F" w:rsidP="007B4A03">
            <w:pPr>
              <w:tabs>
                <w:tab w:val="left" w:pos="9072"/>
              </w:tabs>
              <w:bidi w:val="0"/>
              <w:spacing w:after="0" w:line="240" w:lineRule="auto"/>
              <w:ind w:left="60"/>
              <w:jc w:val="both"/>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 xml:space="preserve">11.5.1.2 Number of  missing persons  attributed to disasters per 100,000 population (UNSD,2018, </w:t>
            </w:r>
            <w:r w:rsidR="00966751" w:rsidRPr="00537CB3">
              <w:rPr>
                <w:rFonts w:asciiTheme="minorBidi" w:hAnsiTheme="minorBidi" w:cstheme="minorBidi"/>
                <w:color w:val="000000" w:themeColor="text1"/>
                <w:sz w:val="18"/>
                <w:szCs w:val="18"/>
              </w:rPr>
              <w:t>p</w:t>
            </w:r>
            <w:r w:rsidRPr="00537CB3">
              <w:rPr>
                <w:rFonts w:asciiTheme="minorBidi" w:hAnsiTheme="minorBidi" w:cstheme="minorBidi"/>
                <w:color w:val="000000" w:themeColor="text1"/>
                <w:sz w:val="18"/>
                <w:szCs w:val="18"/>
              </w:rPr>
              <w:t>er 100,000 population)</w:t>
            </w:r>
          </w:p>
        </w:tc>
        <w:tc>
          <w:tcPr>
            <w:tcW w:w="1247" w:type="dxa"/>
            <w:tcBorders>
              <w:left w:val="nil"/>
              <w:right w:val="single" w:sz="4" w:space="0" w:color="auto"/>
            </w:tcBorders>
            <w:shd w:val="clear" w:color="auto" w:fill="auto"/>
            <w:noWrap/>
          </w:tcPr>
          <w:p w14:paraId="384F4589"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Identical</w:t>
            </w:r>
          </w:p>
        </w:tc>
        <w:tc>
          <w:tcPr>
            <w:tcW w:w="1160" w:type="dxa"/>
            <w:tcBorders>
              <w:left w:val="nil"/>
              <w:right w:val="single" w:sz="4" w:space="0" w:color="auto"/>
            </w:tcBorders>
          </w:tcPr>
          <w:p w14:paraId="542B66D8"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tl/>
              </w:rPr>
            </w:pPr>
            <w:r w:rsidRPr="00537CB3">
              <w:rPr>
                <w:rFonts w:asciiTheme="minorBidi" w:hAnsiTheme="minorBidi" w:cstheme="minorBidi"/>
                <w:color w:val="000000" w:themeColor="text1"/>
                <w:sz w:val="18"/>
                <w:szCs w:val="18"/>
              </w:rPr>
              <w:t>0.0 (2017)</w:t>
            </w:r>
          </w:p>
        </w:tc>
        <w:tc>
          <w:tcPr>
            <w:tcW w:w="1064" w:type="dxa"/>
            <w:tcBorders>
              <w:left w:val="single" w:sz="4" w:space="0" w:color="auto"/>
              <w:right w:val="single" w:sz="4" w:space="0" w:color="auto"/>
            </w:tcBorders>
            <w:shd w:val="clear" w:color="auto" w:fill="auto"/>
          </w:tcPr>
          <w:p w14:paraId="201550A6" w14:textId="77777777" w:rsidR="0071415F" w:rsidRPr="00537CB3" w:rsidRDefault="0071415F" w:rsidP="0071415F">
            <w:pPr>
              <w:bidi w:val="0"/>
              <w:spacing w:after="0" w:line="240" w:lineRule="auto"/>
              <w:jc w:val="center"/>
              <w:rPr>
                <w:rFonts w:asciiTheme="minorBidi" w:hAnsiTheme="minorBidi" w:cstheme="minorBidi"/>
                <w:sz w:val="18"/>
                <w:szCs w:val="18"/>
                <w:rtl/>
              </w:rPr>
            </w:pPr>
            <w:r w:rsidRPr="00537CB3">
              <w:rPr>
                <w:rFonts w:asciiTheme="minorBidi" w:hAnsiTheme="minorBidi" w:cstheme="minorBidi"/>
                <w:sz w:val="18"/>
                <w:szCs w:val="18"/>
                <w:rtl/>
              </w:rPr>
              <w:t>0.0</w:t>
            </w:r>
          </w:p>
        </w:tc>
        <w:tc>
          <w:tcPr>
            <w:tcW w:w="1345" w:type="dxa"/>
            <w:tcBorders>
              <w:left w:val="single" w:sz="4" w:space="0" w:color="auto"/>
              <w:right w:val="single" w:sz="4" w:space="0" w:color="auto"/>
            </w:tcBorders>
          </w:tcPr>
          <w:p w14:paraId="6CC3C486" w14:textId="77777777" w:rsidR="0071415F" w:rsidRPr="00537CB3" w:rsidRDefault="0071415F" w:rsidP="0071415F">
            <w:pPr>
              <w:bidi w:val="0"/>
              <w:spacing w:after="0" w:line="240" w:lineRule="auto"/>
              <w:jc w:val="center"/>
              <w:rPr>
                <w:rFonts w:asciiTheme="minorBidi" w:hAnsiTheme="minorBidi" w:cstheme="minorBidi"/>
                <w:sz w:val="18"/>
                <w:szCs w:val="18"/>
                <w:rtl/>
              </w:rPr>
            </w:pPr>
            <w:r w:rsidRPr="00537CB3">
              <w:rPr>
                <w:rFonts w:asciiTheme="minorBidi" w:hAnsiTheme="minorBidi" w:cstheme="minorBidi"/>
                <w:sz w:val="18"/>
                <w:szCs w:val="18"/>
              </w:rPr>
              <w:t>No change</w:t>
            </w:r>
          </w:p>
        </w:tc>
      </w:tr>
      <w:tr w:rsidR="0071415F" w:rsidRPr="00770C22" w14:paraId="7BAFC730" w14:textId="77777777" w:rsidTr="00A45E6B">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03C58F34" w14:textId="77777777" w:rsidR="0071415F" w:rsidRPr="00537CB3" w:rsidRDefault="0071415F" w:rsidP="007B4A03">
            <w:pPr>
              <w:tabs>
                <w:tab w:val="left" w:pos="9072"/>
              </w:tabs>
              <w:bidi w:val="0"/>
              <w:spacing w:after="0" w:line="240" w:lineRule="auto"/>
              <w:ind w:left="60"/>
              <w:jc w:val="both"/>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 xml:space="preserve">11.5.1.3 Number of directly affected persons attributed to disasters per 100,000 population (UNSD, 2018, </w:t>
            </w:r>
            <w:r w:rsidR="00966751" w:rsidRPr="00537CB3">
              <w:rPr>
                <w:rFonts w:asciiTheme="minorBidi" w:hAnsiTheme="minorBidi" w:cstheme="minorBidi"/>
                <w:color w:val="000000" w:themeColor="text1"/>
                <w:sz w:val="18"/>
                <w:szCs w:val="18"/>
              </w:rPr>
              <w:t>p</w:t>
            </w:r>
            <w:r w:rsidRPr="00537CB3">
              <w:rPr>
                <w:rFonts w:asciiTheme="minorBidi" w:hAnsiTheme="minorBidi" w:cstheme="minorBidi"/>
                <w:color w:val="000000" w:themeColor="text1"/>
                <w:sz w:val="18"/>
                <w:szCs w:val="18"/>
              </w:rPr>
              <w:t>er 100,000 population)</w:t>
            </w:r>
          </w:p>
        </w:tc>
        <w:tc>
          <w:tcPr>
            <w:tcW w:w="1247" w:type="dxa"/>
            <w:tcBorders>
              <w:left w:val="nil"/>
              <w:bottom w:val="single" w:sz="4" w:space="0" w:color="auto"/>
              <w:right w:val="single" w:sz="4" w:space="0" w:color="auto"/>
            </w:tcBorders>
            <w:shd w:val="clear" w:color="auto" w:fill="auto"/>
            <w:noWrap/>
          </w:tcPr>
          <w:p w14:paraId="4D1376FC"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Identical</w:t>
            </w:r>
          </w:p>
        </w:tc>
        <w:tc>
          <w:tcPr>
            <w:tcW w:w="1160" w:type="dxa"/>
            <w:tcBorders>
              <w:left w:val="nil"/>
              <w:bottom w:val="single" w:sz="4" w:space="0" w:color="auto"/>
              <w:right w:val="single" w:sz="4" w:space="0" w:color="auto"/>
            </w:tcBorders>
          </w:tcPr>
          <w:p w14:paraId="7EC88B1E"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42.0 (2017</w:t>
            </w:r>
          </w:p>
        </w:tc>
        <w:tc>
          <w:tcPr>
            <w:tcW w:w="1064" w:type="dxa"/>
            <w:tcBorders>
              <w:left w:val="single" w:sz="4" w:space="0" w:color="auto"/>
              <w:bottom w:val="single" w:sz="4" w:space="0" w:color="auto"/>
              <w:right w:val="single" w:sz="4" w:space="0" w:color="auto"/>
            </w:tcBorders>
            <w:shd w:val="clear" w:color="auto" w:fill="auto"/>
          </w:tcPr>
          <w:p w14:paraId="6E8DFB7A" w14:textId="77777777" w:rsidR="0071415F" w:rsidRPr="00537CB3" w:rsidRDefault="0071415F" w:rsidP="0071415F">
            <w:pPr>
              <w:bidi w:val="0"/>
              <w:spacing w:after="0" w:line="240" w:lineRule="auto"/>
              <w:jc w:val="center"/>
              <w:rPr>
                <w:rFonts w:asciiTheme="minorBidi" w:hAnsiTheme="minorBidi" w:cstheme="minorBidi"/>
                <w:sz w:val="18"/>
                <w:szCs w:val="18"/>
                <w:rtl/>
              </w:rPr>
            </w:pPr>
            <w:r w:rsidRPr="00537CB3">
              <w:rPr>
                <w:rFonts w:asciiTheme="minorBidi" w:hAnsiTheme="minorBidi" w:cstheme="minorBidi"/>
                <w:sz w:val="18"/>
                <w:szCs w:val="18"/>
              </w:rPr>
              <w:t>6.3</w:t>
            </w:r>
          </w:p>
        </w:tc>
        <w:tc>
          <w:tcPr>
            <w:tcW w:w="1345" w:type="dxa"/>
            <w:tcBorders>
              <w:left w:val="single" w:sz="4" w:space="0" w:color="auto"/>
              <w:bottom w:val="single" w:sz="4" w:space="0" w:color="auto"/>
              <w:right w:val="single" w:sz="4" w:space="0" w:color="auto"/>
            </w:tcBorders>
          </w:tcPr>
          <w:p w14:paraId="57F561A4" w14:textId="77777777" w:rsidR="0071415F" w:rsidRPr="00537CB3" w:rsidRDefault="0071415F" w:rsidP="0071415F">
            <w:pPr>
              <w:bidi w:val="0"/>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rPr>
              <w:t>Decrease</w:t>
            </w:r>
          </w:p>
        </w:tc>
      </w:tr>
      <w:tr w:rsidR="00A45E6B" w:rsidRPr="00770C22" w14:paraId="35C0158B" w14:textId="77777777" w:rsidTr="00A45E6B">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96AE2" w14:textId="77777777" w:rsidR="00A45E6B" w:rsidRPr="00537CB3" w:rsidRDefault="00A45E6B" w:rsidP="00A45E6B">
            <w:pPr>
              <w:tabs>
                <w:tab w:val="left" w:pos="9072"/>
              </w:tabs>
              <w:bidi w:val="0"/>
              <w:spacing w:after="0" w:line="240" w:lineRule="auto"/>
              <w:jc w:val="both"/>
              <w:rPr>
                <w:rFonts w:asciiTheme="minorBidi" w:hAnsiTheme="minorBidi" w:cstheme="minorBidi"/>
                <w:color w:val="000000" w:themeColor="text1"/>
                <w:sz w:val="18"/>
                <w:szCs w:val="18"/>
              </w:rPr>
            </w:pPr>
            <w:r w:rsidRPr="00537CB3">
              <w:rPr>
                <w:rFonts w:asciiTheme="minorBidi" w:hAnsiTheme="minorBidi" w:cstheme="minorBidi"/>
                <w:b/>
                <w:color w:val="000000" w:themeColor="text1"/>
                <w:sz w:val="18"/>
                <w:szCs w:val="18"/>
              </w:rPr>
              <w:t>Indicator</w:t>
            </w:r>
            <w:r w:rsidRPr="00537CB3">
              <w:rPr>
                <w:rFonts w:asciiTheme="minorBidi" w:hAnsiTheme="minorBidi" w:cstheme="minorBidi"/>
                <w:b/>
                <w:bCs/>
                <w:color w:val="000000" w:themeColor="text1"/>
                <w:sz w:val="18"/>
                <w:szCs w:val="18"/>
              </w:rPr>
              <w:t xml:space="preserve"> 11.5.2 </w:t>
            </w:r>
            <w:r w:rsidRPr="00537CB3">
              <w:rPr>
                <w:rFonts w:asciiTheme="minorBidi" w:hAnsiTheme="minorBidi" w:cstheme="minorBidi"/>
                <w:color w:val="000000" w:themeColor="text1"/>
                <w:sz w:val="18"/>
                <w:szCs w:val="18"/>
              </w:rPr>
              <w:t xml:space="preserve">Direct economic loss in relation to global GDP, damage to critical infrastructure and number of disruptions to basic services, attributed to disasters (UNSD, 2018, USD) </w:t>
            </w:r>
            <w:r w:rsidRPr="00537CB3">
              <w:rPr>
                <w:rFonts w:asciiTheme="minorBidi" w:hAnsiTheme="minorBidi" w:cstheme="minorBidi"/>
                <w:b/>
                <w:bCs/>
                <w:color w:val="000000" w:themeColor="text1"/>
                <w:sz w:val="18"/>
                <w:szCs w:val="18"/>
              </w:rPr>
              <w:t>(repeated with indicator 1.5.2)</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4A06300D" w14:textId="77777777" w:rsidR="00A45E6B" w:rsidRPr="00537CB3" w:rsidRDefault="00A45E6B" w:rsidP="00A45E6B">
            <w:pPr>
              <w:bidi w:val="0"/>
              <w:spacing w:after="0" w:line="240" w:lineRule="auto"/>
              <w:jc w:val="center"/>
              <w:rPr>
                <w:rFonts w:asciiTheme="minorBidi" w:hAnsiTheme="minorBidi" w:cstheme="minorBidi"/>
                <w:color w:val="000000"/>
                <w:sz w:val="18"/>
                <w:szCs w:val="18"/>
              </w:rPr>
            </w:pPr>
            <w:r w:rsidRPr="00537CB3">
              <w:rPr>
                <w:rFonts w:asciiTheme="minorBidi" w:hAnsiTheme="minorBidi" w:cstheme="minorBidi"/>
                <w:color w:val="000000" w:themeColor="text1"/>
                <w:sz w:val="18"/>
                <w:szCs w:val="18"/>
              </w:rPr>
              <w:t>Identical</w:t>
            </w:r>
          </w:p>
        </w:tc>
        <w:tc>
          <w:tcPr>
            <w:tcW w:w="1160" w:type="dxa"/>
            <w:tcBorders>
              <w:top w:val="single" w:sz="4" w:space="0" w:color="auto"/>
              <w:left w:val="nil"/>
              <w:bottom w:val="single" w:sz="4" w:space="0" w:color="auto"/>
              <w:right w:val="single" w:sz="4" w:space="0" w:color="auto"/>
            </w:tcBorders>
          </w:tcPr>
          <w:p w14:paraId="6A6E354B" w14:textId="77777777" w:rsidR="00A45E6B" w:rsidRPr="00537CB3" w:rsidRDefault="00A45E6B" w:rsidP="00A45E6B">
            <w:pPr>
              <w:spacing w:after="0" w:line="240" w:lineRule="auto"/>
              <w:jc w:val="center"/>
              <w:rPr>
                <w:rFonts w:ascii="Simplified Arabic" w:hAnsi="Simplified Arabic" w:cs="Simplified Arabic"/>
                <w:sz w:val="18"/>
                <w:szCs w:val="18"/>
                <w:shd w:val="clear" w:color="auto" w:fill="FFFFFF"/>
                <w:rtl/>
              </w:rPr>
            </w:pPr>
            <w:r w:rsidRPr="00537CB3">
              <w:rPr>
                <w:rFonts w:ascii="Simplified Arabic" w:hAnsi="Simplified Arabic" w:cs="Simplified Arabic"/>
                <w:sz w:val="18"/>
                <w:szCs w:val="18"/>
              </w:rPr>
              <w:t>575,004</w:t>
            </w:r>
          </w:p>
          <w:p w14:paraId="20FF5E88" w14:textId="77777777" w:rsidR="00A45E6B" w:rsidRPr="00537CB3" w:rsidRDefault="00A45E6B" w:rsidP="00A45E6B">
            <w:pPr>
              <w:spacing w:after="0" w:line="240" w:lineRule="auto"/>
              <w:jc w:val="center"/>
              <w:rPr>
                <w:rFonts w:ascii="Simplified Arabic" w:hAnsi="Simplified Arabic" w:cs="Simplified Arabic"/>
                <w:sz w:val="18"/>
                <w:szCs w:val="18"/>
              </w:rPr>
            </w:pPr>
            <w:r w:rsidRPr="00537CB3">
              <w:rPr>
                <w:rFonts w:ascii="Simplified Arabic" w:hAnsi="Simplified Arabic" w:cs="Simplified Arabic"/>
                <w:sz w:val="18"/>
                <w:szCs w:val="18"/>
                <w:shd w:val="clear" w:color="auto" w:fill="FFFFFF"/>
                <w:rtl/>
              </w:rPr>
              <w:t>(2017)</w:t>
            </w:r>
          </w:p>
        </w:tc>
        <w:tc>
          <w:tcPr>
            <w:tcW w:w="1064" w:type="dxa"/>
            <w:tcBorders>
              <w:top w:val="single" w:sz="4" w:space="0" w:color="auto"/>
              <w:left w:val="single" w:sz="4" w:space="0" w:color="auto"/>
              <w:bottom w:val="single" w:sz="4" w:space="0" w:color="auto"/>
              <w:right w:val="single" w:sz="4" w:space="0" w:color="auto"/>
            </w:tcBorders>
            <w:shd w:val="clear" w:color="auto" w:fill="auto"/>
            <w:noWrap/>
          </w:tcPr>
          <w:p w14:paraId="7FDA4A8A" w14:textId="77777777" w:rsidR="00A45E6B" w:rsidRPr="00537CB3" w:rsidRDefault="00A45E6B" w:rsidP="00A45E6B">
            <w:pPr>
              <w:bidi w:val="0"/>
              <w:spacing w:after="0" w:line="240" w:lineRule="auto"/>
              <w:jc w:val="center"/>
              <w:rPr>
                <w:rFonts w:ascii="Simplified Arabic" w:hAnsi="Simplified Arabic" w:cs="Simplified Arabic"/>
                <w:sz w:val="18"/>
                <w:szCs w:val="18"/>
              </w:rPr>
            </w:pPr>
            <w:r w:rsidRPr="00537CB3">
              <w:rPr>
                <w:rFonts w:ascii="Simplified Arabic" w:hAnsi="Simplified Arabic" w:cs="Simplified Arabic"/>
                <w:sz w:val="18"/>
                <w:szCs w:val="18"/>
              </w:rPr>
              <w:t xml:space="preserve">28,678,583 </w:t>
            </w:r>
          </w:p>
        </w:tc>
        <w:tc>
          <w:tcPr>
            <w:tcW w:w="1345" w:type="dxa"/>
            <w:tcBorders>
              <w:top w:val="single" w:sz="4" w:space="0" w:color="auto"/>
              <w:left w:val="single" w:sz="4" w:space="0" w:color="auto"/>
              <w:bottom w:val="single" w:sz="4" w:space="0" w:color="auto"/>
              <w:right w:val="single" w:sz="4" w:space="0" w:color="auto"/>
            </w:tcBorders>
          </w:tcPr>
          <w:p w14:paraId="746A86BE" w14:textId="77777777" w:rsidR="00A45E6B" w:rsidRPr="00537CB3" w:rsidRDefault="00A45E6B" w:rsidP="00A45E6B">
            <w:pPr>
              <w:bidi w:val="0"/>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rPr>
              <w:t>Decrease</w:t>
            </w:r>
          </w:p>
        </w:tc>
      </w:tr>
      <w:tr w:rsidR="0071415F" w:rsidRPr="00770C22" w14:paraId="3E6FA177" w14:textId="77777777" w:rsidTr="00A45E6B">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74C57" w14:textId="77777777" w:rsidR="0071415F" w:rsidRPr="00537CB3"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537CB3">
              <w:rPr>
                <w:rFonts w:asciiTheme="minorBidi" w:hAnsiTheme="minorBidi" w:cstheme="minorBidi"/>
                <w:b/>
                <w:color w:val="000000" w:themeColor="text1"/>
                <w:sz w:val="18"/>
                <w:szCs w:val="18"/>
              </w:rPr>
              <w:t xml:space="preserve">Indicator 11.a.1 </w:t>
            </w:r>
            <w:r w:rsidRPr="00537CB3">
              <w:rPr>
                <w:rFonts w:asciiTheme="minorBidi" w:hAnsiTheme="minorBidi" w:cstheme="minorBidi"/>
                <w:bCs/>
                <w:color w:val="000000" w:themeColor="text1"/>
                <w:sz w:val="18"/>
                <w:szCs w:val="18"/>
              </w:rPr>
              <w:t>Number of countries that have national urban policies or regional development plans that (a) respond to population dynamics, (b) ensure balanced territorial development, (c) increase local fiscal space</w:t>
            </w:r>
            <w:r w:rsidRPr="00537CB3">
              <w:rPr>
                <w:rFonts w:asciiTheme="minorBidi" w:hAnsiTheme="minorBidi" w:cstheme="minorBidi"/>
                <w:color w:val="000000" w:themeColor="text1"/>
                <w:sz w:val="18"/>
                <w:szCs w:val="18"/>
              </w:rPr>
              <w:t xml:space="preserve">(UNSD, 2020, </w:t>
            </w:r>
            <w:r w:rsidR="00966751" w:rsidRPr="00537CB3">
              <w:rPr>
                <w:rFonts w:asciiTheme="minorBidi" w:hAnsiTheme="minorBidi" w:cstheme="minorBidi"/>
                <w:color w:val="000000" w:themeColor="text1"/>
                <w:sz w:val="18"/>
                <w:szCs w:val="18"/>
              </w:rPr>
              <w:t>n</w:t>
            </w:r>
            <w:r w:rsidRPr="00537CB3">
              <w:rPr>
                <w:rFonts w:asciiTheme="minorBidi" w:hAnsiTheme="minorBidi" w:cstheme="minorBidi"/>
                <w:color w:val="000000" w:themeColor="text1"/>
                <w:sz w:val="18"/>
                <w:szCs w:val="18"/>
              </w:rPr>
              <w:t>umber)</w:t>
            </w:r>
          </w:p>
          <w:p w14:paraId="24086D17" w14:textId="77777777" w:rsidR="006E49BE" w:rsidRPr="00537CB3" w:rsidRDefault="006E49BE" w:rsidP="006E49BE">
            <w:pPr>
              <w:tabs>
                <w:tab w:val="left" w:pos="9072"/>
              </w:tabs>
              <w:bidi w:val="0"/>
              <w:spacing w:after="0" w:line="240" w:lineRule="auto"/>
              <w:jc w:val="both"/>
              <w:rPr>
                <w:rFonts w:asciiTheme="minorBidi" w:hAnsiTheme="minorBidi" w:cstheme="minorBidi"/>
                <w:b/>
                <w:color w:val="000000" w:themeColor="text1"/>
                <w:sz w:val="18"/>
                <w:szCs w:val="18"/>
              </w:rPr>
            </w:pP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724DC9C5"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Identical</w:t>
            </w:r>
          </w:p>
        </w:tc>
        <w:tc>
          <w:tcPr>
            <w:tcW w:w="1160" w:type="dxa"/>
            <w:tcBorders>
              <w:top w:val="single" w:sz="4" w:space="0" w:color="auto"/>
              <w:left w:val="nil"/>
              <w:bottom w:val="single" w:sz="4" w:space="0" w:color="auto"/>
              <w:right w:val="single" w:sz="4" w:space="0" w:color="auto"/>
            </w:tcBorders>
            <w:vAlign w:val="center"/>
          </w:tcPr>
          <w:p w14:paraId="2D42702C" w14:textId="77777777" w:rsidR="0071415F" w:rsidRPr="00537CB3" w:rsidRDefault="0071415F" w:rsidP="0071415F">
            <w:pPr>
              <w:bidi w:val="0"/>
              <w:spacing w:after="0" w:line="240" w:lineRule="auto"/>
              <w:jc w:val="center"/>
              <w:rPr>
                <w:rFonts w:asciiTheme="minorBidi" w:hAnsiTheme="minorBidi" w:cstheme="minorBidi"/>
                <w:color w:val="000000" w:themeColor="text1"/>
                <w:sz w:val="18"/>
                <w:szCs w:val="18"/>
              </w:rPr>
            </w:pPr>
            <w:r w:rsidRPr="00537CB3">
              <w:rPr>
                <w:rFonts w:asciiTheme="minorBidi" w:hAnsiTheme="minorBidi" w:cstheme="minorBidi"/>
                <w:color w:val="000000" w:themeColor="text1"/>
                <w:sz w:val="18"/>
                <w:szCs w:val="18"/>
              </w:rPr>
              <w:tab/>
            </w:r>
            <w:r w:rsidRPr="00537CB3">
              <w:rPr>
                <w:rFonts w:asciiTheme="minorBidi" w:hAnsiTheme="minorBidi" w:cstheme="minorBidi"/>
                <w:color w:val="000000" w:themeColor="text1"/>
                <w:sz w:val="18"/>
                <w:szCs w:val="18"/>
              </w:rPr>
              <w:tab/>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60726" w14:textId="77777777" w:rsidR="0071415F" w:rsidRPr="00537CB3" w:rsidRDefault="0071415F" w:rsidP="0071415F">
            <w:pPr>
              <w:bidi w:val="0"/>
              <w:spacing w:after="0" w:line="240" w:lineRule="auto"/>
              <w:jc w:val="center"/>
              <w:rPr>
                <w:rFonts w:asciiTheme="minorBidi" w:hAnsiTheme="minorBidi" w:cstheme="minorBidi"/>
                <w:sz w:val="18"/>
                <w:szCs w:val="18"/>
              </w:rPr>
            </w:pPr>
            <w:r w:rsidRPr="00537CB3">
              <w:rPr>
                <w:rFonts w:asciiTheme="minorBidi" w:hAnsiTheme="minorBidi" w:cstheme="minorBidi"/>
                <w:sz w:val="18"/>
                <w:szCs w:val="18"/>
              </w:rPr>
              <w:t>0 (No)</w:t>
            </w:r>
          </w:p>
        </w:tc>
        <w:tc>
          <w:tcPr>
            <w:tcW w:w="1345" w:type="dxa"/>
            <w:tcBorders>
              <w:top w:val="single" w:sz="4" w:space="0" w:color="auto"/>
              <w:left w:val="single" w:sz="4" w:space="0" w:color="auto"/>
              <w:bottom w:val="single" w:sz="4" w:space="0" w:color="auto"/>
              <w:right w:val="single" w:sz="4" w:space="0" w:color="auto"/>
            </w:tcBorders>
            <w:vAlign w:val="center"/>
          </w:tcPr>
          <w:p w14:paraId="75DD1B5C" w14:textId="77777777" w:rsidR="0071415F" w:rsidRPr="00537CB3" w:rsidRDefault="0071415F" w:rsidP="0071415F">
            <w:pPr>
              <w:bidi w:val="0"/>
              <w:spacing w:after="0" w:line="240" w:lineRule="auto"/>
              <w:jc w:val="center"/>
              <w:rPr>
                <w:rFonts w:asciiTheme="minorBidi" w:hAnsiTheme="minorBidi" w:cstheme="minorBidi"/>
                <w:sz w:val="18"/>
                <w:szCs w:val="18"/>
              </w:rPr>
            </w:pPr>
          </w:p>
        </w:tc>
      </w:tr>
      <w:tr w:rsidR="0071415F" w:rsidRPr="00770C22" w14:paraId="3FD784D2" w14:textId="77777777" w:rsidTr="00A45E6B">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2349C" w14:textId="77777777" w:rsidR="0071415F" w:rsidRPr="00770C22" w:rsidRDefault="0071415F" w:rsidP="0071415F">
            <w:pPr>
              <w:tabs>
                <w:tab w:val="left" w:pos="9072"/>
              </w:tabs>
              <w:bidi w:val="0"/>
              <w:spacing w:after="0" w:line="240" w:lineRule="auto"/>
              <w:jc w:val="both"/>
              <w:rPr>
                <w:rFonts w:asciiTheme="minorBidi" w:hAnsiTheme="minorBidi" w:cstheme="minorBidi"/>
                <w:b/>
                <w:bCs/>
                <w:color w:val="000000" w:themeColor="text1"/>
                <w:sz w:val="18"/>
                <w:szCs w:val="18"/>
              </w:rPr>
            </w:pPr>
            <w:r w:rsidRPr="00770C22">
              <w:rPr>
                <w:rFonts w:asciiTheme="minorBidi" w:hAnsiTheme="minorBidi" w:cstheme="minorBidi"/>
                <w:b/>
                <w:color w:val="000000" w:themeColor="text1"/>
                <w:sz w:val="18"/>
                <w:szCs w:val="18"/>
              </w:rPr>
              <w:lastRenderedPageBreak/>
              <w:t>Indicator</w:t>
            </w:r>
            <w:r w:rsidRPr="00770C22">
              <w:rPr>
                <w:rFonts w:asciiTheme="minorBidi" w:hAnsiTheme="minorBidi" w:cstheme="minorBidi"/>
                <w:b/>
                <w:bCs/>
                <w:color w:val="000000" w:themeColor="text1"/>
                <w:sz w:val="18"/>
                <w:szCs w:val="18"/>
              </w:rPr>
              <w:t xml:space="preserve"> 11.b.1</w:t>
            </w:r>
            <w:r w:rsidRPr="00770C22">
              <w:rPr>
                <w:rFonts w:asciiTheme="minorBidi" w:hAnsiTheme="minorBidi" w:cstheme="minorBidi"/>
                <w:color w:val="000000" w:themeColor="text1"/>
                <w:sz w:val="18"/>
                <w:szCs w:val="18"/>
              </w:rPr>
              <w:t xml:space="preserve"> Number of countries that adopt and implement national disaster risk reduction strategies in line with the Sendai Framework for Disaster Risk Reduction 2015-2030 (NDRMC, 2019, Yes=1/No=0)</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12F9317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160" w:type="dxa"/>
            <w:tcBorders>
              <w:top w:val="single" w:sz="4" w:space="0" w:color="auto"/>
              <w:left w:val="nil"/>
              <w:bottom w:val="single" w:sz="4" w:space="0" w:color="auto"/>
              <w:right w:val="single" w:sz="4" w:space="0" w:color="auto"/>
            </w:tcBorders>
            <w:vAlign w:val="center"/>
          </w:tcPr>
          <w:p w14:paraId="7CEB988A"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(2018)</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7DF10"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1 (Yes)</w:t>
            </w:r>
          </w:p>
        </w:tc>
        <w:tc>
          <w:tcPr>
            <w:tcW w:w="1345" w:type="dxa"/>
            <w:tcBorders>
              <w:top w:val="single" w:sz="4" w:space="0" w:color="auto"/>
              <w:left w:val="single" w:sz="4" w:space="0" w:color="auto"/>
              <w:bottom w:val="single" w:sz="4" w:space="0" w:color="auto"/>
              <w:right w:val="single" w:sz="4" w:space="0" w:color="auto"/>
            </w:tcBorders>
            <w:vAlign w:val="center"/>
          </w:tcPr>
          <w:p w14:paraId="61456F9B"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54AFDB12" w14:textId="77777777" w:rsidTr="00A45E6B">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F3B43" w14:textId="77777777" w:rsidR="0071415F" w:rsidRPr="00770C22"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11.b.2</w:t>
            </w:r>
            <w:r w:rsidRPr="00770C22">
              <w:rPr>
                <w:rFonts w:asciiTheme="minorBidi" w:hAnsiTheme="minorBidi" w:cstheme="minorBidi"/>
                <w:color w:val="000000" w:themeColor="text1"/>
                <w:sz w:val="18"/>
                <w:szCs w:val="18"/>
              </w:rPr>
              <w:t xml:space="preserve"> Proportion of local governments that adopt and implement local disaster risk reduction strategies in line with national disaster risk reduction strategies(NDRMC, 2019,</w:t>
            </w:r>
            <w:r w:rsidR="00966751">
              <w:rPr>
                <w:rFonts w:asciiTheme="minorBidi" w:hAnsiTheme="minorBidi" w:cstheme="minorBidi"/>
                <w:color w:val="000000" w:themeColor="text1"/>
                <w:sz w:val="18"/>
                <w:szCs w:val="18"/>
              </w:rPr>
              <w:t xml:space="preserve"> p</w:t>
            </w:r>
            <w:r w:rsidRPr="00770C22">
              <w:rPr>
                <w:rFonts w:asciiTheme="minorBidi" w:hAnsiTheme="minorBidi" w:cstheme="minorBidi"/>
                <w:color w:val="000000" w:themeColor="text1"/>
                <w:sz w:val="18"/>
                <w:szCs w:val="18"/>
              </w:rPr>
              <w:t xml:space="preserve">ercentage) </w:t>
            </w:r>
            <w:r w:rsidRPr="00770C22">
              <w:rPr>
                <w:rFonts w:asciiTheme="minorBidi" w:hAnsiTheme="minorBidi" w:cstheme="minorBidi"/>
                <w:b/>
                <w:bCs/>
                <w:color w:val="000000" w:themeColor="text1"/>
                <w:sz w:val="18"/>
                <w:szCs w:val="18"/>
              </w:rPr>
              <w:t>(repeated with indicators: 1.5.4 and 13.1.3)</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4561646A"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160" w:type="dxa"/>
            <w:tcBorders>
              <w:top w:val="single" w:sz="4" w:space="0" w:color="auto"/>
              <w:left w:val="nil"/>
              <w:bottom w:val="single" w:sz="4" w:space="0" w:color="auto"/>
              <w:right w:val="single" w:sz="4" w:space="0" w:color="auto"/>
            </w:tcBorders>
            <w:vAlign w:val="center"/>
          </w:tcPr>
          <w:p w14:paraId="4455FFA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68.8*</w:t>
            </w:r>
          </w:p>
          <w:p w14:paraId="323CF4D8"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 (2018)</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9DA22"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tl/>
              </w:rPr>
              <w:t>68.8</w:t>
            </w:r>
            <w:r w:rsidRPr="00770C22">
              <w:rPr>
                <w:rFonts w:asciiTheme="minorBidi" w:hAnsiTheme="minorBidi" w:cstheme="minorBidi"/>
                <w:sz w:val="18"/>
                <w:szCs w:val="18"/>
              </w:rPr>
              <w:t>*</w:t>
            </w:r>
          </w:p>
        </w:tc>
        <w:tc>
          <w:tcPr>
            <w:tcW w:w="1345" w:type="dxa"/>
            <w:tcBorders>
              <w:top w:val="single" w:sz="4" w:space="0" w:color="auto"/>
              <w:left w:val="single" w:sz="4" w:space="0" w:color="auto"/>
              <w:bottom w:val="single" w:sz="4" w:space="0" w:color="auto"/>
              <w:right w:val="single" w:sz="4" w:space="0" w:color="auto"/>
            </w:tcBorders>
            <w:vAlign w:val="center"/>
          </w:tcPr>
          <w:p w14:paraId="2E82381F"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bl>
    <w:p w14:paraId="79742B42" w14:textId="77777777" w:rsidR="0071415F" w:rsidRPr="000D2E4D" w:rsidRDefault="0071415F" w:rsidP="0071415F">
      <w:pPr>
        <w:autoSpaceDE w:val="0"/>
        <w:autoSpaceDN w:val="0"/>
        <w:bidi w:val="0"/>
        <w:adjustRightInd w:val="0"/>
        <w:spacing w:after="0" w:line="240" w:lineRule="auto"/>
        <w:jc w:val="both"/>
        <w:rPr>
          <w:rFonts w:ascii="Arial" w:hAnsi="Arial"/>
          <w:color w:val="000000"/>
          <w:sz w:val="18"/>
          <w:szCs w:val="18"/>
        </w:rPr>
      </w:pPr>
      <w:r w:rsidRPr="000D2E4D">
        <w:rPr>
          <w:rFonts w:ascii="Arial" w:hAnsi="Arial"/>
          <w:color w:val="000000"/>
          <w:sz w:val="18"/>
          <w:szCs w:val="18"/>
        </w:rPr>
        <w:t>*Data represent all of the West Bank Governorates</w:t>
      </w:r>
    </w:p>
    <w:p w14:paraId="78AC8E7D"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EE35A02" w14:textId="77777777" w:rsidR="0071415F" w:rsidRPr="00537CB3"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 xml:space="preserve">Indicator </w:t>
      </w:r>
      <w:r w:rsidRPr="00537CB3">
        <w:rPr>
          <w:rFonts w:ascii="Times New Roman" w:hAnsi="Times New Roman" w:cs="Times New Roman"/>
          <w:b/>
          <w:bCs/>
          <w:i/>
          <w:iCs/>
          <w:color w:val="000000" w:themeColor="text1"/>
          <w:sz w:val="24"/>
          <w:szCs w:val="24"/>
        </w:rPr>
        <w:t>11.1.1 Proportion of urban population living in slums, informal settlements</w:t>
      </w:r>
      <w:r w:rsidR="00966751" w:rsidRPr="00537CB3">
        <w:rPr>
          <w:rFonts w:ascii="Times New Roman" w:hAnsi="Times New Roman" w:cs="Times New Roman"/>
          <w:b/>
          <w:bCs/>
          <w:i/>
          <w:iCs/>
          <w:color w:val="000000" w:themeColor="text1"/>
          <w:sz w:val="24"/>
          <w:szCs w:val="24"/>
        </w:rPr>
        <w:t>,</w:t>
      </w:r>
      <w:r w:rsidRPr="00537CB3">
        <w:rPr>
          <w:rFonts w:ascii="Times New Roman" w:hAnsi="Times New Roman" w:cs="Times New Roman"/>
          <w:b/>
          <w:bCs/>
          <w:i/>
          <w:iCs/>
          <w:color w:val="000000" w:themeColor="text1"/>
          <w:sz w:val="24"/>
          <w:szCs w:val="24"/>
        </w:rPr>
        <w:t xml:space="preserve"> or inadequate housing</w:t>
      </w:r>
    </w:p>
    <w:p w14:paraId="4300B74C" w14:textId="77777777" w:rsidR="00A92234" w:rsidRPr="00537CB3"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D84BDC6" w14:textId="77777777" w:rsidR="0071415F" w:rsidRPr="00537CB3" w:rsidRDefault="0071415F" w:rsidP="009D0A2C">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537CB3">
        <w:rPr>
          <w:rFonts w:ascii="Times New Roman" w:hAnsi="Times New Roman" w:cs="Times New Roman"/>
          <w:color w:val="000000" w:themeColor="text1"/>
          <w:sz w:val="24"/>
          <w:szCs w:val="24"/>
        </w:rPr>
        <w:t>Data show</w:t>
      </w:r>
      <w:r w:rsidR="00966751" w:rsidRPr="00537CB3">
        <w:rPr>
          <w:rFonts w:ascii="Times New Roman" w:hAnsi="Times New Roman" w:cs="Times New Roman"/>
          <w:color w:val="000000" w:themeColor="text1"/>
          <w:sz w:val="24"/>
          <w:szCs w:val="24"/>
        </w:rPr>
        <w:t>s</w:t>
      </w:r>
      <w:r w:rsidRPr="00537CB3">
        <w:rPr>
          <w:rFonts w:ascii="Times New Roman" w:hAnsi="Times New Roman" w:cs="Times New Roman"/>
          <w:color w:val="000000" w:themeColor="text1"/>
          <w:sz w:val="24"/>
          <w:szCs w:val="24"/>
        </w:rPr>
        <w:t xml:space="preserve"> that the proportion of urban population living in slums, informal settlements</w:t>
      </w:r>
      <w:r w:rsidR="00966751" w:rsidRPr="00537CB3">
        <w:rPr>
          <w:rFonts w:ascii="Times New Roman" w:hAnsi="Times New Roman" w:cs="Times New Roman"/>
          <w:color w:val="000000" w:themeColor="text1"/>
          <w:sz w:val="24"/>
          <w:szCs w:val="24"/>
        </w:rPr>
        <w:t>,</w:t>
      </w:r>
      <w:r w:rsidRPr="00537CB3">
        <w:rPr>
          <w:rFonts w:ascii="Times New Roman" w:hAnsi="Times New Roman" w:cs="Times New Roman"/>
          <w:color w:val="000000" w:themeColor="text1"/>
          <w:sz w:val="24"/>
          <w:szCs w:val="24"/>
        </w:rPr>
        <w:t xml:space="preserve"> or inadequate housing in Palestine </w:t>
      </w:r>
      <w:r w:rsidR="00966751" w:rsidRPr="00537CB3">
        <w:rPr>
          <w:rFonts w:ascii="Times New Roman" w:hAnsi="Times New Roman" w:cs="Times New Roman"/>
          <w:color w:val="000000" w:themeColor="text1"/>
          <w:sz w:val="24"/>
          <w:szCs w:val="24"/>
        </w:rPr>
        <w:t>reached</w:t>
      </w:r>
      <w:r w:rsidRPr="00537CB3">
        <w:rPr>
          <w:rFonts w:ascii="Times New Roman" w:hAnsi="Times New Roman" w:cs="Times New Roman"/>
          <w:color w:val="000000" w:themeColor="text1"/>
          <w:sz w:val="24"/>
          <w:szCs w:val="24"/>
        </w:rPr>
        <w:t xml:space="preserve"> </w:t>
      </w:r>
      <w:r w:rsidR="00321776" w:rsidRPr="00537CB3">
        <w:rPr>
          <w:rFonts w:ascii="Times New Roman" w:hAnsi="Times New Roman" w:cs="Times New Roman"/>
          <w:color w:val="000000" w:themeColor="text1"/>
          <w:sz w:val="24"/>
          <w:szCs w:val="24"/>
        </w:rPr>
        <w:t>19.5</w:t>
      </w:r>
      <w:r w:rsidRPr="00537CB3">
        <w:rPr>
          <w:rFonts w:ascii="Times New Roman" w:hAnsi="Times New Roman" w:cs="Times New Roman"/>
          <w:color w:val="000000" w:themeColor="text1"/>
          <w:sz w:val="24"/>
          <w:szCs w:val="24"/>
        </w:rPr>
        <w:t xml:space="preserve">% in </w:t>
      </w:r>
      <w:r w:rsidR="00321776" w:rsidRPr="00537CB3">
        <w:rPr>
          <w:rFonts w:ascii="Times New Roman" w:hAnsi="Times New Roman" w:cs="Times New Roman"/>
          <w:color w:val="000000" w:themeColor="text1"/>
          <w:sz w:val="24"/>
          <w:szCs w:val="24"/>
        </w:rPr>
        <w:t xml:space="preserve">2020 </w:t>
      </w:r>
      <w:r w:rsidRPr="00537CB3">
        <w:rPr>
          <w:rFonts w:ascii="Times New Roman" w:hAnsi="Times New Roman" w:cs="Times New Roman"/>
          <w:color w:val="000000" w:themeColor="text1"/>
          <w:sz w:val="24"/>
          <w:szCs w:val="24"/>
        </w:rPr>
        <w:t xml:space="preserve">compared with </w:t>
      </w:r>
      <w:r w:rsidR="009D0A2C" w:rsidRPr="00537CB3">
        <w:rPr>
          <w:rFonts w:ascii="Times New Roman" w:hAnsi="Times New Roman" w:cs="Times New Roman"/>
          <w:color w:val="000000" w:themeColor="text1"/>
          <w:sz w:val="24"/>
          <w:szCs w:val="24"/>
        </w:rPr>
        <w:t>45.1</w:t>
      </w:r>
      <w:r w:rsidRPr="00537CB3">
        <w:rPr>
          <w:rFonts w:ascii="Times New Roman" w:hAnsi="Times New Roman" w:cs="Times New Roman"/>
          <w:color w:val="000000" w:themeColor="text1"/>
          <w:sz w:val="24"/>
          <w:szCs w:val="24"/>
        </w:rPr>
        <w:t xml:space="preserve">% in </w:t>
      </w:r>
      <w:r w:rsidR="009D0A2C" w:rsidRPr="00537CB3">
        <w:rPr>
          <w:rFonts w:ascii="Times New Roman" w:hAnsi="Times New Roman" w:cs="Times New Roman"/>
          <w:color w:val="000000" w:themeColor="text1"/>
          <w:sz w:val="24"/>
          <w:szCs w:val="24"/>
        </w:rPr>
        <w:t>2017</w:t>
      </w:r>
      <w:r w:rsidRPr="00537CB3">
        <w:rPr>
          <w:rFonts w:ascii="Times New Roman" w:hAnsi="Times New Roman" w:cs="Times New Roman"/>
          <w:color w:val="000000" w:themeColor="text1"/>
          <w:sz w:val="24"/>
          <w:szCs w:val="24"/>
        </w:rPr>
        <w:t>.</w:t>
      </w:r>
    </w:p>
    <w:p w14:paraId="3870FC45" w14:textId="77777777" w:rsidR="0071415F" w:rsidRPr="00537CB3" w:rsidRDefault="0071415F" w:rsidP="00E6392C">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618AA467" w14:textId="77777777" w:rsidR="0071415F" w:rsidRPr="00537CB3" w:rsidRDefault="0071415F" w:rsidP="0071415F">
      <w:pPr>
        <w:spacing w:after="0" w:line="240" w:lineRule="auto"/>
        <w:jc w:val="both"/>
        <w:rPr>
          <w:rFonts w:ascii="Times New Roman" w:hAnsi="Times New Roman" w:cs="Times New Roman"/>
          <w:color w:val="000000" w:themeColor="text1"/>
          <w:sz w:val="14"/>
          <w:szCs w:val="14"/>
          <w:rtl/>
        </w:rPr>
      </w:pPr>
    </w:p>
    <w:p w14:paraId="1ED1EC3F" w14:textId="77777777" w:rsidR="0071415F" w:rsidRPr="00645F2E" w:rsidRDefault="004A40F1" w:rsidP="009D0A2C">
      <w:pPr>
        <w:autoSpaceDE w:val="0"/>
        <w:autoSpaceDN w:val="0"/>
        <w:bidi w:val="0"/>
        <w:adjustRightInd w:val="0"/>
        <w:spacing w:after="0" w:line="240" w:lineRule="auto"/>
        <w:jc w:val="center"/>
        <w:rPr>
          <w:rFonts w:ascii="Arial" w:hAnsi="Arial"/>
          <w:b/>
          <w:bCs/>
          <w:color w:val="000000" w:themeColor="text1"/>
        </w:rPr>
      </w:pPr>
      <w:r w:rsidRPr="00537CB3">
        <w:rPr>
          <w:rFonts w:ascii="Arial" w:hAnsi="Arial"/>
          <w:b/>
          <w:bCs/>
          <w:color w:val="000000" w:themeColor="text1"/>
        </w:rPr>
        <w:t xml:space="preserve">Proportion of Urban Population Living in Slums, Informal Settlements or Inadequate Housing for </w:t>
      </w:r>
      <w:r w:rsidR="009D0A2C" w:rsidRPr="00537CB3">
        <w:rPr>
          <w:rFonts w:ascii="Arial" w:hAnsi="Arial"/>
          <w:b/>
          <w:bCs/>
          <w:color w:val="000000" w:themeColor="text1"/>
        </w:rPr>
        <w:t xml:space="preserve">selected </w:t>
      </w:r>
      <w:r w:rsidRPr="00537CB3">
        <w:rPr>
          <w:rFonts w:ascii="Arial" w:hAnsi="Arial"/>
          <w:b/>
          <w:bCs/>
          <w:color w:val="000000" w:themeColor="text1"/>
        </w:rPr>
        <w:t xml:space="preserve">Years </w:t>
      </w:r>
    </w:p>
    <w:tbl>
      <w:tblPr>
        <w:tblStyle w:val="TableGrid"/>
        <w:bidiVisual/>
        <w:tblW w:w="0" w:type="auto"/>
        <w:tblLook w:val="04A0" w:firstRow="1" w:lastRow="0" w:firstColumn="1" w:lastColumn="0" w:noHBand="0" w:noVBand="1"/>
      </w:tblPr>
      <w:tblGrid>
        <w:gridCol w:w="9060"/>
      </w:tblGrid>
      <w:tr w:rsidR="009D0A2C" w14:paraId="7E35B9D3" w14:textId="77777777" w:rsidTr="009D0A2C">
        <w:tc>
          <w:tcPr>
            <w:tcW w:w="9286" w:type="dxa"/>
          </w:tcPr>
          <w:p w14:paraId="7660E4C8" w14:textId="77777777" w:rsidR="009D0A2C" w:rsidRDefault="009D0A2C" w:rsidP="009D0A2C">
            <w:pPr>
              <w:jc w:val="center"/>
              <w:rPr>
                <w:rtl/>
              </w:rPr>
            </w:pPr>
            <w:r w:rsidRPr="00B510E2">
              <w:rPr>
                <w:rFonts w:ascii="Simplified Arabic" w:hAnsi="Simplified Arabic" w:cs="Simplified Arabic"/>
                <w:noProof/>
                <w:sz w:val="24"/>
                <w:szCs w:val="24"/>
              </w:rPr>
              <w:drawing>
                <wp:inline distT="0" distB="0" distL="0" distR="0" wp14:anchorId="4544E17B" wp14:editId="7E8B1734">
                  <wp:extent cx="5038725" cy="2095500"/>
                  <wp:effectExtent l="0" t="0" r="0" b="0"/>
                  <wp:docPr id="82"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tc>
      </w:tr>
    </w:tbl>
    <w:p w14:paraId="6E26C684" w14:textId="77777777" w:rsidR="00A530A4" w:rsidRPr="00770C22" w:rsidRDefault="00A530A4" w:rsidP="00770C22">
      <w:pPr>
        <w:pStyle w:val="FootnoteText"/>
        <w:bidi w:val="0"/>
        <w:ind w:left="-180"/>
        <w:rPr>
          <w:rFonts w:asciiTheme="minorBidi" w:hAnsiTheme="minorBidi" w:cstheme="minorBidi"/>
          <w:b/>
          <w:bCs/>
          <w:sz w:val="18"/>
          <w:szCs w:val="18"/>
          <w:u w:val="single"/>
        </w:rPr>
      </w:pPr>
      <w:r w:rsidRPr="00770C22">
        <w:rPr>
          <w:rFonts w:asciiTheme="minorBidi" w:hAnsiTheme="minorBidi" w:cstheme="minorBidi"/>
          <w:b/>
          <w:bCs/>
          <w:sz w:val="18"/>
          <w:szCs w:val="18"/>
        </w:rPr>
        <w:t>Source:</w:t>
      </w:r>
      <w:hyperlink r:id="rId146" w:history="1">
        <w:r w:rsidRPr="00770C22">
          <w:rPr>
            <w:rFonts w:asciiTheme="minorBidi" w:hAnsiTheme="minorBidi" w:cstheme="minorBidi"/>
            <w:b/>
            <w:bCs/>
            <w:sz w:val="18"/>
            <w:szCs w:val="18"/>
            <w:u w:val="single"/>
          </w:rPr>
          <w:t>https://unstats.un.org/sdgs/indicators/database</w:t>
        </w:r>
      </w:hyperlink>
    </w:p>
    <w:p w14:paraId="609AA153" w14:textId="77777777" w:rsidR="00A530A4" w:rsidRPr="00770C22" w:rsidRDefault="00A530A4" w:rsidP="00770C22">
      <w:pPr>
        <w:pStyle w:val="FootnoteText"/>
        <w:bidi w:val="0"/>
        <w:ind w:left="450" w:hanging="630"/>
        <w:rPr>
          <w:rFonts w:asciiTheme="minorBidi" w:hAnsiTheme="minorBidi" w:cstheme="minorBidi"/>
          <w:bCs/>
          <w:color w:val="000000" w:themeColor="text1"/>
          <w:sz w:val="18"/>
          <w:szCs w:val="18"/>
        </w:rPr>
      </w:pPr>
      <w:r w:rsidRPr="00770C22">
        <w:rPr>
          <w:rFonts w:asciiTheme="minorBidi" w:hAnsiTheme="minorBidi" w:cstheme="minorBidi"/>
          <w:b/>
          <w:color w:val="000000" w:themeColor="text1"/>
          <w:sz w:val="18"/>
          <w:szCs w:val="18"/>
        </w:rPr>
        <w:t xml:space="preserve"> Palestinian Central Bureau of Statistics, </w:t>
      </w:r>
      <w:r w:rsidRPr="00770C22">
        <w:rPr>
          <w:rFonts w:asciiTheme="minorBidi" w:hAnsiTheme="minorBidi" w:cstheme="minorBidi"/>
          <w:bCs/>
          <w:color w:val="000000" w:themeColor="text1"/>
          <w:sz w:val="18"/>
          <w:szCs w:val="18"/>
        </w:rPr>
        <w:t>2017.  Population, Housing and Establishments Census 2017.  Ramallah - Palestine.</w:t>
      </w:r>
    </w:p>
    <w:p w14:paraId="272BD23C" w14:textId="77777777" w:rsidR="0071415F" w:rsidRPr="00E6392C" w:rsidRDefault="0071415F" w:rsidP="00770C22">
      <w:pPr>
        <w:autoSpaceDE w:val="0"/>
        <w:autoSpaceDN w:val="0"/>
        <w:bidi w:val="0"/>
        <w:adjustRightInd w:val="0"/>
        <w:spacing w:after="0" w:line="240" w:lineRule="auto"/>
        <w:jc w:val="both"/>
        <w:rPr>
          <w:rFonts w:ascii="Times New Roman" w:hAnsi="Times New Roman"/>
          <w:b/>
          <w:i/>
          <w:color w:val="000000" w:themeColor="text1"/>
          <w:sz w:val="24"/>
        </w:rPr>
      </w:pPr>
    </w:p>
    <w:p w14:paraId="572CFC8C"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11.2.1 Proportion of population that has convenient access to public transport, by sex, age</w:t>
      </w:r>
      <w:r w:rsidR="00966751">
        <w:rPr>
          <w:rFonts w:ascii="Times New Roman" w:hAnsi="Times New Roman" w:cs="Times New Roman"/>
          <w:b/>
          <w:bCs/>
          <w:i/>
          <w:iCs/>
          <w:color w:val="000000" w:themeColor="text1"/>
          <w:sz w:val="24"/>
          <w:szCs w:val="24"/>
        </w:rPr>
        <w:t>,</w:t>
      </w:r>
      <w:r w:rsidRPr="00966878">
        <w:rPr>
          <w:rFonts w:ascii="Times New Roman" w:hAnsi="Times New Roman" w:cs="Times New Roman"/>
          <w:b/>
          <w:bCs/>
          <w:i/>
          <w:iCs/>
          <w:color w:val="000000" w:themeColor="text1"/>
          <w:sz w:val="24"/>
          <w:szCs w:val="24"/>
        </w:rPr>
        <w:t xml:space="preserve"> and persons with disabilities</w:t>
      </w:r>
    </w:p>
    <w:p w14:paraId="73E15BE6"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78F8CFA"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PCBS data for 2020 reveal</w:t>
      </w:r>
      <w:r w:rsidR="00966751">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that the </w:t>
      </w:r>
      <w:r w:rsidR="00966751">
        <w:rPr>
          <w:rFonts w:ascii="Times New Roman" w:hAnsi="Times New Roman" w:cs="Times New Roman"/>
          <w:color w:val="000000" w:themeColor="text1"/>
          <w:sz w:val="24"/>
          <w:szCs w:val="24"/>
        </w:rPr>
        <w:t>p</w:t>
      </w:r>
      <w:r w:rsidRPr="00966878">
        <w:rPr>
          <w:rFonts w:ascii="Times New Roman" w:hAnsi="Times New Roman" w:cs="Times New Roman"/>
          <w:color w:val="000000" w:themeColor="text1"/>
          <w:sz w:val="24"/>
          <w:szCs w:val="24"/>
        </w:rPr>
        <w:t>roportion of population that has convenient access to public transport, by sex, and age in Palestine is 77.1% (77.0% for males and 77.2% for females) in addition to that, data show</w:t>
      </w:r>
      <w:r w:rsidR="00966751">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that the </w:t>
      </w:r>
      <w:r w:rsidR="00966751" w:rsidRPr="00966878">
        <w:rPr>
          <w:rFonts w:ascii="Times New Roman" w:hAnsi="Times New Roman" w:cs="Times New Roman"/>
          <w:color w:val="000000" w:themeColor="text1"/>
          <w:sz w:val="24"/>
          <w:szCs w:val="24"/>
        </w:rPr>
        <w:t>65+</w:t>
      </w:r>
      <w:r w:rsidR="009D0A2C">
        <w:rPr>
          <w:rFonts w:ascii="Times New Roman" w:hAnsi="Times New Roman" w:cs="Times New Roman" w:hint="cs"/>
          <w:color w:val="000000" w:themeColor="text1"/>
          <w:sz w:val="24"/>
          <w:szCs w:val="24"/>
          <w:rtl/>
        </w:rPr>
        <w:t xml:space="preserve"> </w:t>
      </w:r>
      <w:r w:rsidRPr="00966878">
        <w:rPr>
          <w:rFonts w:ascii="Times New Roman" w:hAnsi="Times New Roman" w:cs="Times New Roman"/>
          <w:color w:val="000000" w:themeColor="text1"/>
          <w:sz w:val="24"/>
          <w:szCs w:val="24"/>
        </w:rPr>
        <w:t>age group  was the highest group which has convenient access to public transport by 83.5%.</w:t>
      </w:r>
    </w:p>
    <w:p w14:paraId="49202790" w14:textId="77777777" w:rsidR="00F3507C" w:rsidRDefault="00F3507C" w:rsidP="0071415F">
      <w:pPr>
        <w:spacing w:after="0" w:line="240" w:lineRule="auto"/>
        <w:jc w:val="center"/>
        <w:rPr>
          <w:rFonts w:ascii="Arial" w:hAnsi="Arial"/>
          <w:b/>
          <w:bCs/>
          <w:color w:val="000000" w:themeColor="text1"/>
        </w:rPr>
      </w:pPr>
    </w:p>
    <w:p w14:paraId="719AA9DC" w14:textId="77777777" w:rsidR="00F3507C" w:rsidRDefault="00F3507C" w:rsidP="0071415F">
      <w:pPr>
        <w:spacing w:after="0" w:line="240" w:lineRule="auto"/>
        <w:jc w:val="center"/>
        <w:rPr>
          <w:rFonts w:ascii="Arial" w:hAnsi="Arial"/>
          <w:b/>
          <w:bCs/>
          <w:color w:val="000000" w:themeColor="text1"/>
        </w:rPr>
      </w:pPr>
    </w:p>
    <w:p w14:paraId="55734200" w14:textId="77777777" w:rsidR="00F3507C" w:rsidRDefault="00F3507C" w:rsidP="0071415F">
      <w:pPr>
        <w:spacing w:after="0" w:line="240" w:lineRule="auto"/>
        <w:jc w:val="center"/>
        <w:rPr>
          <w:rFonts w:ascii="Arial" w:hAnsi="Arial"/>
          <w:b/>
          <w:bCs/>
          <w:color w:val="000000" w:themeColor="text1"/>
        </w:rPr>
      </w:pPr>
    </w:p>
    <w:p w14:paraId="41B7D530" w14:textId="77777777" w:rsidR="00F3507C" w:rsidRDefault="00F3507C" w:rsidP="0071415F">
      <w:pPr>
        <w:spacing w:after="0" w:line="240" w:lineRule="auto"/>
        <w:jc w:val="center"/>
        <w:rPr>
          <w:rFonts w:ascii="Arial" w:hAnsi="Arial"/>
          <w:b/>
          <w:bCs/>
          <w:color w:val="000000" w:themeColor="text1"/>
        </w:rPr>
      </w:pPr>
    </w:p>
    <w:p w14:paraId="447A6E73" w14:textId="77777777" w:rsidR="00F3507C" w:rsidRDefault="00F3507C" w:rsidP="0071415F">
      <w:pPr>
        <w:spacing w:after="0" w:line="240" w:lineRule="auto"/>
        <w:jc w:val="center"/>
        <w:rPr>
          <w:rFonts w:ascii="Arial" w:hAnsi="Arial"/>
          <w:b/>
          <w:bCs/>
          <w:color w:val="000000" w:themeColor="text1"/>
        </w:rPr>
      </w:pPr>
    </w:p>
    <w:p w14:paraId="27EC0DB7" w14:textId="77777777" w:rsidR="00F3507C" w:rsidRDefault="00F3507C" w:rsidP="0071415F">
      <w:pPr>
        <w:spacing w:after="0" w:line="240" w:lineRule="auto"/>
        <w:jc w:val="center"/>
        <w:rPr>
          <w:rFonts w:ascii="Arial" w:hAnsi="Arial"/>
          <w:b/>
          <w:bCs/>
          <w:color w:val="000000" w:themeColor="text1"/>
          <w:rtl/>
        </w:rPr>
      </w:pPr>
    </w:p>
    <w:p w14:paraId="25D6FA73" w14:textId="77777777" w:rsidR="00537CB3" w:rsidRDefault="00537CB3" w:rsidP="0071415F">
      <w:pPr>
        <w:spacing w:after="0" w:line="240" w:lineRule="auto"/>
        <w:jc w:val="center"/>
        <w:rPr>
          <w:rFonts w:ascii="Arial" w:hAnsi="Arial"/>
          <w:b/>
          <w:bCs/>
          <w:color w:val="000000" w:themeColor="text1"/>
        </w:rPr>
      </w:pPr>
    </w:p>
    <w:p w14:paraId="4352E6DE" w14:textId="77777777" w:rsidR="006E49BE" w:rsidRDefault="006E49BE" w:rsidP="0071415F">
      <w:pPr>
        <w:spacing w:after="0" w:line="240" w:lineRule="auto"/>
        <w:jc w:val="center"/>
        <w:rPr>
          <w:rFonts w:ascii="Arial" w:hAnsi="Arial"/>
          <w:b/>
          <w:bCs/>
          <w:color w:val="000000" w:themeColor="text1"/>
        </w:rPr>
      </w:pPr>
    </w:p>
    <w:p w14:paraId="5E6FAB5D" w14:textId="77777777" w:rsidR="0071415F" w:rsidRPr="00966878" w:rsidRDefault="0071415F" w:rsidP="0071415F">
      <w:pPr>
        <w:spacing w:after="0" w:line="240" w:lineRule="auto"/>
        <w:jc w:val="center"/>
        <w:rPr>
          <w:rFonts w:ascii="Arial" w:hAnsi="Arial"/>
          <w:b/>
          <w:bCs/>
          <w:color w:val="000000" w:themeColor="text1"/>
        </w:rPr>
      </w:pPr>
      <w:r w:rsidRPr="00966878">
        <w:rPr>
          <w:rFonts w:ascii="Arial" w:hAnsi="Arial"/>
          <w:b/>
          <w:bCs/>
          <w:color w:val="000000" w:themeColor="text1"/>
        </w:rPr>
        <w:lastRenderedPageBreak/>
        <w:t xml:space="preserve">Proportion of </w:t>
      </w:r>
      <w:r w:rsidR="00966751">
        <w:rPr>
          <w:rFonts w:ascii="Arial" w:hAnsi="Arial"/>
          <w:b/>
          <w:bCs/>
          <w:color w:val="000000" w:themeColor="text1"/>
        </w:rPr>
        <w:t>P</w:t>
      </w:r>
      <w:r w:rsidRPr="00966878">
        <w:rPr>
          <w:rFonts w:ascii="Arial" w:hAnsi="Arial"/>
          <w:b/>
          <w:bCs/>
          <w:color w:val="000000" w:themeColor="text1"/>
        </w:rPr>
        <w:t xml:space="preserve">opulation that has </w:t>
      </w:r>
      <w:r w:rsidR="00966751">
        <w:rPr>
          <w:rFonts w:ascii="Arial" w:hAnsi="Arial"/>
          <w:b/>
          <w:bCs/>
          <w:color w:val="000000" w:themeColor="text1"/>
        </w:rPr>
        <w:t>C</w:t>
      </w:r>
      <w:r w:rsidRPr="00966878">
        <w:rPr>
          <w:rFonts w:ascii="Arial" w:hAnsi="Arial"/>
          <w:b/>
          <w:bCs/>
          <w:color w:val="000000" w:themeColor="text1"/>
        </w:rPr>
        <w:t xml:space="preserve">onvenient </w:t>
      </w:r>
      <w:r w:rsidR="00966751">
        <w:rPr>
          <w:rFonts w:ascii="Arial" w:hAnsi="Arial"/>
          <w:b/>
          <w:bCs/>
          <w:color w:val="000000" w:themeColor="text1"/>
        </w:rPr>
        <w:t>A</w:t>
      </w:r>
      <w:r w:rsidRPr="00966878">
        <w:rPr>
          <w:rFonts w:ascii="Arial" w:hAnsi="Arial"/>
          <w:b/>
          <w:bCs/>
          <w:color w:val="000000" w:themeColor="text1"/>
        </w:rPr>
        <w:t xml:space="preserve">ccess to </w:t>
      </w:r>
      <w:r w:rsidR="00966751">
        <w:rPr>
          <w:rFonts w:ascii="Arial" w:hAnsi="Arial"/>
          <w:b/>
          <w:bCs/>
          <w:color w:val="000000" w:themeColor="text1"/>
        </w:rPr>
        <w:t>P</w:t>
      </w:r>
      <w:r w:rsidRPr="00966878">
        <w:rPr>
          <w:rFonts w:ascii="Arial" w:hAnsi="Arial"/>
          <w:b/>
          <w:bCs/>
          <w:color w:val="000000" w:themeColor="text1"/>
        </w:rPr>
        <w:t xml:space="preserve">ublic </w:t>
      </w:r>
      <w:r w:rsidR="00966751">
        <w:rPr>
          <w:rFonts w:ascii="Arial" w:hAnsi="Arial"/>
          <w:b/>
          <w:bCs/>
          <w:color w:val="000000" w:themeColor="text1"/>
        </w:rPr>
        <w:t>T</w:t>
      </w:r>
      <w:r w:rsidRPr="00966878">
        <w:rPr>
          <w:rFonts w:ascii="Arial" w:hAnsi="Arial"/>
          <w:b/>
          <w:bCs/>
          <w:color w:val="000000" w:themeColor="text1"/>
        </w:rPr>
        <w:t xml:space="preserve">ransport in Palestine, by sex, </w:t>
      </w:r>
      <w:r w:rsidR="00966751">
        <w:rPr>
          <w:rFonts w:ascii="Arial" w:hAnsi="Arial"/>
          <w:b/>
          <w:bCs/>
          <w:color w:val="000000" w:themeColor="text1"/>
        </w:rPr>
        <w:t>A</w:t>
      </w:r>
      <w:r w:rsidRPr="00966878">
        <w:rPr>
          <w:rFonts w:ascii="Arial" w:hAnsi="Arial"/>
          <w:b/>
          <w:bCs/>
          <w:color w:val="000000" w:themeColor="text1"/>
        </w:rPr>
        <w:t>ge in 2020</w:t>
      </w:r>
    </w:p>
    <w:p w14:paraId="7D0DEB05" w14:textId="77777777" w:rsidR="0071415F" w:rsidRPr="00C70C31" w:rsidRDefault="0071415F" w:rsidP="0071415F">
      <w:pPr>
        <w:spacing w:after="0" w:line="240" w:lineRule="auto"/>
        <w:jc w:val="both"/>
        <w:rPr>
          <w:rFonts w:ascii="Simplified Arabic" w:hAnsi="Simplified Arabic" w:cs="Simplified Arabic"/>
          <w:b/>
          <w:bCs/>
          <w:color w:val="000000"/>
          <w:rtl/>
          <w:lang w:bidi="ar-JO"/>
        </w:rPr>
      </w:pPr>
      <w:r>
        <w:rPr>
          <w:rFonts w:ascii="Simplified Arabic" w:hAnsi="Simplified Arabic" w:cs="Simplified Arabic"/>
          <w:noProof/>
          <w:color w:val="000000"/>
          <w:sz w:val="24"/>
          <w:szCs w:val="24"/>
        </w:rPr>
        <w:drawing>
          <wp:inline distT="0" distB="0" distL="0" distR="0" wp14:anchorId="390618D5" wp14:editId="39F36F6F">
            <wp:extent cx="5885815" cy="1848678"/>
            <wp:effectExtent l="0" t="0" r="635" b="18415"/>
            <wp:docPr id="22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19FE0FA9" w14:textId="77777777" w:rsidR="0071415F" w:rsidRPr="00770C22" w:rsidRDefault="0071415F" w:rsidP="00E300A7">
      <w:pPr>
        <w:bidi w:val="0"/>
        <w:spacing w:after="0" w:line="240" w:lineRule="auto"/>
        <w:ind w:left="810" w:hanging="810"/>
        <w:jc w:val="both"/>
        <w:rPr>
          <w:rFonts w:asciiTheme="minorBidi" w:hAnsiTheme="minorBidi" w:cstheme="minorBidi"/>
          <w:color w:val="000000" w:themeColor="text1"/>
          <w:sz w:val="20"/>
          <w:szCs w:val="20"/>
        </w:rPr>
      </w:pPr>
      <w:r w:rsidRPr="00770C22">
        <w:rPr>
          <w:rFonts w:asciiTheme="minorBidi" w:hAnsiTheme="minorBidi" w:cstheme="minorBidi"/>
          <w:b/>
          <w:color w:val="000000" w:themeColor="text1"/>
          <w:sz w:val="18"/>
          <w:szCs w:val="18"/>
        </w:rPr>
        <w:t>Source:</w:t>
      </w:r>
      <w:r w:rsidRPr="00770C22">
        <w:rPr>
          <w:rFonts w:asciiTheme="minorBidi" w:hAnsiTheme="minorBidi" w:cstheme="minorBidi"/>
          <w:b/>
          <w:color w:val="000000" w:themeColor="text1"/>
          <w:sz w:val="18"/>
        </w:rPr>
        <w:t xml:space="preserve"> Palestinian Central Bureau of Statistics</w:t>
      </w:r>
      <w:r w:rsidRPr="00770C22">
        <w:rPr>
          <w:rFonts w:asciiTheme="minorBidi" w:hAnsiTheme="minorBidi" w:cstheme="minorBidi"/>
          <w:color w:val="000000" w:themeColor="text1"/>
          <w:sz w:val="18"/>
          <w:szCs w:val="18"/>
        </w:rPr>
        <w:t>, 2021. Socio-Economic Conditions Survey, 2020 - Main Findings. Ramallah - Palestine.</w:t>
      </w:r>
    </w:p>
    <w:p w14:paraId="42AB8F26" w14:textId="77777777" w:rsidR="00812DD8" w:rsidRPr="00966878" w:rsidRDefault="00812DD8" w:rsidP="00812DD8">
      <w:pPr>
        <w:bidi w:val="0"/>
        <w:spacing w:after="0" w:line="240" w:lineRule="auto"/>
        <w:jc w:val="both"/>
        <w:rPr>
          <w:i/>
          <w:iCs/>
          <w:color w:val="000000" w:themeColor="text1"/>
          <w:sz w:val="20"/>
          <w:szCs w:val="20"/>
        </w:rPr>
      </w:pPr>
    </w:p>
    <w:p w14:paraId="4A9F8CF4"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11.5.1 Number of deaths, missing persons and directly affected persons attributed to disasters per 100,000 population</w:t>
      </w:r>
    </w:p>
    <w:p w14:paraId="65EF58E9"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A32CE8B"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11.5.1.1 Number of deaths attributed to disasters per 100,000 population; and Indicator 11.5.1.2 Number of missing persons attributed to disasters per 100,000 population</w:t>
      </w:r>
    </w:p>
    <w:p w14:paraId="7A2A738C"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99FC5E2" w14:textId="77777777" w:rsidR="0071415F" w:rsidRDefault="0071415F" w:rsidP="00556456">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 total number of deaths attributed to disasters in Palestine was 0.02 deaths per 100,000 population in 2018 compared with </w:t>
      </w:r>
      <w:r w:rsidR="00556456">
        <w:rPr>
          <w:rFonts w:ascii="Times New Roman" w:hAnsi="Times New Roman" w:cs="Times New Roman"/>
          <w:color w:val="000000" w:themeColor="text1"/>
          <w:sz w:val="24"/>
          <w:szCs w:val="24"/>
        </w:rPr>
        <w:t>1</w:t>
      </w:r>
      <w:r w:rsidRPr="00966878">
        <w:rPr>
          <w:rFonts w:ascii="Times New Roman" w:hAnsi="Times New Roman" w:cs="Times New Roman"/>
          <w:color w:val="000000" w:themeColor="text1"/>
          <w:sz w:val="24"/>
          <w:szCs w:val="24"/>
        </w:rPr>
        <w:t xml:space="preserve">.02 per 100,000 of population in </w:t>
      </w:r>
      <w:r w:rsidR="00556456">
        <w:rPr>
          <w:rFonts w:ascii="Times New Roman" w:hAnsi="Times New Roman" w:cs="Times New Roman"/>
          <w:color w:val="000000" w:themeColor="text1"/>
          <w:sz w:val="24"/>
          <w:szCs w:val="24"/>
        </w:rPr>
        <w:t>2015</w:t>
      </w:r>
      <w:r w:rsidRPr="00966878">
        <w:rPr>
          <w:rFonts w:ascii="Times New Roman" w:hAnsi="Times New Roman" w:cs="Times New Roman"/>
          <w:color w:val="000000" w:themeColor="text1"/>
          <w:sz w:val="24"/>
          <w:szCs w:val="24"/>
        </w:rPr>
        <w:t xml:space="preserve"> while there were no missing persons attributed to disasters during 2006-2017. </w:t>
      </w:r>
    </w:p>
    <w:p w14:paraId="11774B0B" w14:textId="77777777" w:rsidR="00E93DD8" w:rsidRDefault="00E93DD8" w:rsidP="00E93DD8">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886939A" w14:textId="77777777" w:rsidR="0071415F" w:rsidRPr="00966878" w:rsidRDefault="0071415F" w:rsidP="0071415F">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Number of Deaths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579B5FD" w14:textId="77777777" w:rsidTr="0071415F">
        <w:tc>
          <w:tcPr>
            <w:tcW w:w="9286" w:type="dxa"/>
            <w:shd w:val="clear" w:color="auto" w:fill="auto"/>
          </w:tcPr>
          <w:p w14:paraId="4DD95409"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color w:val="000000"/>
                <w:sz w:val="24"/>
                <w:szCs w:val="24"/>
              </w:rPr>
              <w:drawing>
                <wp:inline distT="0" distB="0" distL="0" distR="0" wp14:anchorId="4B06B6D0" wp14:editId="5BA019F6">
                  <wp:extent cx="5661025" cy="1981200"/>
                  <wp:effectExtent l="0" t="0" r="0" b="0"/>
                  <wp:docPr id="10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tc>
      </w:tr>
    </w:tbl>
    <w:p w14:paraId="494760C9" w14:textId="77777777" w:rsidR="0071415F" w:rsidRPr="00770C22" w:rsidRDefault="0071415F" w:rsidP="0071415F">
      <w:pPr>
        <w:pStyle w:val="FootnoteText"/>
        <w:bidi w:val="0"/>
        <w:rPr>
          <w:rFonts w:asciiTheme="minorBidi" w:hAnsiTheme="minorBidi" w:cstheme="minorBidi"/>
          <w:b/>
          <w:bCs/>
          <w:sz w:val="18"/>
          <w:szCs w:val="18"/>
        </w:rPr>
      </w:pPr>
      <w:r w:rsidRPr="00770C22">
        <w:rPr>
          <w:rFonts w:asciiTheme="minorBidi" w:hAnsiTheme="minorBidi" w:cstheme="minorBidi"/>
          <w:b/>
          <w:bCs/>
          <w:color w:val="000000"/>
          <w:sz w:val="18"/>
          <w:szCs w:val="18"/>
        </w:rPr>
        <w:t xml:space="preserve">Source: National Disaster Risk Management Center, and </w:t>
      </w:r>
      <w:hyperlink r:id="rId149" w:history="1">
        <w:r w:rsidRPr="00770C22">
          <w:rPr>
            <w:rStyle w:val="Hyperlink"/>
            <w:rFonts w:asciiTheme="minorBidi" w:hAnsiTheme="minorBidi" w:cstheme="minorBidi"/>
            <w:b/>
            <w:bCs/>
            <w:sz w:val="18"/>
            <w:szCs w:val="18"/>
          </w:rPr>
          <w:t>https://unstats.un.org/sdgs/indicators/database</w:t>
        </w:r>
      </w:hyperlink>
    </w:p>
    <w:p w14:paraId="5258C97F"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336FC1B"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11.5.1.3 Number of directly affected persons attributed to disasters per 100,000 population</w:t>
      </w:r>
    </w:p>
    <w:p w14:paraId="5F727205"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48D1E54"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w:t>
      </w:r>
      <w:r w:rsidRPr="00966878">
        <w:rPr>
          <w:rFonts w:ascii="Times New Roman" w:hAnsi="Times New Roman" w:cs="Times New Roman"/>
          <w:color w:val="000000" w:themeColor="text1"/>
          <w:sz w:val="24"/>
          <w:szCs w:val="24"/>
        </w:rPr>
        <w:t xml:space="preserve">he total number of directly affected persons attributed to disasters per 100,000 of population in Palestine </w:t>
      </w:r>
      <w:r w:rsidR="00966751">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6.28 per 100,000 of population in 2018 compared </w:t>
      </w:r>
      <w:r w:rsidR="00966751">
        <w:rPr>
          <w:rFonts w:ascii="Times New Roman" w:hAnsi="Times New Roman" w:cs="Times New Roman"/>
          <w:color w:val="000000" w:themeColor="text1"/>
          <w:sz w:val="24"/>
          <w:szCs w:val="24"/>
        </w:rPr>
        <w:t>to</w:t>
      </w:r>
      <w:r w:rsidRPr="00966878">
        <w:rPr>
          <w:rFonts w:ascii="Times New Roman" w:hAnsi="Times New Roman" w:cs="Times New Roman"/>
          <w:color w:val="000000" w:themeColor="text1"/>
          <w:sz w:val="24"/>
          <w:szCs w:val="24"/>
        </w:rPr>
        <w:t xml:space="preserve"> 42.0 per 100,000 </w:t>
      </w:r>
      <w:r w:rsidR="00462BBF">
        <w:rPr>
          <w:rFonts w:ascii="Times New Roman" w:hAnsi="Times New Roman" w:cs="Times New Roman"/>
          <w:color w:val="000000" w:themeColor="text1"/>
          <w:sz w:val="24"/>
          <w:szCs w:val="24"/>
        </w:rPr>
        <w:t xml:space="preserve">persons </w:t>
      </w:r>
      <w:r w:rsidRPr="00966878">
        <w:rPr>
          <w:rFonts w:ascii="Times New Roman" w:hAnsi="Times New Roman" w:cs="Times New Roman"/>
          <w:color w:val="000000" w:themeColor="text1"/>
          <w:sz w:val="24"/>
          <w:szCs w:val="24"/>
        </w:rPr>
        <w:t>of population in 2017</w:t>
      </w:r>
      <w:r>
        <w:rPr>
          <w:rFonts w:ascii="Times New Roman" w:hAnsi="Times New Roman" w:cs="Times New Roman"/>
          <w:color w:val="000000" w:themeColor="text1"/>
          <w:sz w:val="24"/>
          <w:szCs w:val="24"/>
        </w:rPr>
        <w:t>.</w:t>
      </w:r>
    </w:p>
    <w:p w14:paraId="74D167A9" w14:textId="77777777" w:rsidR="00DD0DC4" w:rsidRDefault="00DD0DC4" w:rsidP="0071415F">
      <w:pPr>
        <w:tabs>
          <w:tab w:val="left" w:pos="9072"/>
        </w:tabs>
        <w:bidi w:val="0"/>
        <w:spacing w:after="0" w:line="240" w:lineRule="auto"/>
        <w:jc w:val="center"/>
        <w:rPr>
          <w:rFonts w:ascii="Times New Roman" w:hAnsi="Times New Roman" w:cs="Times New Roman"/>
          <w:color w:val="000000" w:themeColor="text1"/>
          <w:sz w:val="24"/>
          <w:szCs w:val="24"/>
        </w:rPr>
      </w:pPr>
    </w:p>
    <w:p w14:paraId="2082B4DC" w14:textId="77777777" w:rsidR="00F3507C" w:rsidRDefault="00F3507C" w:rsidP="00F3507C">
      <w:pPr>
        <w:tabs>
          <w:tab w:val="left" w:pos="9072"/>
        </w:tabs>
        <w:bidi w:val="0"/>
        <w:spacing w:after="0" w:line="240" w:lineRule="auto"/>
        <w:jc w:val="center"/>
        <w:rPr>
          <w:rFonts w:ascii="Times New Roman" w:hAnsi="Times New Roman" w:cs="Times New Roman"/>
          <w:color w:val="000000" w:themeColor="text1"/>
          <w:sz w:val="24"/>
          <w:szCs w:val="24"/>
        </w:rPr>
      </w:pPr>
    </w:p>
    <w:p w14:paraId="51611624" w14:textId="77777777" w:rsidR="0091560E" w:rsidRDefault="0091560E" w:rsidP="0091560E">
      <w:pPr>
        <w:tabs>
          <w:tab w:val="left" w:pos="9072"/>
        </w:tabs>
        <w:bidi w:val="0"/>
        <w:spacing w:after="0" w:line="240" w:lineRule="auto"/>
        <w:jc w:val="center"/>
        <w:rPr>
          <w:rFonts w:ascii="Times New Roman" w:hAnsi="Times New Roman" w:cs="Times New Roman"/>
          <w:color w:val="000000" w:themeColor="text1"/>
          <w:sz w:val="24"/>
          <w:szCs w:val="24"/>
        </w:rPr>
      </w:pPr>
    </w:p>
    <w:p w14:paraId="149B4217" w14:textId="77777777" w:rsidR="00F3507C" w:rsidRDefault="00F3507C" w:rsidP="00F3507C">
      <w:pPr>
        <w:tabs>
          <w:tab w:val="left" w:pos="9072"/>
        </w:tabs>
        <w:bidi w:val="0"/>
        <w:spacing w:after="0" w:line="240" w:lineRule="auto"/>
        <w:jc w:val="center"/>
        <w:rPr>
          <w:rFonts w:ascii="Times New Roman" w:hAnsi="Times New Roman" w:cs="Times New Roman"/>
          <w:color w:val="000000" w:themeColor="text1"/>
          <w:sz w:val="24"/>
          <w:szCs w:val="24"/>
        </w:rPr>
      </w:pPr>
    </w:p>
    <w:p w14:paraId="23432C1F" w14:textId="77777777" w:rsidR="0071415F" w:rsidRPr="00966878" w:rsidRDefault="0071415F" w:rsidP="00DD0DC4">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lastRenderedPageBreak/>
        <w:t>Number of Directly Affected Persons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20FA22F" w14:textId="77777777" w:rsidTr="0071415F">
        <w:tc>
          <w:tcPr>
            <w:tcW w:w="9286" w:type="dxa"/>
            <w:shd w:val="clear" w:color="auto" w:fill="auto"/>
          </w:tcPr>
          <w:p w14:paraId="63006AD7"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14:anchorId="2810C863" wp14:editId="26E44586">
                  <wp:extent cx="5939790" cy="1914525"/>
                  <wp:effectExtent l="0" t="0" r="0" b="0"/>
                  <wp:docPr id="10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tc>
      </w:tr>
    </w:tbl>
    <w:p w14:paraId="4CCDA403" w14:textId="77777777" w:rsidR="0071415F" w:rsidRPr="00770C22" w:rsidRDefault="0071415F" w:rsidP="0071415F">
      <w:pPr>
        <w:pStyle w:val="FootnoteText"/>
        <w:bidi w:val="0"/>
        <w:rPr>
          <w:rFonts w:ascii="Arial" w:hAnsi="Arial"/>
          <w:b/>
          <w:bCs/>
          <w:sz w:val="18"/>
          <w:szCs w:val="18"/>
        </w:rPr>
      </w:pPr>
      <w:r w:rsidRPr="00770C22">
        <w:rPr>
          <w:rFonts w:ascii="Arial" w:hAnsi="Arial"/>
          <w:b/>
          <w:bCs/>
          <w:color w:val="000000"/>
          <w:sz w:val="18"/>
          <w:szCs w:val="18"/>
        </w:rPr>
        <w:t xml:space="preserve">Source: National Disaster Risk Management Center, and </w:t>
      </w:r>
      <w:r w:rsidRPr="00770C22">
        <w:rPr>
          <w:rFonts w:ascii="Arial" w:hAnsi="Arial"/>
          <w:b/>
          <w:bCs/>
          <w:sz w:val="18"/>
          <w:szCs w:val="18"/>
        </w:rPr>
        <w:t>https://unstats.un.org/sdgs/indicators/database</w:t>
      </w:r>
    </w:p>
    <w:p w14:paraId="0819F71D" w14:textId="77777777" w:rsidR="0071415F" w:rsidRPr="00F3507C" w:rsidRDefault="0071415F" w:rsidP="0071415F">
      <w:pPr>
        <w:bidi w:val="0"/>
        <w:spacing w:after="0" w:line="240" w:lineRule="auto"/>
        <w:jc w:val="both"/>
        <w:rPr>
          <w:rFonts w:ascii="Times New Roman" w:hAnsi="Times New Roman" w:cs="Times New Roman"/>
          <w:bCs/>
          <w:iCs/>
          <w:color w:val="000000" w:themeColor="text1"/>
          <w:sz w:val="18"/>
          <w:szCs w:val="18"/>
          <w:rtl/>
        </w:rPr>
      </w:pPr>
    </w:p>
    <w:p w14:paraId="6729B5D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 xml:space="preserve">Indicator </w:t>
      </w:r>
      <w:r>
        <w:rPr>
          <w:rFonts w:ascii="Times New Roman" w:hAnsi="Times New Roman" w:cs="Times New Roman"/>
          <w:b/>
          <w:bCs/>
          <w:i/>
          <w:iCs/>
          <w:sz w:val="24"/>
          <w:szCs w:val="24"/>
        </w:rPr>
        <w:t>1</w:t>
      </w:r>
      <w:r w:rsidRPr="008A4E00">
        <w:rPr>
          <w:rFonts w:ascii="Times New Roman" w:hAnsi="Times New Roman" w:cs="Times New Roman"/>
          <w:b/>
          <w:bCs/>
          <w:i/>
          <w:iCs/>
          <w:sz w:val="24"/>
          <w:szCs w:val="24"/>
        </w:rPr>
        <w:t xml:space="preserve">1.5.2 Direct economic loss attributed to disasters in relation to global gross domestic product (GDP)  </w:t>
      </w:r>
    </w:p>
    <w:p w14:paraId="46324D61" w14:textId="77777777" w:rsidR="00A92234" w:rsidRPr="00F3507C" w:rsidRDefault="00A92234" w:rsidP="00A92234">
      <w:pPr>
        <w:autoSpaceDE w:val="0"/>
        <w:autoSpaceDN w:val="0"/>
        <w:bidi w:val="0"/>
        <w:adjustRightInd w:val="0"/>
        <w:spacing w:after="0" w:line="240" w:lineRule="auto"/>
        <w:jc w:val="both"/>
        <w:rPr>
          <w:rFonts w:ascii="Times New Roman" w:hAnsi="Times New Roman" w:cs="Times New Roman"/>
          <w:b/>
          <w:bCs/>
          <w:i/>
          <w:iCs/>
          <w:sz w:val="18"/>
          <w:szCs w:val="18"/>
        </w:rPr>
      </w:pPr>
    </w:p>
    <w:p w14:paraId="12CF4C45" w14:textId="77777777" w:rsidR="0071415F" w:rsidRPr="008970F7" w:rsidRDefault="0071415F" w:rsidP="009D0A2C">
      <w:pPr>
        <w:autoSpaceDE w:val="0"/>
        <w:autoSpaceDN w:val="0"/>
        <w:bidi w:val="0"/>
        <w:adjustRightInd w:val="0"/>
        <w:spacing w:after="0" w:line="240" w:lineRule="auto"/>
        <w:jc w:val="both"/>
        <w:rPr>
          <w:rFonts w:ascii="Times New Roman" w:hAnsi="Times New Roman" w:cs="Times New Roman"/>
          <w:sz w:val="24"/>
          <w:szCs w:val="24"/>
        </w:rPr>
      </w:pPr>
      <w:r w:rsidRPr="008970F7">
        <w:rPr>
          <w:rFonts w:ascii="Times New Roman" w:hAnsi="Times New Roman" w:cs="Times New Roman"/>
          <w:sz w:val="24"/>
          <w:szCs w:val="24"/>
        </w:rPr>
        <w:t xml:space="preserve">The Palestinian economy losses </w:t>
      </w:r>
      <w:r w:rsidR="00966751">
        <w:rPr>
          <w:rFonts w:ascii="Times New Roman" w:hAnsi="Times New Roman" w:cs="Times New Roman"/>
          <w:sz w:val="24"/>
          <w:szCs w:val="24"/>
        </w:rPr>
        <w:t>reached</w:t>
      </w:r>
      <w:r w:rsidRPr="008970F7">
        <w:rPr>
          <w:rFonts w:ascii="Times New Roman" w:hAnsi="Times New Roman" w:cs="Times New Roman"/>
          <w:sz w:val="24"/>
          <w:szCs w:val="24"/>
        </w:rPr>
        <w:t xml:space="preserve"> around </w:t>
      </w:r>
      <w:r w:rsidR="009D0A2C">
        <w:rPr>
          <w:rFonts w:ascii="Times New Roman" w:hAnsi="Times New Roman" w:cs="Times New Roman"/>
          <w:sz w:val="24"/>
          <w:szCs w:val="24"/>
        </w:rPr>
        <w:t>28</w:t>
      </w:r>
      <w:r w:rsidRPr="008970F7">
        <w:rPr>
          <w:rFonts w:ascii="Times New Roman" w:hAnsi="Times New Roman" w:cs="Times New Roman"/>
          <w:sz w:val="24"/>
          <w:szCs w:val="24"/>
        </w:rPr>
        <w:t xml:space="preserve"> million USD in 2018</w:t>
      </w:r>
      <w:r w:rsidR="00966751">
        <w:rPr>
          <w:rFonts w:ascii="Times New Roman" w:hAnsi="Times New Roman" w:cs="Times New Roman"/>
          <w:sz w:val="24"/>
          <w:szCs w:val="24"/>
        </w:rPr>
        <w:t>.</w:t>
      </w:r>
      <w:r w:rsidR="00D23C01">
        <w:rPr>
          <w:rStyle w:val="FootnoteReference"/>
          <w:rFonts w:ascii="Times New Roman" w:hAnsi="Times New Roman" w:cs="Times New Roman"/>
          <w:sz w:val="24"/>
          <w:szCs w:val="24"/>
        </w:rPr>
        <w:footnoteReference w:id="11"/>
      </w:r>
    </w:p>
    <w:p w14:paraId="35ADB83A" w14:textId="77777777" w:rsidR="0071415F" w:rsidRPr="00F3507C" w:rsidRDefault="0071415F" w:rsidP="0071415F">
      <w:pPr>
        <w:autoSpaceDE w:val="0"/>
        <w:autoSpaceDN w:val="0"/>
        <w:bidi w:val="0"/>
        <w:adjustRightInd w:val="0"/>
        <w:spacing w:after="0" w:line="240" w:lineRule="auto"/>
        <w:jc w:val="both"/>
        <w:rPr>
          <w:rFonts w:ascii="Times New Roman" w:hAnsi="Times New Roman" w:cs="Times New Roman"/>
          <w:sz w:val="18"/>
          <w:szCs w:val="18"/>
        </w:rPr>
      </w:pPr>
    </w:p>
    <w:p w14:paraId="648155A5"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w:t>
      </w:r>
      <w:r>
        <w:rPr>
          <w:rFonts w:ascii="Times New Roman" w:hAnsi="Times New Roman" w:cs="Times New Roman"/>
          <w:b/>
          <w:bCs/>
          <w:i/>
          <w:iCs/>
          <w:color w:val="000000" w:themeColor="text1"/>
          <w:sz w:val="24"/>
          <w:szCs w:val="24"/>
        </w:rPr>
        <w:t>a</w:t>
      </w:r>
      <w:r w:rsidRPr="00966878">
        <w:rPr>
          <w:rFonts w:ascii="Times New Roman" w:hAnsi="Times New Roman" w:cs="Times New Roman"/>
          <w:b/>
          <w:bCs/>
          <w:i/>
          <w:iCs/>
          <w:color w:val="000000" w:themeColor="text1"/>
          <w:sz w:val="24"/>
          <w:szCs w:val="24"/>
        </w:rPr>
        <w:t xml:space="preserve">.1 </w:t>
      </w:r>
      <w:r w:rsidRPr="003E17AB">
        <w:rPr>
          <w:rFonts w:ascii="Times New Roman" w:hAnsi="Times New Roman" w:cs="Times New Roman"/>
          <w:b/>
          <w:bCs/>
          <w:i/>
          <w:iCs/>
          <w:color w:val="000000" w:themeColor="text1"/>
          <w:sz w:val="24"/>
          <w:szCs w:val="24"/>
        </w:rPr>
        <w:t>Number of countries that have national urban policies or regional development plans that (a) respond to population dynamics, (b) ensure balanced territorial development, (c) increase local fiscal space</w:t>
      </w:r>
    </w:p>
    <w:p w14:paraId="50BF8D35" w14:textId="77777777" w:rsidR="00A92234" w:rsidRPr="003E17AB"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F99042B"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Palestine has </w:t>
      </w:r>
      <w:r>
        <w:rPr>
          <w:rFonts w:ascii="Times New Roman" w:hAnsi="Times New Roman" w:cs="Times New Roman"/>
          <w:color w:val="000000" w:themeColor="text1"/>
          <w:sz w:val="24"/>
          <w:szCs w:val="24"/>
        </w:rPr>
        <w:t xml:space="preserve">no </w:t>
      </w:r>
      <w:r w:rsidRPr="003E17AB">
        <w:rPr>
          <w:rFonts w:ascii="Times New Roman" w:hAnsi="Times New Roman" w:cs="Times New Roman"/>
          <w:color w:val="000000" w:themeColor="text1"/>
          <w:sz w:val="24"/>
          <w:szCs w:val="24"/>
        </w:rPr>
        <w:t>national urban policies or regional development plans that (a) respond to population dynamics, (b) ensure balanced territorial development, (c) increase local fiscal space</w:t>
      </w:r>
      <w:r w:rsidR="00B73DA6">
        <w:rPr>
          <w:rFonts w:ascii="Times New Roman" w:hAnsi="Times New Roman" w:cs="Times New Roman"/>
          <w:color w:val="000000" w:themeColor="text1"/>
          <w:sz w:val="24"/>
          <w:szCs w:val="24"/>
        </w:rPr>
        <w:t>.</w:t>
      </w:r>
      <w:r w:rsidR="00D23C01">
        <w:rPr>
          <w:rStyle w:val="FootnoteReference"/>
          <w:rFonts w:ascii="Times New Roman" w:hAnsi="Times New Roman" w:cs="Times New Roman"/>
          <w:color w:val="000000" w:themeColor="text1"/>
          <w:sz w:val="24"/>
          <w:szCs w:val="24"/>
        </w:rPr>
        <w:footnoteReference w:id="12"/>
      </w:r>
    </w:p>
    <w:p w14:paraId="0C41BE44"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12CE59C"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11.b.1 Number of countries that adopt and implement national disaster risk reduction strategies in line with the Sendai Framework for Disaster Risk Reduction 2015-2030</w:t>
      </w:r>
    </w:p>
    <w:p w14:paraId="42716046" w14:textId="77777777" w:rsidR="00A92234" w:rsidRPr="00F3507C"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18"/>
          <w:szCs w:val="18"/>
        </w:rPr>
      </w:pPr>
    </w:p>
    <w:p w14:paraId="128725AA"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Palestine adopted and implemented national disaster risk reduction strategies in line with the Sendai Framework for Disaster Risk </w:t>
      </w:r>
      <w:r w:rsidR="00C66B88" w:rsidRPr="00966878">
        <w:rPr>
          <w:rFonts w:ascii="Times New Roman" w:hAnsi="Times New Roman" w:cs="Times New Roman"/>
          <w:color w:val="000000" w:themeColor="text1"/>
          <w:sz w:val="24"/>
          <w:szCs w:val="24"/>
        </w:rPr>
        <w:t>Reduction in</w:t>
      </w:r>
      <w:r w:rsidRPr="00966878">
        <w:rPr>
          <w:rFonts w:ascii="Times New Roman" w:hAnsi="Times New Roman" w:cs="Times New Roman"/>
          <w:color w:val="000000" w:themeColor="text1"/>
          <w:sz w:val="24"/>
          <w:szCs w:val="24"/>
        </w:rPr>
        <w:t xml:space="preserve"> 2019</w:t>
      </w:r>
      <w:r w:rsidR="00B73DA6">
        <w:rPr>
          <w:rFonts w:ascii="Times New Roman" w:hAnsi="Times New Roman" w:cs="Times New Roman"/>
          <w:color w:val="000000" w:themeColor="text1"/>
          <w:sz w:val="24"/>
          <w:szCs w:val="24"/>
        </w:rPr>
        <w:t>.</w:t>
      </w:r>
      <w:r w:rsidR="00D23C01">
        <w:rPr>
          <w:rStyle w:val="FootnoteReference"/>
          <w:rFonts w:ascii="Times New Roman" w:hAnsi="Times New Roman" w:cs="Times New Roman"/>
          <w:color w:val="000000" w:themeColor="text1"/>
          <w:sz w:val="24"/>
          <w:szCs w:val="24"/>
        </w:rPr>
        <w:footnoteReference w:id="13"/>
      </w:r>
    </w:p>
    <w:p w14:paraId="65BCA221"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0A4AEBF" w14:textId="77777777" w:rsidR="00F3507C" w:rsidRDefault="0071415F" w:rsidP="00F3507C">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11.b.2 Proportion of local governments that adopt and implement local disaster risk reduction strategies in line with national disaster risk reduction strategies</w:t>
      </w:r>
    </w:p>
    <w:p w14:paraId="18D0984D" w14:textId="77777777" w:rsidR="00F3507C" w:rsidRPr="00F3507C" w:rsidRDefault="00F3507C" w:rsidP="00F3507C">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156F7D52" w14:textId="77777777" w:rsidR="0071415F" w:rsidRPr="00966878" w:rsidRDefault="0071415F" w:rsidP="00F3507C">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w:t>
      </w:r>
      <w:r w:rsidRPr="00966878">
        <w:rPr>
          <w:rFonts w:ascii="Times New Roman" w:hAnsi="Times New Roman" w:cs="Times New Roman"/>
          <w:color w:val="000000" w:themeColor="text1"/>
          <w:sz w:val="24"/>
          <w:szCs w:val="24"/>
        </w:rPr>
        <w:t xml:space="preserve">roportion of local governments that adopt and implement local disaster risk reduction strategies in line with national disaster risk reduction strategies in the </w:t>
      </w:r>
      <w:r>
        <w:rPr>
          <w:rFonts w:ascii="Times New Roman" w:hAnsi="Times New Roman" w:cs="Times New Roman"/>
          <w:color w:val="000000" w:themeColor="text1"/>
          <w:sz w:val="24"/>
          <w:szCs w:val="24"/>
        </w:rPr>
        <w:t>W</w:t>
      </w:r>
      <w:r w:rsidRPr="00966878">
        <w:rPr>
          <w:rFonts w:ascii="Times New Roman" w:hAnsi="Times New Roman" w:cs="Times New Roman"/>
          <w:color w:val="000000" w:themeColor="text1"/>
          <w:sz w:val="24"/>
          <w:szCs w:val="24"/>
        </w:rPr>
        <w:t xml:space="preserve">est </w:t>
      </w:r>
      <w:r>
        <w:rPr>
          <w:rFonts w:ascii="Times New Roman" w:hAnsi="Times New Roman" w:cs="Times New Roman"/>
          <w:color w:val="000000" w:themeColor="text1"/>
          <w:sz w:val="24"/>
          <w:szCs w:val="24"/>
        </w:rPr>
        <w:t>B</w:t>
      </w:r>
      <w:r w:rsidRPr="00966878">
        <w:rPr>
          <w:rFonts w:ascii="Times New Roman" w:hAnsi="Times New Roman" w:cs="Times New Roman"/>
          <w:color w:val="000000" w:themeColor="text1"/>
          <w:sz w:val="24"/>
          <w:szCs w:val="24"/>
        </w:rPr>
        <w:t xml:space="preserve">ank </w:t>
      </w:r>
      <w:r w:rsidR="00B73DA6">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68.8%in 2019</w:t>
      </w:r>
      <w:r w:rsidR="00B73DA6">
        <w:rPr>
          <w:rFonts w:ascii="Times New Roman" w:hAnsi="Times New Roman" w:cs="Times New Roman"/>
          <w:color w:val="000000" w:themeColor="text1"/>
          <w:sz w:val="24"/>
          <w:szCs w:val="24"/>
        </w:rPr>
        <w:t>.</w:t>
      </w:r>
      <w:r w:rsidR="00D23C01">
        <w:rPr>
          <w:rStyle w:val="FootnoteReference"/>
          <w:rFonts w:ascii="Times New Roman" w:hAnsi="Times New Roman" w:cs="Times New Roman"/>
          <w:color w:val="000000" w:themeColor="text1"/>
          <w:sz w:val="24"/>
          <w:szCs w:val="24"/>
        </w:rPr>
        <w:footnoteReference w:id="14"/>
      </w:r>
    </w:p>
    <w:p w14:paraId="712760DE" w14:textId="77777777" w:rsidR="00F3507C" w:rsidRDefault="00F3507C"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0EBC19B1" w14:textId="77777777" w:rsidR="0071415F" w:rsidRPr="00966878" w:rsidRDefault="0071415F" w:rsidP="00F3507C">
      <w:pPr>
        <w:autoSpaceDE w:val="0"/>
        <w:autoSpaceDN w:val="0"/>
        <w:bidi w:val="0"/>
        <w:adjustRightInd w:val="0"/>
        <w:spacing w:after="0" w:line="240" w:lineRule="auto"/>
        <w:jc w:val="both"/>
        <w:rPr>
          <w:rFonts w:ascii="Times New Roman" w:hAnsi="Times New Roman" w:cs="Times New Roman"/>
          <w:b/>
          <w:color w:val="000000" w:themeColor="text1"/>
          <w:sz w:val="24"/>
          <w:szCs w:val="24"/>
        </w:rPr>
      </w:pPr>
      <w:r w:rsidRPr="00966878">
        <w:rPr>
          <w:rFonts w:ascii="Times New Roman" w:hAnsi="Times New Roman" w:cs="Times New Roman"/>
          <w:b/>
          <w:bCs/>
          <w:color w:val="000000" w:themeColor="text1"/>
          <w:sz w:val="24"/>
          <w:szCs w:val="24"/>
        </w:rPr>
        <w:t>Summary</w:t>
      </w:r>
    </w:p>
    <w:p w14:paraId="61324449" w14:textId="77777777" w:rsidR="00EC0053" w:rsidRDefault="0071415F" w:rsidP="00E6392C">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During 2018, there </w:t>
      </w:r>
      <w:r w:rsidR="00B01E1A">
        <w:rPr>
          <w:rFonts w:ascii="Times New Roman" w:hAnsi="Times New Roman" w:cs="Times New Roman"/>
          <w:color w:val="000000" w:themeColor="text1"/>
          <w:sz w:val="24"/>
          <w:szCs w:val="24"/>
        </w:rPr>
        <w:t>were</w:t>
      </w:r>
      <w:r w:rsidRPr="00966878">
        <w:rPr>
          <w:rFonts w:ascii="Times New Roman" w:hAnsi="Times New Roman" w:cs="Times New Roman"/>
          <w:color w:val="000000" w:themeColor="text1"/>
          <w:sz w:val="24"/>
          <w:szCs w:val="24"/>
        </w:rPr>
        <w:t xml:space="preserve"> 0.02 </w:t>
      </w:r>
      <w:r w:rsidR="00C66B88" w:rsidRPr="00966878">
        <w:rPr>
          <w:rFonts w:ascii="Times New Roman" w:hAnsi="Times New Roman" w:cs="Times New Roman"/>
          <w:color w:val="000000" w:themeColor="text1"/>
          <w:sz w:val="24"/>
          <w:szCs w:val="24"/>
        </w:rPr>
        <w:t>deaths per</w:t>
      </w:r>
      <w:r w:rsidRPr="00966878">
        <w:rPr>
          <w:rFonts w:ascii="Times New Roman" w:hAnsi="Times New Roman" w:cs="Times New Roman"/>
          <w:color w:val="000000" w:themeColor="text1"/>
          <w:sz w:val="24"/>
          <w:szCs w:val="24"/>
        </w:rPr>
        <w:t xml:space="preserve"> 100,000 </w:t>
      </w:r>
      <w:r w:rsidR="00B01E1A">
        <w:rPr>
          <w:rFonts w:ascii="Times New Roman" w:hAnsi="Times New Roman" w:cs="Times New Roman"/>
          <w:color w:val="000000" w:themeColor="text1"/>
          <w:sz w:val="24"/>
          <w:szCs w:val="24"/>
        </w:rPr>
        <w:t xml:space="preserve">of the </w:t>
      </w:r>
      <w:r w:rsidRPr="00966878">
        <w:rPr>
          <w:rFonts w:ascii="Times New Roman" w:hAnsi="Times New Roman" w:cs="Times New Roman"/>
          <w:color w:val="000000" w:themeColor="text1"/>
          <w:sz w:val="24"/>
          <w:szCs w:val="24"/>
        </w:rPr>
        <w:t xml:space="preserve">population attributed to disasters in Palestine, compared </w:t>
      </w:r>
      <w:r w:rsidR="00B01E1A">
        <w:rPr>
          <w:rFonts w:ascii="Times New Roman" w:hAnsi="Times New Roman" w:cs="Times New Roman"/>
          <w:color w:val="000000" w:themeColor="text1"/>
          <w:sz w:val="24"/>
          <w:szCs w:val="24"/>
        </w:rPr>
        <w:t>to</w:t>
      </w:r>
      <w:r w:rsidR="00556456">
        <w:rPr>
          <w:rFonts w:ascii="Times New Roman" w:hAnsi="Times New Roman" w:cs="Times New Roman"/>
          <w:color w:val="000000" w:themeColor="text1"/>
          <w:sz w:val="24"/>
          <w:szCs w:val="24"/>
        </w:rPr>
        <w:t>1</w:t>
      </w:r>
      <w:r w:rsidRPr="00966878">
        <w:rPr>
          <w:rFonts w:ascii="Times New Roman" w:hAnsi="Times New Roman" w:cs="Times New Roman"/>
          <w:color w:val="000000" w:themeColor="text1"/>
          <w:sz w:val="24"/>
          <w:szCs w:val="24"/>
        </w:rPr>
        <w:t>.02 deathsper 100,000</w:t>
      </w:r>
      <w:r w:rsidR="009D0A2C">
        <w:rPr>
          <w:rFonts w:ascii="Times New Roman" w:hAnsi="Times New Roman" w:cs="Times New Roman" w:hint="cs"/>
          <w:color w:val="000000" w:themeColor="text1"/>
          <w:sz w:val="24"/>
          <w:szCs w:val="24"/>
          <w:rtl/>
        </w:rPr>
        <w:t xml:space="preserve"> </w:t>
      </w:r>
      <w:r w:rsidRPr="00966878">
        <w:rPr>
          <w:rFonts w:ascii="Times New Roman" w:hAnsi="Times New Roman" w:cs="Times New Roman"/>
          <w:color w:val="000000" w:themeColor="text1"/>
          <w:sz w:val="24"/>
          <w:szCs w:val="24"/>
        </w:rPr>
        <w:t xml:space="preserve">population in </w:t>
      </w:r>
      <w:r w:rsidR="00556456">
        <w:rPr>
          <w:rFonts w:ascii="Times New Roman" w:hAnsi="Times New Roman" w:cs="Times New Roman"/>
          <w:color w:val="000000" w:themeColor="text1"/>
          <w:sz w:val="24"/>
          <w:szCs w:val="24"/>
        </w:rPr>
        <w:t>2015</w:t>
      </w:r>
      <w:r w:rsidRPr="00966878">
        <w:rPr>
          <w:rFonts w:ascii="Times New Roman" w:hAnsi="Times New Roman" w:cs="Times New Roman"/>
          <w:color w:val="000000" w:themeColor="text1"/>
          <w:sz w:val="24"/>
          <w:szCs w:val="24"/>
        </w:rPr>
        <w:t>.</w:t>
      </w:r>
    </w:p>
    <w:p w14:paraId="60728C12" w14:textId="77777777" w:rsidR="00A92234" w:rsidRPr="00E6392C" w:rsidRDefault="00A92234" w:rsidP="00A92234">
      <w:pPr>
        <w:autoSpaceDE w:val="0"/>
        <w:autoSpaceDN w:val="0"/>
        <w:bidi w:val="0"/>
        <w:adjustRightInd w:val="0"/>
        <w:spacing w:after="0" w:line="240" w:lineRule="auto"/>
        <w:jc w:val="both"/>
        <w:rPr>
          <w:rFonts w:ascii="Times New Roman" w:hAnsi="Times New Roman"/>
          <w:color w:val="000000" w:themeColor="text1"/>
          <w:sz w:val="24"/>
        </w:rPr>
      </w:pPr>
    </w:p>
    <w:tbl>
      <w:tblPr>
        <w:tblW w:w="0" w:type="auto"/>
        <w:tblBorders>
          <w:top w:val="thinThickSmallGap" w:sz="24" w:space="0" w:color="CA8731"/>
          <w:left w:val="thinThickSmallGap" w:sz="24" w:space="0" w:color="CA8731"/>
          <w:bottom w:val="thinThickSmallGap" w:sz="24" w:space="0" w:color="CA8731"/>
          <w:right w:val="thinThickSmallGap" w:sz="24" w:space="0" w:color="CA8731"/>
        </w:tblBorders>
        <w:tblLook w:val="04A0" w:firstRow="1" w:lastRow="0" w:firstColumn="1" w:lastColumn="0" w:noHBand="0" w:noVBand="1"/>
      </w:tblPr>
      <w:tblGrid>
        <w:gridCol w:w="2082"/>
        <w:gridCol w:w="6898"/>
      </w:tblGrid>
      <w:tr w:rsidR="00EC0053" w:rsidRPr="000D2E4D" w14:paraId="7C82E880" w14:textId="77777777" w:rsidTr="00E6392C">
        <w:tc>
          <w:tcPr>
            <w:tcW w:w="2082" w:type="dxa"/>
            <w:shd w:val="clear" w:color="auto" w:fill="auto"/>
            <w:vAlign w:val="center"/>
          </w:tcPr>
          <w:p w14:paraId="2574696E" w14:textId="77777777" w:rsidR="00EC0053" w:rsidRPr="000D2E4D" w:rsidRDefault="00EC0053"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1E4BEB11" wp14:editId="6185A64B">
                  <wp:extent cx="1097280" cy="1073150"/>
                  <wp:effectExtent l="19050" t="0" r="7620" b="0"/>
                  <wp:docPr id="10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5" cstate="print"/>
                          <a:srcRect/>
                          <a:stretch>
                            <a:fillRect/>
                          </a:stretch>
                        </pic:blipFill>
                        <pic:spPr bwMode="auto">
                          <a:xfrm>
                            <a:off x="0" y="0"/>
                            <a:ext cx="1097280" cy="1073150"/>
                          </a:xfrm>
                          <a:prstGeom prst="rect">
                            <a:avLst/>
                          </a:prstGeom>
                          <a:noFill/>
                          <a:ln w="9525">
                            <a:noFill/>
                            <a:miter lim="800000"/>
                            <a:headEnd/>
                            <a:tailEnd/>
                          </a:ln>
                        </pic:spPr>
                      </pic:pic>
                    </a:graphicData>
                  </a:graphic>
                </wp:inline>
              </w:drawing>
            </w:r>
          </w:p>
        </w:tc>
        <w:tc>
          <w:tcPr>
            <w:tcW w:w="6898" w:type="dxa"/>
            <w:shd w:val="clear" w:color="auto" w:fill="auto"/>
            <w:vAlign w:val="center"/>
          </w:tcPr>
          <w:p w14:paraId="7DFD6119" w14:textId="77777777"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12 – Ensure Sustainable Consumption </w:t>
            </w:r>
            <w:r w:rsidR="00B01E1A">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 xml:space="preserve">nd Production Patterns </w:t>
            </w:r>
          </w:p>
        </w:tc>
      </w:tr>
    </w:tbl>
    <w:p w14:paraId="451E7069"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p>
    <w:p w14:paraId="3BCB3400"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Introduction to the Goal</w:t>
      </w:r>
    </w:p>
    <w:p w14:paraId="7D96C541"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In line with the principle of ‘</w:t>
      </w:r>
      <w:r w:rsidRPr="00F06366">
        <w:rPr>
          <w:rFonts w:ascii="Times New Roman" w:hAnsi="Times New Roman" w:cs="Times New Roman"/>
          <w:i/>
          <w:iCs/>
          <w:sz w:val="24"/>
          <w:szCs w:val="24"/>
        </w:rPr>
        <w:t>doing more and better with less’</w:t>
      </w:r>
      <w:r w:rsidRPr="00F06366">
        <w:rPr>
          <w:rFonts w:ascii="Times New Roman" w:hAnsi="Times New Roman" w:cs="Times New Roman"/>
          <w:sz w:val="24"/>
          <w:szCs w:val="24"/>
        </w:rPr>
        <w:t>,  Goal 12 is a framework for integrating the three pillars of sustainability: environmental, social and economic. The promotion of sustainable consumption and production models is indeed aimed at reducing the environmental footprint of socioeconomic systems and is also an important tool for fighting poverty and an inducement for improvements to the standards of living and economic development. The progress towards Goal 12 is thus very relevant to the objective of reaching theother sustainable development goals related to hunger and health, reduction of inequality, sustainable management of water and energy, the promotion of models of lasting, inclusive and sustainable economic growth and the mitigation of climate change.</w:t>
      </w:r>
    </w:p>
    <w:p w14:paraId="1C1A45FA"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6FB48EF" w14:textId="77777777" w:rsidR="0071415F" w:rsidRPr="00F06366" w:rsidRDefault="0071415F" w:rsidP="0071415F">
      <w:pPr>
        <w:autoSpaceDE w:val="0"/>
        <w:autoSpaceDN w:val="0"/>
        <w:bidi w:val="0"/>
        <w:adjustRightInd w:val="0"/>
        <w:spacing w:after="0" w:line="240" w:lineRule="auto"/>
        <w:jc w:val="both"/>
      </w:pPr>
      <w:r w:rsidRPr="00F06366">
        <w:rPr>
          <w:rFonts w:ascii="Times New Roman" w:hAnsi="Times New Roman" w:cs="Times New Roman"/>
          <w:b/>
          <w:bCs/>
          <w:sz w:val="24"/>
          <w:szCs w:val="24"/>
        </w:rPr>
        <w:t>Targets</w:t>
      </w:r>
    </w:p>
    <w:p w14:paraId="6129CCBE"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 xml:space="preserve">Goal 12 is broken down into 11 </w:t>
      </w:r>
      <w:r w:rsidR="001E7709">
        <w:rPr>
          <w:rFonts w:ascii="Times New Roman" w:hAnsi="Times New Roman" w:cs="Times New Roman"/>
          <w:sz w:val="24"/>
          <w:szCs w:val="24"/>
        </w:rPr>
        <w:t>t</w:t>
      </w:r>
      <w:r w:rsidRPr="00F06366">
        <w:rPr>
          <w:rFonts w:ascii="Times New Roman" w:hAnsi="Times New Roman" w:cs="Times New Roman"/>
          <w:sz w:val="24"/>
          <w:szCs w:val="24"/>
        </w:rPr>
        <w:t xml:space="preserve">argets, of which the last </w:t>
      </w:r>
      <w:r w:rsidR="001E7709">
        <w:rPr>
          <w:rFonts w:ascii="Times New Roman" w:hAnsi="Times New Roman" w:cs="Times New Roman"/>
          <w:sz w:val="24"/>
          <w:szCs w:val="24"/>
        </w:rPr>
        <w:t>three</w:t>
      </w:r>
      <w:r w:rsidRPr="00F06366">
        <w:rPr>
          <w:rFonts w:ascii="Times New Roman" w:hAnsi="Times New Roman" w:cs="Times New Roman"/>
          <w:sz w:val="24"/>
          <w:szCs w:val="24"/>
        </w:rPr>
        <w:t xml:space="preserve"> refer to means of implementation:</w:t>
      </w:r>
    </w:p>
    <w:p w14:paraId="1BA07FA6"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r w:rsidRPr="008445CF">
        <w:rPr>
          <w:rFonts w:ascii="Times New Roman" w:hAnsi="Times New Roman" w:cs="Times New Roman"/>
          <w:b/>
          <w:sz w:val="24"/>
          <w:szCs w:val="24"/>
        </w:rPr>
        <w:t xml:space="preserve">12.1 </w:t>
      </w:r>
    </w:p>
    <w:p w14:paraId="774DC8FC"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Implement the 10</w:t>
      </w:r>
      <w:r w:rsidRPr="00F06366">
        <w:rPr>
          <w:rFonts w:ascii="Times New Roman" w:hAnsi="Times New Roman" w:cs="Times New Roman"/>
          <w:sz w:val="24"/>
          <w:szCs w:val="24"/>
        </w:rPr>
        <w:t>‑</w:t>
      </w:r>
      <w:r w:rsidRPr="008445CF">
        <w:rPr>
          <w:rFonts w:ascii="Times New Roman" w:hAnsi="Times New Roman" w:cs="Times New Roman"/>
          <w:sz w:val="24"/>
          <w:szCs w:val="24"/>
        </w:rPr>
        <w:t>Year Framework of Programmes on Sustainable Consumption and Production Patterns, all countries taking action, with developed countries taking the lead, taking into account the development and capabilities of developing countries</w:t>
      </w:r>
      <w:r w:rsidR="001E7709">
        <w:rPr>
          <w:rFonts w:ascii="Times New Roman" w:hAnsi="Times New Roman" w:cs="Times New Roman"/>
          <w:sz w:val="24"/>
          <w:szCs w:val="24"/>
        </w:rPr>
        <w:t>.</w:t>
      </w:r>
    </w:p>
    <w:p w14:paraId="7E2468E6"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5D93B69"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12.2 </w:t>
      </w:r>
    </w:p>
    <w:p w14:paraId="09C90EBA"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achieve the sustainable management and efficient use of natural resources</w:t>
      </w:r>
      <w:r w:rsidR="001E7709">
        <w:rPr>
          <w:rFonts w:ascii="Times New Roman" w:hAnsi="Times New Roman" w:cs="Times New Roman"/>
          <w:sz w:val="24"/>
          <w:szCs w:val="24"/>
        </w:rPr>
        <w:t>.</w:t>
      </w:r>
    </w:p>
    <w:p w14:paraId="0146B869"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sz w:val="10"/>
          <w:szCs w:val="10"/>
        </w:rPr>
      </w:pPr>
    </w:p>
    <w:p w14:paraId="111D4886"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r w:rsidRPr="008445CF">
        <w:rPr>
          <w:rFonts w:ascii="Times New Roman" w:hAnsi="Times New Roman" w:cs="Times New Roman"/>
          <w:b/>
          <w:sz w:val="24"/>
          <w:szCs w:val="24"/>
        </w:rPr>
        <w:t xml:space="preserve">12.3 </w:t>
      </w:r>
    </w:p>
    <w:p w14:paraId="2B73EEE2"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halve per capita global food waste at the retail and consumer levels and reduce food losses along production and supply chains, including post-harvest losses</w:t>
      </w:r>
      <w:r w:rsidR="001E7709">
        <w:rPr>
          <w:rFonts w:ascii="Times New Roman" w:hAnsi="Times New Roman" w:cs="Times New Roman"/>
          <w:sz w:val="24"/>
          <w:szCs w:val="24"/>
        </w:rPr>
        <w:t>.</w:t>
      </w:r>
    </w:p>
    <w:p w14:paraId="19A02DE8"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sz w:val="10"/>
          <w:szCs w:val="10"/>
        </w:rPr>
      </w:pPr>
    </w:p>
    <w:p w14:paraId="310DD84A"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r w:rsidRPr="008445CF">
        <w:rPr>
          <w:rFonts w:ascii="Times New Roman" w:hAnsi="Times New Roman" w:cs="Times New Roman"/>
          <w:b/>
          <w:sz w:val="24"/>
          <w:szCs w:val="24"/>
        </w:rPr>
        <w:t xml:space="preserve">12.4 </w:t>
      </w:r>
    </w:p>
    <w:p w14:paraId="7B2F5726"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2020, achieve the environmentally sound management of chemicals and all wastes throughout their life cycle in accordance with agreed international frameworks and significantly reduce their release to air, water</w:t>
      </w:r>
      <w:r w:rsidR="001E7709">
        <w:rPr>
          <w:rFonts w:ascii="Times New Roman" w:hAnsi="Times New Roman" w:cs="Times New Roman"/>
          <w:sz w:val="24"/>
          <w:szCs w:val="24"/>
        </w:rPr>
        <w:t>,</w:t>
      </w:r>
      <w:r w:rsidRPr="008445CF">
        <w:rPr>
          <w:rFonts w:ascii="Times New Roman" w:hAnsi="Times New Roman" w:cs="Times New Roman"/>
          <w:sz w:val="24"/>
          <w:szCs w:val="24"/>
        </w:rPr>
        <w:t xml:space="preserve"> and soil in order to minimize their adverse impacts on human health and the environment</w:t>
      </w:r>
    </w:p>
    <w:p w14:paraId="622F4134"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9E55BCE"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12.5 </w:t>
      </w:r>
    </w:p>
    <w:p w14:paraId="7EFFC799"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substantially reduce waste generation through prevention, reduction, recycling and reuse</w:t>
      </w:r>
      <w:r w:rsidR="00B80A12">
        <w:rPr>
          <w:rFonts w:ascii="Times New Roman" w:hAnsi="Times New Roman" w:cs="Times New Roman"/>
          <w:sz w:val="24"/>
          <w:szCs w:val="24"/>
        </w:rPr>
        <w:t>.</w:t>
      </w:r>
    </w:p>
    <w:p w14:paraId="359929A6"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4FDFA2E4"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12.6 </w:t>
      </w:r>
    </w:p>
    <w:p w14:paraId="5178D9A5"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Encourage companies, especially large and transnational companies, to adopt sustainable practices and to integrate sustainability information into their reporting cycle</w:t>
      </w:r>
      <w:r w:rsidR="00B80A12">
        <w:rPr>
          <w:rFonts w:ascii="Times New Roman" w:hAnsi="Times New Roman" w:cs="Times New Roman"/>
          <w:sz w:val="24"/>
          <w:szCs w:val="24"/>
        </w:rPr>
        <w:t>.</w:t>
      </w:r>
    </w:p>
    <w:p w14:paraId="24428076"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646E977"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12.7 </w:t>
      </w:r>
    </w:p>
    <w:p w14:paraId="09772F5C"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Promote public procurement practices that are sustainable, in accordance with national policies and priorities</w:t>
      </w:r>
      <w:r w:rsidR="00B80A12">
        <w:rPr>
          <w:rFonts w:ascii="Times New Roman" w:hAnsi="Times New Roman" w:cs="Times New Roman"/>
          <w:sz w:val="24"/>
          <w:szCs w:val="24"/>
        </w:rPr>
        <w:t>.</w:t>
      </w:r>
    </w:p>
    <w:p w14:paraId="3C608795"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E3E2A95" w14:textId="77777777" w:rsidR="0071415F" w:rsidRPr="00F06366" w:rsidRDefault="0071415F" w:rsidP="0091560E">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12.8 </w:t>
      </w:r>
    </w:p>
    <w:p w14:paraId="11F46C99"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ensure that people everywhere have the relevant information and awareness for sustainable development and lifestyles in harmony with nature</w:t>
      </w:r>
      <w:r w:rsidR="00B80A12">
        <w:rPr>
          <w:rFonts w:ascii="Times New Roman" w:hAnsi="Times New Roman" w:cs="Times New Roman"/>
          <w:sz w:val="24"/>
          <w:szCs w:val="24"/>
        </w:rPr>
        <w:t>.</w:t>
      </w:r>
    </w:p>
    <w:p w14:paraId="68F6F495" w14:textId="77777777" w:rsidR="00F3507C" w:rsidRDefault="00F3507C" w:rsidP="00F3507C">
      <w:pPr>
        <w:autoSpaceDE w:val="0"/>
        <w:autoSpaceDN w:val="0"/>
        <w:bidi w:val="0"/>
        <w:adjustRightInd w:val="0"/>
        <w:spacing w:after="0" w:line="240" w:lineRule="auto"/>
        <w:jc w:val="both"/>
        <w:rPr>
          <w:rFonts w:ascii="Times New Roman" w:hAnsi="Times New Roman" w:cs="Times New Roman"/>
          <w:sz w:val="24"/>
          <w:szCs w:val="24"/>
        </w:rPr>
      </w:pPr>
    </w:p>
    <w:p w14:paraId="6511F183"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lastRenderedPageBreak/>
        <w:t>12.a</w:t>
      </w:r>
    </w:p>
    <w:p w14:paraId="7C6B1251"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Support developing countries to strengthen their scientific and technological capacity to move towards more sustainable patterns of consumption and production</w:t>
      </w:r>
      <w:r w:rsidR="00B80A12">
        <w:rPr>
          <w:rFonts w:ascii="Times New Roman" w:hAnsi="Times New Roman" w:cs="Times New Roman"/>
          <w:sz w:val="24"/>
          <w:szCs w:val="24"/>
        </w:rPr>
        <w:t>.</w:t>
      </w:r>
    </w:p>
    <w:p w14:paraId="32AAA490"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777FAF5"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12.b</w:t>
      </w:r>
    </w:p>
    <w:p w14:paraId="30E37042"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Develop and implement tools to monitor sustainable development impact for sustainable tourism that creates jobs and promotes local culture and products</w:t>
      </w:r>
      <w:r w:rsidR="00B80A12">
        <w:rPr>
          <w:rFonts w:ascii="Times New Roman" w:hAnsi="Times New Roman" w:cs="Times New Roman"/>
          <w:sz w:val="24"/>
          <w:szCs w:val="24"/>
        </w:rPr>
        <w:t>.</w:t>
      </w:r>
    </w:p>
    <w:p w14:paraId="205652FE"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ABAAAE6"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12.c</w:t>
      </w:r>
    </w:p>
    <w:p w14:paraId="563AFE1D"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Rationalize inefficient fossil-fuel subsidies that encourage wasteful consumption by removing market distortions, in accordance with national circumstances including by restructuring taxation and phasing out those harmful subsidies, where they exist, to reflect their environmental impact, taking fully into account the specific needs and conditions of developing countries and minimizing the possible adverse impacts on their development in a manner that protects the poor and the affected communities.</w:t>
      </w:r>
    </w:p>
    <w:p w14:paraId="30338018"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2C5DF3A" w14:textId="77777777" w:rsidR="0071415F" w:rsidRPr="002E15D0" w:rsidRDefault="0071415F" w:rsidP="00FB1314">
      <w:pPr>
        <w:pStyle w:val="ListParagraph"/>
        <w:numPr>
          <w:ilvl w:val="0"/>
          <w:numId w:val="23"/>
        </w:numPr>
        <w:autoSpaceDE w:val="0"/>
        <w:autoSpaceDN w:val="0"/>
        <w:adjustRightInd w:val="0"/>
        <w:spacing w:after="0" w:line="240" w:lineRule="auto"/>
        <w:jc w:val="both"/>
        <w:rPr>
          <w:rFonts w:ascii="Times New Roman" w:hAnsi="Times New Roman" w:cs="Times New Roman"/>
          <w:b/>
          <w:bCs/>
          <w:sz w:val="24"/>
          <w:szCs w:val="24"/>
        </w:rPr>
      </w:pPr>
      <w:r w:rsidRPr="002E15D0">
        <w:rPr>
          <w:rFonts w:ascii="Times New Roman" w:hAnsi="Times New Roman" w:cs="Times New Roman"/>
          <w:b/>
          <w:bCs/>
          <w:sz w:val="24"/>
          <w:szCs w:val="24"/>
        </w:rPr>
        <w:t xml:space="preserve">Indicators released by PCBS </w:t>
      </w:r>
    </w:p>
    <w:p w14:paraId="3C118AFD"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There are </w:t>
      </w:r>
      <w:r w:rsidR="00B80A12">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 xml:space="preserve"> indicators released by PCBS for Goal 12, represent</w:t>
      </w:r>
      <w:r w:rsidR="00B80A12">
        <w:rPr>
          <w:rFonts w:ascii="Times New Roman" w:hAnsi="Times New Roman" w:cs="Times New Roman"/>
          <w:color w:val="000000" w:themeColor="text1"/>
          <w:sz w:val="24"/>
          <w:szCs w:val="24"/>
        </w:rPr>
        <w:t>ingeight</w:t>
      </w:r>
      <w:r w:rsidRPr="00966878">
        <w:rPr>
          <w:rFonts w:ascii="Times New Roman" w:hAnsi="Times New Roman" w:cs="Times New Roman"/>
          <w:color w:val="000000" w:themeColor="text1"/>
          <w:sz w:val="24"/>
          <w:szCs w:val="24"/>
        </w:rPr>
        <w:t xml:space="preserve"> data point</w:t>
      </w:r>
      <w:r w:rsidR="00B80A12">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referring to </w:t>
      </w:r>
      <w:r w:rsidR="00B80A12">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 xml:space="preserve"> of the 11 targets.</w:t>
      </w:r>
    </w:p>
    <w:p w14:paraId="080DDA5D"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167EDC15"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Table 12.1: List of SDG Indicators Released by PCBS</w:t>
      </w:r>
    </w:p>
    <w:p w14:paraId="1BCDD13F" w14:textId="77777777" w:rsidR="0071415F" w:rsidRPr="00F06366" w:rsidRDefault="0071415F" w:rsidP="0071415F">
      <w:pPr>
        <w:tabs>
          <w:tab w:val="left" w:pos="9072"/>
        </w:tabs>
        <w:bidi w:val="0"/>
        <w:spacing w:after="0" w:line="240" w:lineRule="auto"/>
        <w:jc w:val="center"/>
        <w:rPr>
          <w:rFonts w:ascii="Arial" w:hAnsi="Arial"/>
          <w:b/>
          <w:bCs/>
          <w:sz w:val="12"/>
          <w:szCs w:val="12"/>
        </w:rPr>
      </w:pPr>
    </w:p>
    <w:tbl>
      <w:tblPr>
        <w:tblW w:w="9776" w:type="dxa"/>
        <w:jc w:val="center"/>
        <w:tblLayout w:type="fixed"/>
        <w:tblLook w:val="04A0" w:firstRow="1" w:lastRow="0" w:firstColumn="1" w:lastColumn="0" w:noHBand="0" w:noVBand="1"/>
      </w:tblPr>
      <w:tblGrid>
        <w:gridCol w:w="5102"/>
        <w:gridCol w:w="1247"/>
        <w:gridCol w:w="1017"/>
        <w:gridCol w:w="1276"/>
        <w:gridCol w:w="1134"/>
      </w:tblGrid>
      <w:tr w:rsidR="0071415F" w:rsidRPr="00770C22" w14:paraId="3DC9848F" w14:textId="77777777" w:rsidTr="00D556CC">
        <w:trPr>
          <w:trHeight w:val="504"/>
          <w:tblHeader/>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11988" w14:textId="77777777" w:rsidR="0071415F" w:rsidRPr="00770C22" w:rsidRDefault="0071415F" w:rsidP="0071415F">
            <w:pPr>
              <w:bidi w:val="0"/>
              <w:spacing w:after="0" w:line="240" w:lineRule="auto"/>
              <w:jc w:val="center"/>
              <w:rPr>
                <w:rFonts w:asciiTheme="minorBidi" w:hAnsiTheme="minorBidi" w:cstheme="minorBidi"/>
                <w:b/>
                <w:bCs/>
                <w:color w:val="000000" w:themeColor="text1"/>
                <w:sz w:val="18"/>
                <w:szCs w:val="18"/>
              </w:rPr>
            </w:pPr>
            <w:r w:rsidRPr="00770C22">
              <w:rPr>
                <w:rFonts w:asciiTheme="minorBidi" w:hAnsiTheme="minorBidi" w:cstheme="minorBidi"/>
                <w:color w:val="000000" w:themeColor="text1"/>
                <w:sz w:val="18"/>
                <w:szCs w:val="18"/>
                <w:rtl/>
              </w:rPr>
              <w:br w:type="page"/>
            </w:r>
            <w:r w:rsidRPr="00770C22">
              <w:rPr>
                <w:rFonts w:asciiTheme="minorBidi" w:hAnsiTheme="minorBidi" w:cstheme="minorBidi"/>
                <w:b/>
                <w:bCs/>
                <w:color w:val="000000" w:themeColor="text1"/>
                <w:sz w:val="18"/>
                <w:szCs w:val="18"/>
              </w:rPr>
              <w:t>Indicators</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739D405C" w14:textId="77777777" w:rsidR="0071415F" w:rsidRPr="00770C22" w:rsidRDefault="0071415F" w:rsidP="0071415F">
            <w:pPr>
              <w:bidi w:val="0"/>
              <w:spacing w:after="0" w:line="240" w:lineRule="auto"/>
              <w:jc w:val="center"/>
              <w:rPr>
                <w:rFonts w:asciiTheme="minorBidi" w:hAnsiTheme="minorBidi" w:cstheme="minorBidi"/>
                <w:b/>
                <w:bCs/>
                <w:color w:val="000000" w:themeColor="text1"/>
                <w:sz w:val="18"/>
                <w:szCs w:val="18"/>
              </w:rPr>
            </w:pPr>
            <w:r w:rsidRPr="00770C22">
              <w:rPr>
                <w:rStyle w:val="Bodytext8ptBoldSpacing0pt2"/>
                <w:rFonts w:asciiTheme="minorBidi" w:hAnsiTheme="minorBidi" w:cstheme="minorBidi"/>
                <w:color w:val="000000" w:themeColor="text1"/>
                <w:sz w:val="18"/>
                <w:szCs w:val="18"/>
              </w:rPr>
              <w:t xml:space="preserve">Referring to the SDG </w:t>
            </w:r>
            <w:r w:rsidR="00B80A12">
              <w:rPr>
                <w:rStyle w:val="Bodytext8ptBoldSpacing0pt2"/>
                <w:rFonts w:asciiTheme="minorBidi" w:hAnsiTheme="minorBidi" w:cstheme="minorBidi"/>
                <w:color w:val="000000" w:themeColor="text1"/>
                <w:sz w:val="18"/>
                <w:szCs w:val="18"/>
              </w:rPr>
              <w:t>i</w:t>
            </w:r>
            <w:r w:rsidRPr="00770C22">
              <w:rPr>
                <w:rStyle w:val="Bodytext8ptBoldSpacing0pt2"/>
                <w:rFonts w:asciiTheme="minorBidi" w:hAnsiTheme="minorBidi" w:cstheme="minorBidi"/>
                <w:color w:val="000000" w:themeColor="text1"/>
                <w:sz w:val="18"/>
                <w:szCs w:val="18"/>
              </w:rPr>
              <w:t>ndicator</w:t>
            </w:r>
          </w:p>
        </w:tc>
        <w:tc>
          <w:tcPr>
            <w:tcW w:w="1017" w:type="dxa"/>
            <w:tcBorders>
              <w:top w:val="single" w:sz="4" w:space="0" w:color="auto"/>
              <w:left w:val="nil"/>
              <w:bottom w:val="single" w:sz="4" w:space="0" w:color="auto"/>
              <w:right w:val="single" w:sz="4" w:space="0" w:color="auto"/>
            </w:tcBorders>
          </w:tcPr>
          <w:p w14:paraId="72BAEDF9" w14:textId="77777777" w:rsidR="0071415F" w:rsidRPr="00770C22" w:rsidRDefault="0071415F" w:rsidP="0071415F">
            <w:pPr>
              <w:bidi w:val="0"/>
              <w:spacing w:after="0" w:line="240" w:lineRule="auto"/>
              <w:jc w:val="center"/>
              <w:rPr>
                <w:rStyle w:val="Bodytext8ptBoldSpacing0pt2"/>
                <w:rFonts w:asciiTheme="minorBidi" w:hAnsiTheme="minorBidi" w:cstheme="minorBidi"/>
                <w:color w:val="000000" w:themeColor="text1"/>
                <w:sz w:val="18"/>
                <w:szCs w:val="18"/>
              </w:rPr>
            </w:pPr>
            <w:r w:rsidRPr="00770C22">
              <w:rPr>
                <w:rStyle w:val="Bodytext8ptBoldSpacing0pt2"/>
                <w:rFonts w:asciiTheme="minorBidi" w:hAnsiTheme="minorBidi" w:cstheme="minorBidi"/>
                <w:color w:val="000000" w:themeColor="text1"/>
                <w:sz w:val="18"/>
                <w:szCs w:val="18"/>
              </w:rPr>
              <w:t>Previous data</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084860AC" w14:textId="77777777" w:rsidR="0071415F" w:rsidRPr="00770C22" w:rsidRDefault="0071415F" w:rsidP="0071415F">
            <w:pPr>
              <w:bidi w:val="0"/>
              <w:spacing w:after="0" w:line="240" w:lineRule="auto"/>
              <w:jc w:val="center"/>
              <w:rPr>
                <w:rFonts w:asciiTheme="minorBidi" w:hAnsiTheme="minorBidi" w:cstheme="minorBidi"/>
                <w:b/>
                <w:bCs/>
                <w:color w:val="000000" w:themeColor="text1"/>
                <w:sz w:val="18"/>
                <w:szCs w:val="18"/>
              </w:rPr>
            </w:pPr>
            <w:r w:rsidRPr="00770C22">
              <w:rPr>
                <w:rStyle w:val="Bodytext8ptBoldSpacing0pt2"/>
                <w:rFonts w:asciiTheme="minorBidi" w:hAnsiTheme="minorBidi" w:cstheme="minorBidi"/>
                <w:color w:val="000000" w:themeColor="text1"/>
                <w:sz w:val="18"/>
                <w:szCs w:val="18"/>
              </w:rPr>
              <w:t>Last available data</w:t>
            </w:r>
          </w:p>
        </w:tc>
        <w:tc>
          <w:tcPr>
            <w:tcW w:w="1134" w:type="dxa"/>
            <w:tcBorders>
              <w:top w:val="single" w:sz="4" w:space="0" w:color="auto"/>
              <w:left w:val="nil"/>
              <w:bottom w:val="single" w:sz="4" w:space="0" w:color="auto"/>
              <w:right w:val="single" w:sz="4" w:space="0" w:color="auto"/>
            </w:tcBorders>
          </w:tcPr>
          <w:p w14:paraId="5BB159A9" w14:textId="77777777" w:rsidR="0071415F" w:rsidRPr="00770C22" w:rsidRDefault="0071415F" w:rsidP="0071415F">
            <w:pPr>
              <w:bidi w:val="0"/>
              <w:spacing w:after="0" w:line="240" w:lineRule="auto"/>
              <w:jc w:val="center"/>
              <w:rPr>
                <w:rStyle w:val="Bodytext8ptBoldSpacing0pt2"/>
                <w:rFonts w:asciiTheme="minorBidi" w:hAnsiTheme="minorBidi" w:cstheme="minorBidi"/>
                <w:sz w:val="18"/>
                <w:szCs w:val="18"/>
              </w:rPr>
            </w:pPr>
            <w:r w:rsidRPr="00770C22">
              <w:rPr>
                <w:rStyle w:val="Bodytext8ptBoldSpacing0pt2"/>
                <w:rFonts w:asciiTheme="minorBidi" w:hAnsiTheme="minorBidi" w:cstheme="minorBidi"/>
                <w:sz w:val="18"/>
                <w:szCs w:val="18"/>
              </w:rPr>
              <w:t>Compared to the previous data point</w:t>
            </w:r>
          </w:p>
        </w:tc>
      </w:tr>
      <w:tr w:rsidR="0071415F" w:rsidRPr="00770C22" w14:paraId="4F00C4F8" w14:textId="77777777" w:rsidTr="00D556CC">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76EF2575"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tl/>
              </w:rPr>
              <w:t>12.1.1</w:t>
            </w:r>
            <w:r w:rsidRPr="00770C22">
              <w:rPr>
                <w:rFonts w:asciiTheme="minorBidi" w:hAnsiTheme="minorBidi" w:cstheme="minorBidi"/>
                <w:color w:val="000000" w:themeColor="text1"/>
                <w:sz w:val="18"/>
                <w:szCs w:val="18"/>
              </w:rPr>
              <w:t>Number of countries developing, adopting or implementing policy instruments aimed at supporting the shift to sustainable consumption and production (Environment Quality Authority, 2020, 1/Yes, 2/No)</w:t>
            </w:r>
          </w:p>
        </w:tc>
        <w:tc>
          <w:tcPr>
            <w:tcW w:w="1247" w:type="dxa"/>
            <w:tcBorders>
              <w:top w:val="single" w:sz="4" w:space="0" w:color="auto"/>
              <w:left w:val="nil"/>
              <w:right w:val="single" w:sz="4" w:space="0" w:color="auto"/>
            </w:tcBorders>
            <w:shd w:val="clear" w:color="auto" w:fill="auto"/>
            <w:noWrap/>
            <w:vAlign w:val="center"/>
            <w:hideMark/>
          </w:tcPr>
          <w:p w14:paraId="4F7CEC98"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nil"/>
              <w:right w:val="single" w:sz="4" w:space="0" w:color="auto"/>
            </w:tcBorders>
            <w:vAlign w:val="center"/>
          </w:tcPr>
          <w:p w14:paraId="068D5D1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(2019)</w:t>
            </w:r>
          </w:p>
        </w:tc>
        <w:tc>
          <w:tcPr>
            <w:tcW w:w="1276" w:type="dxa"/>
            <w:tcBorders>
              <w:top w:val="single" w:sz="4" w:space="0" w:color="auto"/>
              <w:left w:val="nil"/>
              <w:right w:val="single" w:sz="4" w:space="0" w:color="auto"/>
            </w:tcBorders>
            <w:shd w:val="clear" w:color="auto" w:fill="auto"/>
            <w:noWrap/>
            <w:vAlign w:val="center"/>
            <w:hideMark/>
          </w:tcPr>
          <w:p w14:paraId="7837DA1E"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1(Yes)</w:t>
            </w:r>
          </w:p>
        </w:tc>
        <w:tc>
          <w:tcPr>
            <w:tcW w:w="1134" w:type="dxa"/>
            <w:tcBorders>
              <w:top w:val="single" w:sz="4" w:space="0" w:color="auto"/>
              <w:left w:val="nil"/>
              <w:right w:val="single" w:sz="4" w:space="0" w:color="auto"/>
            </w:tcBorders>
            <w:vAlign w:val="center"/>
          </w:tcPr>
          <w:p w14:paraId="11B7B0A8"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70B17D2C" w14:textId="77777777" w:rsidTr="00D556CC">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6B9130D0"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12.4.1</w:t>
            </w:r>
            <w:r w:rsidRPr="00770C22">
              <w:rPr>
                <w:rFonts w:asciiTheme="minorBidi" w:hAnsiTheme="minorBidi" w:cstheme="minorBidi"/>
                <w:color w:val="000000" w:themeColor="text1"/>
                <w:sz w:val="18"/>
                <w:szCs w:val="18"/>
              </w:rPr>
              <w:t xml:space="preserve"> Number of parties to international </w:t>
            </w:r>
            <w:r w:rsidR="00C66B88" w:rsidRPr="00770C22">
              <w:rPr>
                <w:rFonts w:asciiTheme="minorBidi" w:hAnsiTheme="minorBidi" w:cstheme="minorBidi"/>
                <w:color w:val="000000" w:themeColor="text1"/>
                <w:sz w:val="18"/>
                <w:szCs w:val="18"/>
              </w:rPr>
              <w:t>multilateral environmental</w:t>
            </w:r>
            <w:r w:rsidRPr="00770C22">
              <w:rPr>
                <w:rFonts w:asciiTheme="minorBidi" w:hAnsiTheme="minorBidi" w:cstheme="minorBidi"/>
                <w:color w:val="000000" w:themeColor="text1"/>
                <w:sz w:val="18"/>
                <w:szCs w:val="18"/>
              </w:rPr>
              <w:t xml:space="preserve"> agreements on hazardous waste, and other chemicals that meet their commitments and obligations in transmitting information as required by each relevant agreement(Environment Quality Authority, 2020, 1/Yes, 2/No)</w:t>
            </w:r>
          </w:p>
        </w:tc>
        <w:tc>
          <w:tcPr>
            <w:tcW w:w="1247" w:type="dxa"/>
            <w:tcBorders>
              <w:top w:val="single" w:sz="4" w:space="0" w:color="auto"/>
              <w:left w:val="nil"/>
              <w:right w:val="single" w:sz="4" w:space="0" w:color="auto"/>
            </w:tcBorders>
            <w:shd w:val="clear" w:color="auto" w:fill="auto"/>
            <w:noWrap/>
            <w:vAlign w:val="center"/>
            <w:hideMark/>
          </w:tcPr>
          <w:p w14:paraId="3C0A89C8"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nil"/>
              <w:right w:val="single" w:sz="4" w:space="0" w:color="auto"/>
            </w:tcBorders>
            <w:vAlign w:val="center"/>
          </w:tcPr>
          <w:p w14:paraId="7B549EFC"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(2019)</w:t>
            </w:r>
          </w:p>
        </w:tc>
        <w:tc>
          <w:tcPr>
            <w:tcW w:w="1276" w:type="dxa"/>
            <w:tcBorders>
              <w:top w:val="single" w:sz="4" w:space="0" w:color="auto"/>
              <w:left w:val="nil"/>
              <w:right w:val="single" w:sz="4" w:space="0" w:color="auto"/>
            </w:tcBorders>
            <w:shd w:val="clear" w:color="auto" w:fill="auto"/>
            <w:noWrap/>
            <w:vAlign w:val="center"/>
            <w:hideMark/>
          </w:tcPr>
          <w:p w14:paraId="786427D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tl/>
              </w:rPr>
            </w:pPr>
            <w:r w:rsidRPr="00770C22">
              <w:rPr>
                <w:rFonts w:asciiTheme="minorBidi" w:hAnsiTheme="minorBidi" w:cstheme="minorBidi"/>
                <w:color w:val="000000" w:themeColor="text1"/>
                <w:sz w:val="18"/>
                <w:szCs w:val="18"/>
              </w:rPr>
              <w:t>1(Yes)</w:t>
            </w:r>
          </w:p>
        </w:tc>
        <w:tc>
          <w:tcPr>
            <w:tcW w:w="1134" w:type="dxa"/>
            <w:tcBorders>
              <w:top w:val="single" w:sz="4" w:space="0" w:color="auto"/>
              <w:left w:val="nil"/>
              <w:right w:val="single" w:sz="4" w:space="0" w:color="auto"/>
            </w:tcBorders>
            <w:vAlign w:val="center"/>
          </w:tcPr>
          <w:p w14:paraId="355A9FCE" w14:textId="77777777" w:rsidR="0071415F" w:rsidRPr="00770C22" w:rsidRDefault="0071415F" w:rsidP="0071415F">
            <w:pPr>
              <w:bidi w:val="0"/>
              <w:spacing w:after="0" w:line="240" w:lineRule="auto"/>
              <w:jc w:val="center"/>
              <w:rPr>
                <w:rFonts w:asciiTheme="minorBidi" w:hAnsiTheme="minorBidi" w:cstheme="minorBidi"/>
                <w:sz w:val="18"/>
                <w:szCs w:val="18"/>
                <w:rtl/>
              </w:rPr>
            </w:pPr>
            <w:r w:rsidRPr="00770C22">
              <w:rPr>
                <w:rFonts w:asciiTheme="minorBidi" w:hAnsiTheme="minorBidi" w:cstheme="minorBidi"/>
                <w:sz w:val="18"/>
                <w:szCs w:val="18"/>
              </w:rPr>
              <w:t>No change</w:t>
            </w:r>
          </w:p>
        </w:tc>
      </w:tr>
      <w:tr w:rsidR="0071415F" w:rsidRPr="00770C22" w14:paraId="457907A2" w14:textId="77777777" w:rsidTr="00D556CC">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641BEAEE" w14:textId="77777777" w:rsidR="0071415F" w:rsidRPr="00770C22" w:rsidRDefault="0071415F" w:rsidP="0071415F">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 xml:space="preserve">Indicator 12.8.1 </w:t>
            </w:r>
            <w:r w:rsidRPr="00770C22">
              <w:rPr>
                <w:rFonts w:asciiTheme="minorBidi" w:hAnsiTheme="minorBidi" w:cstheme="minorBidi"/>
                <w:bCs/>
                <w:color w:val="000000" w:themeColor="text1"/>
                <w:sz w:val="18"/>
                <w:szCs w:val="18"/>
              </w:rPr>
              <w:t>Extent to which (i) global citizenship education and (ii) education for sustainable development (including climate change education) are mainstreamed in (a) national education policies; (b) curricula; (c) teacher education; and (d) student assessment</w:t>
            </w:r>
            <w:r w:rsidR="00304E2A" w:rsidRPr="00770C22">
              <w:rPr>
                <w:rFonts w:asciiTheme="minorBidi" w:hAnsiTheme="minorBidi" w:cstheme="minorBidi"/>
                <w:bCs/>
                <w:color w:val="000000" w:themeColor="text1"/>
                <w:sz w:val="18"/>
                <w:szCs w:val="18"/>
              </w:rPr>
              <w:t xml:space="preserve">. </w:t>
            </w:r>
            <w:r w:rsidR="00304E2A" w:rsidRPr="00770C22">
              <w:rPr>
                <w:rFonts w:asciiTheme="minorBidi" w:hAnsiTheme="minorBidi" w:cstheme="minorBidi"/>
                <w:b/>
                <w:color w:val="000000" w:themeColor="text1"/>
                <w:sz w:val="18"/>
                <w:szCs w:val="18"/>
              </w:rPr>
              <w:t>(Repeated with indicators: 4.7.1 and 13.3.1)</w:t>
            </w:r>
          </w:p>
          <w:p w14:paraId="1E10A6AC" w14:textId="77777777" w:rsidR="0071415F" w:rsidRPr="00770C22" w:rsidRDefault="0071415F" w:rsidP="0071415F">
            <w:pPr>
              <w:tabs>
                <w:tab w:val="left" w:pos="9072"/>
              </w:tabs>
              <w:bidi w:val="0"/>
              <w:spacing w:after="0" w:line="240" w:lineRule="auto"/>
              <w:jc w:val="both"/>
              <w:rPr>
                <w:rFonts w:asciiTheme="minorBidi" w:hAnsiTheme="minorBidi" w:cstheme="minorBidi"/>
                <w:bCs/>
                <w:color w:val="000000" w:themeColor="text1"/>
                <w:sz w:val="18"/>
                <w:szCs w:val="18"/>
              </w:rPr>
            </w:pPr>
          </w:p>
        </w:tc>
        <w:tc>
          <w:tcPr>
            <w:tcW w:w="1247" w:type="dxa"/>
            <w:tcBorders>
              <w:top w:val="single" w:sz="4" w:space="0" w:color="auto"/>
              <w:left w:val="nil"/>
              <w:right w:val="single" w:sz="4" w:space="0" w:color="auto"/>
            </w:tcBorders>
            <w:shd w:val="clear" w:color="auto" w:fill="auto"/>
            <w:noWrap/>
          </w:tcPr>
          <w:p w14:paraId="7FD6D1C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6F3A8918"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276" w:type="dxa"/>
            <w:tcBorders>
              <w:top w:val="single" w:sz="4" w:space="0" w:color="auto"/>
              <w:right w:val="single" w:sz="4" w:space="0" w:color="auto"/>
            </w:tcBorders>
            <w:shd w:val="clear" w:color="auto" w:fill="auto"/>
            <w:noWrap/>
          </w:tcPr>
          <w:p w14:paraId="33AA5AC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134" w:type="dxa"/>
            <w:tcBorders>
              <w:top w:val="single" w:sz="4" w:space="0" w:color="auto"/>
              <w:right w:val="single" w:sz="4" w:space="0" w:color="auto"/>
            </w:tcBorders>
          </w:tcPr>
          <w:p w14:paraId="29693DEA"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324CEF43" w14:textId="77777777" w:rsidTr="00D556CC">
        <w:trPr>
          <w:trHeight w:val="389"/>
          <w:jc w:val="center"/>
        </w:trPr>
        <w:tc>
          <w:tcPr>
            <w:tcW w:w="5102" w:type="dxa"/>
            <w:tcBorders>
              <w:left w:val="single" w:sz="4" w:space="0" w:color="auto"/>
              <w:right w:val="single" w:sz="4" w:space="0" w:color="auto"/>
            </w:tcBorders>
            <w:shd w:val="clear" w:color="auto" w:fill="auto"/>
            <w:noWrap/>
            <w:vAlign w:val="center"/>
          </w:tcPr>
          <w:p w14:paraId="4F26B295" w14:textId="77777777" w:rsidR="0071415F" w:rsidRPr="00770C22" w:rsidRDefault="0071415F" w:rsidP="003B09C1">
            <w:pPr>
              <w:tabs>
                <w:tab w:val="left" w:pos="9072"/>
              </w:tabs>
              <w:bidi w:val="0"/>
              <w:spacing w:after="0" w:line="240" w:lineRule="auto"/>
              <w:ind w:left="336"/>
              <w:jc w:val="both"/>
              <w:rPr>
                <w:rFonts w:asciiTheme="minorBidi" w:hAnsiTheme="minorBidi" w:cstheme="minorBidi"/>
                <w:b/>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national education policies(</w:t>
            </w:r>
            <w:r w:rsidRPr="00770C22">
              <w:rPr>
                <w:rFonts w:asciiTheme="minorBidi" w:hAnsiTheme="minorBidi" w:cstheme="minorBidi"/>
                <w:sz w:val="18"/>
                <w:szCs w:val="18"/>
              </w:rPr>
              <w:t>UNSD</w:t>
            </w:r>
            <w:r w:rsidRPr="00770C22">
              <w:rPr>
                <w:rFonts w:asciiTheme="minorBidi" w:hAnsiTheme="minorBidi" w:cstheme="minorBidi"/>
                <w:color w:val="000000" w:themeColor="text1"/>
                <w:sz w:val="18"/>
                <w:szCs w:val="18"/>
              </w:rPr>
              <w:t>, 2020, Index)</w:t>
            </w:r>
          </w:p>
        </w:tc>
        <w:tc>
          <w:tcPr>
            <w:tcW w:w="1247" w:type="dxa"/>
            <w:tcBorders>
              <w:left w:val="nil"/>
              <w:right w:val="single" w:sz="4" w:space="0" w:color="auto"/>
            </w:tcBorders>
            <w:shd w:val="clear" w:color="auto" w:fill="auto"/>
            <w:noWrap/>
          </w:tcPr>
          <w:p w14:paraId="1A9DEB14"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375015CA"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276" w:type="dxa"/>
            <w:tcBorders>
              <w:right w:val="single" w:sz="4" w:space="0" w:color="auto"/>
            </w:tcBorders>
            <w:shd w:val="clear" w:color="auto" w:fill="auto"/>
            <w:noWrap/>
          </w:tcPr>
          <w:p w14:paraId="1660B0B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0.875</w:t>
            </w:r>
          </w:p>
        </w:tc>
        <w:tc>
          <w:tcPr>
            <w:tcW w:w="1134" w:type="dxa"/>
            <w:tcBorders>
              <w:right w:val="single" w:sz="4" w:space="0" w:color="auto"/>
            </w:tcBorders>
          </w:tcPr>
          <w:p w14:paraId="16681727"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190D5A04" w14:textId="77777777" w:rsidTr="00D556CC">
        <w:trPr>
          <w:trHeight w:val="389"/>
          <w:jc w:val="center"/>
        </w:trPr>
        <w:tc>
          <w:tcPr>
            <w:tcW w:w="5102" w:type="dxa"/>
            <w:tcBorders>
              <w:left w:val="single" w:sz="4" w:space="0" w:color="auto"/>
              <w:right w:val="single" w:sz="4" w:space="0" w:color="auto"/>
            </w:tcBorders>
            <w:shd w:val="clear" w:color="auto" w:fill="auto"/>
            <w:noWrap/>
            <w:vAlign w:val="center"/>
          </w:tcPr>
          <w:p w14:paraId="4C83AABE" w14:textId="77777777" w:rsidR="0071415F" w:rsidRPr="00770C22" w:rsidRDefault="0071415F" w:rsidP="003B09C1">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w:t>
            </w:r>
            <w:r w:rsidR="003B09C1" w:rsidRPr="00770C22">
              <w:rPr>
                <w:rFonts w:asciiTheme="minorBidi" w:hAnsiTheme="minorBidi" w:cstheme="minorBidi"/>
                <w:color w:val="000000" w:themeColor="text1"/>
                <w:sz w:val="18"/>
                <w:szCs w:val="18"/>
              </w:rPr>
              <w:t xml:space="preserve"> in curricula (UNSD</w:t>
            </w:r>
            <w:r w:rsidRPr="00770C22">
              <w:rPr>
                <w:rFonts w:asciiTheme="minorBidi" w:hAnsiTheme="minorBidi" w:cstheme="minorBidi"/>
                <w:color w:val="000000" w:themeColor="text1"/>
                <w:sz w:val="18"/>
                <w:szCs w:val="18"/>
              </w:rPr>
              <w:t>, 2020, Index)</w:t>
            </w:r>
          </w:p>
        </w:tc>
        <w:tc>
          <w:tcPr>
            <w:tcW w:w="1247" w:type="dxa"/>
            <w:tcBorders>
              <w:left w:val="nil"/>
              <w:right w:val="single" w:sz="4" w:space="0" w:color="auto"/>
            </w:tcBorders>
            <w:shd w:val="clear" w:color="auto" w:fill="auto"/>
            <w:noWrap/>
          </w:tcPr>
          <w:p w14:paraId="723A06D9"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3725AC24"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276" w:type="dxa"/>
            <w:tcBorders>
              <w:right w:val="single" w:sz="4" w:space="0" w:color="auto"/>
            </w:tcBorders>
            <w:shd w:val="clear" w:color="auto" w:fill="auto"/>
            <w:noWrap/>
          </w:tcPr>
          <w:p w14:paraId="3B49BDEA"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0.708</w:t>
            </w:r>
          </w:p>
        </w:tc>
        <w:tc>
          <w:tcPr>
            <w:tcW w:w="1134" w:type="dxa"/>
            <w:tcBorders>
              <w:right w:val="single" w:sz="4" w:space="0" w:color="auto"/>
            </w:tcBorders>
          </w:tcPr>
          <w:p w14:paraId="170795DF"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2C596214" w14:textId="77777777" w:rsidTr="00D556CC">
        <w:trPr>
          <w:trHeight w:val="389"/>
          <w:jc w:val="center"/>
        </w:trPr>
        <w:tc>
          <w:tcPr>
            <w:tcW w:w="5102" w:type="dxa"/>
            <w:tcBorders>
              <w:left w:val="single" w:sz="4" w:space="0" w:color="auto"/>
              <w:right w:val="single" w:sz="4" w:space="0" w:color="auto"/>
            </w:tcBorders>
            <w:shd w:val="clear" w:color="auto" w:fill="auto"/>
            <w:noWrap/>
            <w:vAlign w:val="center"/>
          </w:tcPr>
          <w:p w14:paraId="3043024D" w14:textId="77777777" w:rsidR="0071415F" w:rsidRPr="00770C22" w:rsidRDefault="0071415F" w:rsidP="003B09C1">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teacher education (</w:t>
            </w:r>
            <w:r w:rsidRPr="00770C22">
              <w:rPr>
                <w:rFonts w:asciiTheme="minorBidi" w:hAnsiTheme="minorBidi" w:cstheme="minorBidi"/>
                <w:sz w:val="18"/>
                <w:szCs w:val="18"/>
              </w:rPr>
              <w:t>UNSD</w:t>
            </w:r>
            <w:r w:rsidRPr="00770C22">
              <w:rPr>
                <w:rFonts w:asciiTheme="minorBidi" w:hAnsiTheme="minorBidi" w:cstheme="minorBidi"/>
                <w:color w:val="000000" w:themeColor="text1"/>
                <w:sz w:val="18"/>
                <w:szCs w:val="18"/>
              </w:rPr>
              <w:t>, 2020, Index)</w:t>
            </w:r>
          </w:p>
        </w:tc>
        <w:tc>
          <w:tcPr>
            <w:tcW w:w="1247" w:type="dxa"/>
            <w:tcBorders>
              <w:left w:val="nil"/>
              <w:right w:val="single" w:sz="4" w:space="0" w:color="auto"/>
            </w:tcBorders>
            <w:shd w:val="clear" w:color="auto" w:fill="auto"/>
            <w:noWrap/>
          </w:tcPr>
          <w:p w14:paraId="15BC1C51"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6C9708D2"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276" w:type="dxa"/>
            <w:tcBorders>
              <w:right w:val="single" w:sz="4" w:space="0" w:color="auto"/>
            </w:tcBorders>
            <w:shd w:val="clear" w:color="auto" w:fill="auto"/>
            <w:noWrap/>
          </w:tcPr>
          <w:p w14:paraId="793A3F5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0.800</w:t>
            </w:r>
          </w:p>
        </w:tc>
        <w:tc>
          <w:tcPr>
            <w:tcW w:w="1134" w:type="dxa"/>
            <w:tcBorders>
              <w:right w:val="single" w:sz="4" w:space="0" w:color="auto"/>
            </w:tcBorders>
          </w:tcPr>
          <w:p w14:paraId="4A9E0CAF"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1B62A229" w14:textId="77777777" w:rsidTr="00D556CC">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7C145E32" w14:textId="77777777" w:rsidR="0071415F" w:rsidRPr="00770C22" w:rsidRDefault="0071415F" w:rsidP="003B09C1">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student assessment (</w:t>
            </w:r>
            <w:r w:rsidRPr="00770C22">
              <w:rPr>
                <w:rFonts w:asciiTheme="minorBidi" w:hAnsiTheme="minorBidi" w:cstheme="minorBidi"/>
                <w:sz w:val="18"/>
                <w:szCs w:val="18"/>
              </w:rPr>
              <w:t>UNSD</w:t>
            </w:r>
            <w:r w:rsidRPr="00770C22">
              <w:rPr>
                <w:rFonts w:asciiTheme="minorBidi" w:hAnsiTheme="minorBidi" w:cstheme="minorBidi"/>
                <w:color w:val="000000" w:themeColor="text1"/>
                <w:sz w:val="18"/>
                <w:szCs w:val="18"/>
              </w:rPr>
              <w:t>, 2020, Index)</w:t>
            </w:r>
          </w:p>
          <w:p w14:paraId="346EA890" w14:textId="77777777" w:rsidR="009E4880" w:rsidRPr="00770C22" w:rsidRDefault="009E4880" w:rsidP="009E4880">
            <w:pPr>
              <w:tabs>
                <w:tab w:val="left" w:pos="9072"/>
              </w:tabs>
              <w:bidi w:val="0"/>
              <w:spacing w:after="0" w:line="240" w:lineRule="auto"/>
              <w:ind w:left="336"/>
              <w:jc w:val="both"/>
              <w:rPr>
                <w:rFonts w:asciiTheme="minorBidi" w:hAnsiTheme="minorBidi" w:cstheme="minorBidi"/>
                <w:color w:val="000000" w:themeColor="text1"/>
                <w:sz w:val="18"/>
                <w:szCs w:val="18"/>
              </w:rPr>
            </w:pPr>
          </w:p>
        </w:tc>
        <w:tc>
          <w:tcPr>
            <w:tcW w:w="1247" w:type="dxa"/>
            <w:tcBorders>
              <w:left w:val="nil"/>
              <w:bottom w:val="single" w:sz="4" w:space="0" w:color="auto"/>
              <w:right w:val="single" w:sz="4" w:space="0" w:color="auto"/>
            </w:tcBorders>
            <w:shd w:val="clear" w:color="auto" w:fill="auto"/>
            <w:noWrap/>
          </w:tcPr>
          <w:p w14:paraId="144574A8"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bottom w:val="single" w:sz="4" w:space="0" w:color="auto"/>
              <w:right w:val="single" w:sz="4" w:space="0" w:color="auto"/>
            </w:tcBorders>
          </w:tcPr>
          <w:p w14:paraId="47990A6D"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276" w:type="dxa"/>
            <w:tcBorders>
              <w:bottom w:val="single" w:sz="4" w:space="0" w:color="auto"/>
              <w:right w:val="single" w:sz="4" w:space="0" w:color="auto"/>
            </w:tcBorders>
            <w:shd w:val="clear" w:color="auto" w:fill="auto"/>
            <w:noWrap/>
          </w:tcPr>
          <w:p w14:paraId="5531D6AE"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0.833</w:t>
            </w:r>
          </w:p>
        </w:tc>
        <w:tc>
          <w:tcPr>
            <w:tcW w:w="1134" w:type="dxa"/>
            <w:tcBorders>
              <w:bottom w:val="single" w:sz="4" w:space="0" w:color="auto"/>
              <w:right w:val="single" w:sz="4" w:space="0" w:color="auto"/>
            </w:tcBorders>
          </w:tcPr>
          <w:p w14:paraId="7405BE4E"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4B197E82" w14:textId="77777777" w:rsidTr="00D556CC">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3C10F" w14:textId="77777777" w:rsidR="0071415F" w:rsidRPr="00770C22" w:rsidRDefault="0071415F" w:rsidP="0071415F">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lastRenderedPageBreak/>
              <w:t xml:space="preserve">Indicator 12.a.1 </w:t>
            </w:r>
            <w:r w:rsidRPr="00770C22">
              <w:rPr>
                <w:rFonts w:asciiTheme="minorBidi" w:hAnsiTheme="minorBidi" w:cstheme="minorBidi"/>
                <w:bCs/>
                <w:color w:val="000000" w:themeColor="text1"/>
                <w:sz w:val="18"/>
                <w:szCs w:val="18"/>
              </w:rPr>
              <w:t xml:space="preserve">Installed renewable energy-generating capacity in developing countries </w:t>
            </w:r>
            <w:r w:rsidRPr="00770C22">
              <w:rPr>
                <w:rFonts w:asciiTheme="minorBidi" w:hAnsiTheme="minorBidi" w:cstheme="minorBidi"/>
                <w:color w:val="000000" w:themeColor="text1"/>
                <w:sz w:val="18"/>
                <w:szCs w:val="18"/>
              </w:rPr>
              <w:t xml:space="preserve">(PCBS, 2020, </w:t>
            </w:r>
            <w:r w:rsidRPr="00770C22">
              <w:rPr>
                <w:rFonts w:asciiTheme="minorBidi" w:hAnsiTheme="minorBidi" w:cstheme="minorBidi"/>
                <w:bCs/>
                <w:color w:val="000000" w:themeColor="text1"/>
                <w:sz w:val="18"/>
                <w:szCs w:val="18"/>
              </w:rPr>
              <w:t>watts per capita</w:t>
            </w:r>
            <w:r w:rsidRPr="00770C22">
              <w:rPr>
                <w:rFonts w:asciiTheme="minorBidi" w:hAnsiTheme="minorBidi" w:cstheme="minorBidi"/>
                <w:color w:val="000000" w:themeColor="text1"/>
                <w:sz w:val="18"/>
                <w:szCs w:val="18"/>
              </w:rPr>
              <w:t>)</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6F421ED5"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nil"/>
              <w:bottom w:val="single" w:sz="4" w:space="0" w:color="auto"/>
              <w:right w:val="single" w:sz="4" w:space="0" w:color="auto"/>
            </w:tcBorders>
            <w:vAlign w:val="center"/>
          </w:tcPr>
          <w:p w14:paraId="56A5CF08"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16.1 (2019)</w:t>
            </w:r>
          </w:p>
        </w:tc>
        <w:tc>
          <w:tcPr>
            <w:tcW w:w="1276" w:type="dxa"/>
            <w:tcBorders>
              <w:top w:val="single" w:sz="4" w:space="0" w:color="auto"/>
              <w:bottom w:val="single" w:sz="4" w:space="0" w:color="auto"/>
              <w:right w:val="single" w:sz="4" w:space="0" w:color="auto"/>
            </w:tcBorders>
            <w:shd w:val="clear" w:color="auto" w:fill="auto"/>
            <w:noWrap/>
            <w:vAlign w:val="center"/>
          </w:tcPr>
          <w:p w14:paraId="3204574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19.6</w:t>
            </w:r>
          </w:p>
        </w:tc>
        <w:tc>
          <w:tcPr>
            <w:tcW w:w="1134" w:type="dxa"/>
            <w:tcBorders>
              <w:top w:val="single" w:sz="4" w:space="0" w:color="auto"/>
              <w:bottom w:val="single" w:sz="4" w:space="0" w:color="auto"/>
              <w:right w:val="single" w:sz="4" w:space="0" w:color="auto"/>
            </w:tcBorders>
            <w:vAlign w:val="center"/>
          </w:tcPr>
          <w:p w14:paraId="6B94EB73"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Increase</w:t>
            </w:r>
          </w:p>
        </w:tc>
      </w:tr>
      <w:tr w:rsidR="0071415F" w:rsidRPr="00770C22" w14:paraId="6D3F22F8" w14:textId="77777777" w:rsidTr="00D556CC">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71213" w14:textId="77777777" w:rsidR="0071415F" w:rsidRPr="00770C22" w:rsidRDefault="0071415F" w:rsidP="0071415F">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 xml:space="preserve">Indicator 12.b.1 </w:t>
            </w:r>
            <w:r w:rsidRPr="00770C22">
              <w:rPr>
                <w:rFonts w:asciiTheme="minorBidi" w:hAnsiTheme="minorBidi" w:cstheme="minorBidi"/>
                <w:bCs/>
                <w:color w:val="000000" w:themeColor="text1"/>
                <w:sz w:val="18"/>
                <w:szCs w:val="18"/>
              </w:rPr>
              <w:t xml:space="preserve">Implementation of standard accounting tools to monitor the economic and environmental aspects of tourism </w:t>
            </w:r>
            <w:r w:rsidR="00C66B88" w:rsidRPr="00770C22">
              <w:rPr>
                <w:rFonts w:asciiTheme="minorBidi" w:hAnsiTheme="minorBidi" w:cstheme="minorBidi"/>
                <w:bCs/>
                <w:color w:val="000000" w:themeColor="text1"/>
                <w:sz w:val="18"/>
                <w:szCs w:val="18"/>
              </w:rPr>
              <w:t>sustainability</w:t>
            </w:r>
            <w:r w:rsidR="00C66B88" w:rsidRPr="00770C22">
              <w:rPr>
                <w:rFonts w:asciiTheme="minorBidi" w:hAnsiTheme="minorBidi" w:cstheme="minorBidi"/>
                <w:color w:val="000000" w:themeColor="text1"/>
                <w:sz w:val="18"/>
                <w:szCs w:val="18"/>
              </w:rPr>
              <w:t xml:space="preserve"> Tourism</w:t>
            </w:r>
            <w:r w:rsidRPr="00770C22">
              <w:rPr>
                <w:rFonts w:asciiTheme="minorBidi" w:hAnsiTheme="minorBidi" w:cstheme="minorBidi"/>
                <w:color w:val="000000" w:themeColor="text1"/>
                <w:sz w:val="18"/>
                <w:szCs w:val="18"/>
              </w:rPr>
              <w:t xml:space="preserve"> Satellite Account tables(PCBS, 2020, </w:t>
            </w:r>
            <w:r w:rsidRPr="00770C22">
              <w:rPr>
                <w:rFonts w:asciiTheme="minorBidi" w:hAnsiTheme="minorBidi" w:cstheme="minorBidi"/>
                <w:bCs/>
                <w:color w:val="000000" w:themeColor="text1"/>
                <w:sz w:val="18"/>
                <w:szCs w:val="18"/>
              </w:rPr>
              <w:t>Number</w:t>
            </w:r>
            <w:r w:rsidRPr="00770C22">
              <w:rPr>
                <w:rFonts w:asciiTheme="minorBidi" w:hAnsiTheme="minorBidi" w:cstheme="minorBidi"/>
                <w:color w:val="000000" w:themeColor="text1"/>
                <w:sz w:val="18"/>
                <w:szCs w:val="18"/>
              </w:rPr>
              <w:t>)</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0C1D3C5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Partial</w:t>
            </w:r>
          </w:p>
        </w:tc>
        <w:tc>
          <w:tcPr>
            <w:tcW w:w="1017" w:type="dxa"/>
            <w:tcBorders>
              <w:top w:val="single" w:sz="4" w:space="0" w:color="auto"/>
              <w:left w:val="nil"/>
              <w:bottom w:val="single" w:sz="4" w:space="0" w:color="auto"/>
              <w:right w:val="single" w:sz="4" w:space="0" w:color="auto"/>
            </w:tcBorders>
            <w:vAlign w:val="center"/>
          </w:tcPr>
          <w:p w14:paraId="58A1B75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4 (2018)</w:t>
            </w:r>
          </w:p>
        </w:tc>
        <w:tc>
          <w:tcPr>
            <w:tcW w:w="1276" w:type="dxa"/>
            <w:tcBorders>
              <w:top w:val="single" w:sz="4" w:space="0" w:color="auto"/>
              <w:bottom w:val="single" w:sz="4" w:space="0" w:color="auto"/>
              <w:right w:val="single" w:sz="4" w:space="0" w:color="auto"/>
            </w:tcBorders>
            <w:shd w:val="clear" w:color="auto" w:fill="auto"/>
            <w:noWrap/>
            <w:vAlign w:val="center"/>
          </w:tcPr>
          <w:p w14:paraId="4F03729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4</w:t>
            </w:r>
          </w:p>
        </w:tc>
        <w:tc>
          <w:tcPr>
            <w:tcW w:w="1134" w:type="dxa"/>
            <w:tcBorders>
              <w:top w:val="single" w:sz="4" w:space="0" w:color="auto"/>
              <w:bottom w:val="single" w:sz="4" w:space="0" w:color="auto"/>
              <w:right w:val="single" w:sz="4" w:space="0" w:color="auto"/>
            </w:tcBorders>
            <w:vAlign w:val="center"/>
          </w:tcPr>
          <w:p w14:paraId="52504A4C" w14:textId="77777777" w:rsidR="0071415F" w:rsidRPr="00770C22" w:rsidRDefault="00C66B88"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bl>
    <w:p w14:paraId="2A2D6A5F"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p>
    <w:p w14:paraId="2B56961B" w14:textId="77777777" w:rsidR="0071415F" w:rsidRPr="00F93BFA"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93BFA">
        <w:rPr>
          <w:rFonts w:ascii="Times New Roman" w:hAnsi="Times New Roman" w:cs="Times New Roman"/>
          <w:b/>
          <w:bCs/>
          <w:sz w:val="24"/>
          <w:szCs w:val="24"/>
        </w:rPr>
        <w:t xml:space="preserve">b. Reported </w:t>
      </w:r>
      <w:r w:rsidR="00B80A12">
        <w:rPr>
          <w:rFonts w:ascii="Times New Roman" w:hAnsi="Times New Roman" w:cs="Times New Roman"/>
          <w:b/>
          <w:bCs/>
          <w:sz w:val="24"/>
          <w:szCs w:val="24"/>
        </w:rPr>
        <w:t>i</w:t>
      </w:r>
      <w:r w:rsidRPr="00F93BFA">
        <w:rPr>
          <w:rFonts w:ascii="Times New Roman" w:hAnsi="Times New Roman" w:cs="Times New Roman"/>
          <w:b/>
          <w:bCs/>
          <w:sz w:val="24"/>
          <w:szCs w:val="24"/>
        </w:rPr>
        <w:t xml:space="preserve">ndicators by </w:t>
      </w:r>
      <w:r w:rsidR="00B80A12">
        <w:rPr>
          <w:rFonts w:ascii="Times New Roman" w:hAnsi="Times New Roman" w:cs="Times New Roman"/>
          <w:b/>
          <w:bCs/>
          <w:sz w:val="24"/>
          <w:szCs w:val="24"/>
        </w:rPr>
        <w:t>o</w:t>
      </w:r>
      <w:r w:rsidRPr="00F93BFA">
        <w:rPr>
          <w:rFonts w:ascii="Times New Roman" w:hAnsi="Times New Roman" w:cs="Times New Roman"/>
          <w:b/>
          <w:bCs/>
          <w:sz w:val="24"/>
          <w:szCs w:val="24"/>
        </w:rPr>
        <w:t xml:space="preserve">ther </w:t>
      </w:r>
      <w:r w:rsidR="00B80A12">
        <w:rPr>
          <w:rFonts w:ascii="Times New Roman" w:hAnsi="Times New Roman" w:cs="Times New Roman"/>
          <w:b/>
          <w:bCs/>
          <w:sz w:val="24"/>
          <w:szCs w:val="24"/>
        </w:rPr>
        <w:t>s</w:t>
      </w:r>
      <w:r w:rsidRPr="00F93BFA">
        <w:rPr>
          <w:rFonts w:ascii="Times New Roman" w:hAnsi="Times New Roman" w:cs="Times New Roman"/>
          <w:b/>
          <w:bCs/>
          <w:sz w:val="24"/>
          <w:szCs w:val="24"/>
        </w:rPr>
        <w:t>ources</w:t>
      </w:r>
    </w:p>
    <w:p w14:paraId="33C94A3F"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F93BFA">
        <w:rPr>
          <w:rFonts w:ascii="Times New Roman" w:hAnsi="Times New Roman" w:cs="Times New Roman"/>
          <w:sz w:val="24"/>
          <w:szCs w:val="24"/>
        </w:rPr>
        <w:t xml:space="preserve">There are </w:t>
      </w:r>
      <w:r w:rsidR="00B80A12">
        <w:rPr>
          <w:rFonts w:ascii="Times New Roman" w:hAnsi="Times New Roman" w:cs="Times New Roman"/>
          <w:sz w:val="24"/>
          <w:szCs w:val="24"/>
        </w:rPr>
        <w:t xml:space="preserve">three </w:t>
      </w:r>
      <w:r w:rsidRPr="00F93BFA">
        <w:rPr>
          <w:rFonts w:ascii="Times New Roman" w:hAnsi="Times New Roman" w:cs="Times New Roman"/>
          <w:sz w:val="24"/>
          <w:szCs w:val="24"/>
        </w:rPr>
        <w:t xml:space="preserve">additional </w:t>
      </w:r>
      <w:r w:rsidR="00B80A12">
        <w:rPr>
          <w:rFonts w:ascii="Times New Roman" w:hAnsi="Times New Roman" w:cs="Times New Roman"/>
          <w:sz w:val="24"/>
          <w:szCs w:val="24"/>
        </w:rPr>
        <w:t>indicators</w:t>
      </w:r>
      <w:r w:rsidRPr="00F93BFA">
        <w:rPr>
          <w:rFonts w:ascii="Times New Roman" w:hAnsi="Times New Roman" w:cs="Times New Roman"/>
          <w:sz w:val="24"/>
          <w:szCs w:val="24"/>
        </w:rPr>
        <w:t xml:space="preserve"> reported by other sources that </w:t>
      </w:r>
      <w:r>
        <w:rPr>
          <w:rFonts w:ascii="Times New Roman" w:hAnsi="Times New Roman" w:cs="Times New Roman"/>
          <w:sz w:val="24"/>
          <w:szCs w:val="24"/>
        </w:rPr>
        <w:t xml:space="preserve">are </w:t>
      </w:r>
      <w:r w:rsidRPr="00F93BFA">
        <w:rPr>
          <w:rFonts w:ascii="Times New Roman" w:hAnsi="Times New Roman" w:cs="Times New Roman"/>
          <w:sz w:val="24"/>
          <w:szCs w:val="24"/>
        </w:rPr>
        <w:t xml:space="preserve">available on UNSD-Database for Goal </w:t>
      </w:r>
      <w:r w:rsidRPr="00F93BFA">
        <w:rPr>
          <w:rFonts w:ascii="Times New Roman" w:hAnsi="Times New Roman" w:cs="Times New Roman" w:hint="cs"/>
          <w:sz w:val="24"/>
          <w:szCs w:val="24"/>
          <w:rtl/>
        </w:rPr>
        <w:t>11</w:t>
      </w:r>
      <w:r w:rsidRPr="00F93BFA">
        <w:rPr>
          <w:rFonts w:ascii="Times New Roman" w:hAnsi="Times New Roman" w:cs="Times New Roman"/>
          <w:sz w:val="24"/>
          <w:szCs w:val="24"/>
        </w:rPr>
        <w:t xml:space="preserve"> referring to </w:t>
      </w:r>
      <w:r w:rsidR="00B80A12">
        <w:rPr>
          <w:rFonts w:ascii="Times New Roman" w:hAnsi="Times New Roman" w:cs="Times New Roman"/>
          <w:sz w:val="24"/>
          <w:szCs w:val="24"/>
        </w:rPr>
        <w:t xml:space="preserve">three </w:t>
      </w:r>
      <w:r w:rsidRPr="00F93BFA">
        <w:rPr>
          <w:rFonts w:ascii="Times New Roman" w:hAnsi="Times New Roman" w:cs="Times New Roman"/>
          <w:sz w:val="24"/>
          <w:szCs w:val="24"/>
        </w:rPr>
        <w:t xml:space="preserve">of the </w:t>
      </w:r>
      <w:r w:rsidR="00B80A12">
        <w:rPr>
          <w:rFonts w:ascii="Times New Roman" w:hAnsi="Times New Roman" w:cs="Times New Roman"/>
          <w:sz w:val="24"/>
          <w:szCs w:val="24"/>
        </w:rPr>
        <w:t>seven</w:t>
      </w:r>
      <w:r w:rsidRPr="00F93BFA">
        <w:rPr>
          <w:rFonts w:ascii="Times New Roman" w:hAnsi="Times New Roman" w:cs="Times New Roman"/>
          <w:sz w:val="24"/>
          <w:szCs w:val="24"/>
        </w:rPr>
        <w:t xml:space="preserve"> targets</w:t>
      </w:r>
      <w:r w:rsidR="00B80A12">
        <w:rPr>
          <w:rFonts w:ascii="Times New Roman" w:hAnsi="Times New Roman" w:cs="Times New Roman"/>
          <w:sz w:val="24"/>
          <w:szCs w:val="24"/>
        </w:rPr>
        <w:t>; t</w:t>
      </w:r>
      <w:r w:rsidRPr="001D5BA6">
        <w:rPr>
          <w:rFonts w:ascii="Times New Roman" w:hAnsi="Times New Roman" w:cs="Times New Roman"/>
          <w:sz w:val="24"/>
          <w:szCs w:val="24"/>
        </w:rPr>
        <w:t xml:space="preserve">herefore, </w:t>
      </w:r>
      <w:r>
        <w:rPr>
          <w:rFonts w:ascii="Times New Roman" w:hAnsi="Times New Roman" w:cs="Times New Roman" w:hint="cs"/>
          <w:sz w:val="24"/>
          <w:szCs w:val="24"/>
          <w:rtl/>
        </w:rPr>
        <w:t>63.6</w:t>
      </w:r>
      <w:r>
        <w:rPr>
          <w:rFonts w:ascii="Times New Roman" w:hAnsi="Times New Roman" w:cs="Times New Roman"/>
          <w:sz w:val="24"/>
          <w:szCs w:val="24"/>
        </w:rPr>
        <w:t xml:space="preserve">%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B80A12">
        <w:rPr>
          <w:rFonts w:ascii="Times New Roman" w:hAnsi="Times New Roman" w:cs="Times New Roman"/>
          <w:sz w:val="24"/>
          <w:szCs w:val="24"/>
        </w:rPr>
        <w:t>s</w:t>
      </w:r>
      <w:r w:rsidR="00C66B88" w:rsidRPr="00345E00">
        <w:rPr>
          <w:rFonts w:ascii="Times New Roman" w:hAnsi="Times New Roman" w:cs="Times New Roman"/>
          <w:sz w:val="24"/>
          <w:szCs w:val="24"/>
        </w:rPr>
        <w:t>even</w:t>
      </w:r>
      <w:r w:rsidR="00C66B88">
        <w:rPr>
          <w:rFonts w:ascii="Times New Roman" w:hAnsi="Times New Roman" w:cs="Times New Roman"/>
          <w:sz w:val="24"/>
          <w:szCs w:val="24"/>
        </w:rPr>
        <w:t xml:space="preserve"> out</w:t>
      </w:r>
      <w:r>
        <w:rPr>
          <w:rFonts w:ascii="Times New Roman" w:hAnsi="Times New Roman" w:cs="Times New Roman"/>
          <w:sz w:val="24"/>
          <w:szCs w:val="24"/>
        </w:rPr>
        <w:t xml:space="preserve"> of </w:t>
      </w:r>
      <w:r w:rsidR="00B80A12">
        <w:rPr>
          <w:rFonts w:ascii="Times New Roman" w:hAnsi="Times New Roman" w:cs="Times New Roman"/>
          <w:sz w:val="24"/>
          <w:szCs w:val="24"/>
        </w:rPr>
        <w:t>11</w:t>
      </w:r>
      <w:r>
        <w:rPr>
          <w:rFonts w:ascii="Times New Roman" w:hAnsi="Times New Roman" w:cs="Times New Roman"/>
          <w:sz w:val="24"/>
          <w:szCs w:val="24"/>
        </w:rPr>
        <w:t>)</w:t>
      </w:r>
      <w:r w:rsidR="00B80A12">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B80A12">
        <w:rPr>
          <w:rFonts w:ascii="Times New Roman" w:hAnsi="Times New Roman" w:cs="Times New Roman"/>
          <w:sz w:val="24"/>
          <w:szCs w:val="24"/>
        </w:rPr>
        <w:t xml:space="preserve"> covered.</w:t>
      </w:r>
    </w:p>
    <w:p w14:paraId="4C3234D1" w14:textId="77777777" w:rsidR="0071415F" w:rsidRDefault="0071415F" w:rsidP="0071415F">
      <w:pPr>
        <w:bidi w:val="0"/>
        <w:spacing w:after="0" w:line="240" w:lineRule="auto"/>
        <w:rPr>
          <w:rFonts w:ascii="Times New Roman" w:hAnsi="Times New Roman" w:cs="Times New Roman"/>
          <w:color w:val="FF0000"/>
          <w:sz w:val="24"/>
          <w:szCs w:val="24"/>
        </w:rPr>
      </w:pPr>
    </w:p>
    <w:p w14:paraId="3D211F47" w14:textId="77777777" w:rsidR="0071415F" w:rsidRPr="00770C22" w:rsidRDefault="0071415F" w:rsidP="0071415F">
      <w:pPr>
        <w:bidi w:val="0"/>
        <w:spacing w:after="0" w:line="240" w:lineRule="auto"/>
        <w:jc w:val="center"/>
        <w:rPr>
          <w:rFonts w:asciiTheme="minorBidi" w:hAnsiTheme="minorBidi" w:cstheme="minorBidi"/>
          <w:b/>
          <w:bCs/>
          <w:lang w:eastAsia="ar-SA"/>
        </w:rPr>
      </w:pPr>
      <w:r w:rsidRPr="00770C22">
        <w:rPr>
          <w:rFonts w:asciiTheme="minorBidi" w:hAnsiTheme="minorBidi" w:cstheme="minorBidi"/>
          <w:b/>
          <w:bCs/>
          <w:lang w:eastAsia="ar-SA"/>
        </w:rPr>
        <w:t xml:space="preserve">Table </w:t>
      </w:r>
      <w:r w:rsidRPr="00770C22">
        <w:rPr>
          <w:rFonts w:asciiTheme="minorBidi" w:hAnsiTheme="minorBidi" w:cstheme="minorBidi"/>
          <w:b/>
          <w:bCs/>
          <w:rtl/>
          <w:lang w:eastAsia="ar-SA"/>
        </w:rPr>
        <w:t>12.2</w:t>
      </w:r>
      <w:r w:rsidRPr="00770C22">
        <w:rPr>
          <w:rFonts w:asciiTheme="minorBidi" w:hAnsiTheme="minorBidi" w:cstheme="minorBidi"/>
          <w:b/>
          <w:bCs/>
          <w:lang w:eastAsia="ar-SA"/>
        </w:rPr>
        <w:t xml:space="preserve">: List of SDGs </w:t>
      </w:r>
      <w:r w:rsidR="00B80A12">
        <w:rPr>
          <w:rFonts w:asciiTheme="minorBidi" w:hAnsiTheme="minorBidi" w:cstheme="minorBidi"/>
          <w:b/>
          <w:bCs/>
          <w:lang w:eastAsia="ar-SA"/>
        </w:rPr>
        <w:t>I</w:t>
      </w:r>
      <w:r w:rsidRPr="00770C22">
        <w:rPr>
          <w:rFonts w:asciiTheme="minorBidi" w:hAnsiTheme="minorBidi" w:cstheme="minorBidi"/>
          <w:b/>
          <w:bCs/>
          <w:lang w:eastAsia="ar-SA"/>
        </w:rPr>
        <w:t xml:space="preserve">ndicators </w:t>
      </w:r>
      <w:r w:rsidR="00B80A12">
        <w:rPr>
          <w:rFonts w:asciiTheme="minorBidi" w:hAnsiTheme="minorBidi" w:cstheme="minorBidi"/>
          <w:b/>
          <w:bCs/>
          <w:lang w:eastAsia="ar-SA"/>
        </w:rPr>
        <w:t>R</w:t>
      </w:r>
      <w:r w:rsidRPr="00770C22">
        <w:rPr>
          <w:rFonts w:asciiTheme="minorBidi" w:hAnsiTheme="minorBidi" w:cstheme="minorBidi"/>
          <w:b/>
          <w:bCs/>
          <w:lang w:eastAsia="ar-SA"/>
        </w:rPr>
        <w:t xml:space="preserve">eleased by </w:t>
      </w:r>
      <w:r w:rsidRPr="00770C22">
        <w:rPr>
          <w:rFonts w:asciiTheme="minorBidi" w:hAnsiTheme="minorBidi" w:cstheme="minorBidi"/>
          <w:b/>
          <w:bCs/>
        </w:rPr>
        <w:t>Other Sources</w:t>
      </w:r>
    </w:p>
    <w:p w14:paraId="3AB9A91B"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770C22" w14:paraId="6C382F2B" w14:textId="77777777" w:rsidTr="0071415F">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94121"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35648467" w14:textId="77777777" w:rsidR="0071415F" w:rsidRPr="00770C22" w:rsidRDefault="0071415F" w:rsidP="0071415F">
            <w:pPr>
              <w:bidi w:val="0"/>
              <w:spacing w:after="0" w:line="240" w:lineRule="auto"/>
              <w:jc w:val="center"/>
              <w:rPr>
                <w:rFonts w:asciiTheme="minorBidi" w:hAnsiTheme="minorBidi" w:cstheme="minorBidi"/>
              </w:rPr>
            </w:pPr>
            <w:r w:rsidRPr="00770C22">
              <w:rPr>
                <w:rFonts w:asciiTheme="minorBidi" w:hAnsiTheme="minorBidi" w:cstheme="minorBidi"/>
                <w:b/>
                <w:bCs/>
                <w:sz w:val="18"/>
                <w:szCs w:val="18"/>
              </w:rPr>
              <w:t>Most Recent Year</w:t>
            </w:r>
          </w:p>
        </w:tc>
      </w:tr>
      <w:tr w:rsidR="0071415F" w:rsidRPr="00770C22" w14:paraId="0C82D784" w14:textId="77777777" w:rsidTr="00A063ED">
        <w:trPr>
          <w:trHeight w:val="389"/>
        </w:trPr>
        <w:tc>
          <w:tcPr>
            <w:tcW w:w="6826" w:type="dxa"/>
            <w:tcBorders>
              <w:top w:val="single" w:sz="4" w:space="0" w:color="auto"/>
              <w:left w:val="single" w:sz="4" w:space="0" w:color="auto"/>
              <w:right w:val="single" w:sz="4" w:space="0" w:color="auto"/>
            </w:tcBorders>
            <w:shd w:val="clear" w:color="auto" w:fill="auto"/>
            <w:noWrap/>
            <w:vAlign w:val="center"/>
          </w:tcPr>
          <w:p w14:paraId="427676F6" w14:textId="77777777" w:rsidR="0071415F" w:rsidRPr="00770C22" w:rsidRDefault="0071415F" w:rsidP="0071415F">
            <w:pPr>
              <w:tabs>
                <w:tab w:val="left" w:pos="9072"/>
              </w:tabs>
              <w:bidi w:val="0"/>
              <w:spacing w:after="0" w:line="240" w:lineRule="auto"/>
              <w:rPr>
                <w:rFonts w:asciiTheme="minorBidi" w:hAnsiTheme="minorBidi" w:cstheme="minorBidi"/>
                <w:color w:val="000000"/>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tl/>
              </w:rPr>
              <w:t>12</w:t>
            </w:r>
            <w:r w:rsidRPr="00770C22">
              <w:rPr>
                <w:rFonts w:asciiTheme="minorBidi" w:hAnsiTheme="minorBidi" w:cstheme="minorBidi"/>
                <w:b/>
                <w:bCs/>
                <w:color w:val="000000" w:themeColor="text1"/>
                <w:sz w:val="18"/>
                <w:szCs w:val="18"/>
              </w:rPr>
              <w:t>.3.</w:t>
            </w:r>
            <w:r w:rsidRPr="00770C22">
              <w:rPr>
                <w:rFonts w:asciiTheme="minorBidi" w:hAnsiTheme="minorBidi" w:cstheme="minorBidi"/>
                <w:color w:val="000000" w:themeColor="text1"/>
                <w:sz w:val="18"/>
                <w:szCs w:val="18"/>
                <w:rtl/>
              </w:rPr>
              <w:t>1</w:t>
            </w:r>
            <w:r w:rsidRPr="00770C22">
              <w:rPr>
                <w:rFonts w:asciiTheme="minorBidi" w:hAnsiTheme="minorBidi" w:cstheme="minorBidi"/>
                <w:color w:val="000000" w:themeColor="text1"/>
                <w:sz w:val="18"/>
                <w:szCs w:val="18"/>
              </w:rPr>
              <w:t xml:space="preserve"> Food loss index and food waste index</w:t>
            </w:r>
          </w:p>
        </w:tc>
        <w:tc>
          <w:tcPr>
            <w:tcW w:w="2234" w:type="dxa"/>
            <w:tcBorders>
              <w:top w:val="single" w:sz="4" w:space="0" w:color="auto"/>
              <w:left w:val="nil"/>
              <w:right w:val="single" w:sz="4" w:space="0" w:color="auto"/>
            </w:tcBorders>
            <w:vAlign w:val="center"/>
          </w:tcPr>
          <w:p w14:paraId="55BE9C66" w14:textId="77777777" w:rsidR="0071415F" w:rsidRPr="00770C22" w:rsidRDefault="00A063ED" w:rsidP="00A063ED">
            <w:pPr>
              <w:spacing w:after="0" w:line="240" w:lineRule="auto"/>
              <w:ind w:right="57"/>
              <w:jc w:val="center"/>
              <w:rPr>
                <w:rFonts w:asciiTheme="minorBidi" w:hAnsiTheme="minorBidi" w:cstheme="minorBidi"/>
                <w:color w:val="000000"/>
                <w:sz w:val="18"/>
                <w:szCs w:val="18"/>
              </w:rPr>
            </w:pPr>
            <w:r w:rsidRPr="00770C22">
              <w:rPr>
                <w:rFonts w:asciiTheme="minorBidi" w:hAnsiTheme="minorBidi" w:cstheme="minorBidi"/>
                <w:color w:val="000000"/>
                <w:sz w:val="18"/>
                <w:szCs w:val="18"/>
                <w:rtl/>
              </w:rPr>
              <w:t>2019</w:t>
            </w:r>
          </w:p>
        </w:tc>
      </w:tr>
      <w:tr w:rsidR="0071415F" w:rsidRPr="00770C22" w14:paraId="04653565" w14:textId="77777777" w:rsidTr="00A063ED">
        <w:trPr>
          <w:trHeight w:val="389"/>
        </w:trPr>
        <w:tc>
          <w:tcPr>
            <w:tcW w:w="6826" w:type="dxa"/>
            <w:tcBorders>
              <w:top w:val="single" w:sz="4" w:space="0" w:color="auto"/>
              <w:left w:val="single" w:sz="4" w:space="0" w:color="auto"/>
              <w:right w:val="single" w:sz="4" w:space="0" w:color="auto"/>
            </w:tcBorders>
            <w:shd w:val="clear" w:color="auto" w:fill="auto"/>
            <w:noWrap/>
            <w:vAlign w:val="center"/>
          </w:tcPr>
          <w:p w14:paraId="129289FE" w14:textId="77777777" w:rsidR="0071415F" w:rsidRPr="00770C22" w:rsidRDefault="0071415F" w:rsidP="0071415F">
            <w:pPr>
              <w:tabs>
                <w:tab w:val="left" w:pos="9072"/>
              </w:tabs>
              <w:bidi w:val="0"/>
              <w:spacing w:after="0" w:line="240" w:lineRule="auto"/>
              <w:rPr>
                <w:rFonts w:asciiTheme="minorBidi" w:hAnsiTheme="minorBidi" w:cstheme="minorBidi"/>
                <w:color w:val="777777"/>
                <w:sz w:val="18"/>
                <w:szCs w:val="18"/>
                <w:shd w:val="clear" w:color="auto" w:fill="F5F5F5"/>
              </w:rPr>
            </w:pPr>
            <w:r w:rsidRPr="00770C22">
              <w:rPr>
                <w:rFonts w:asciiTheme="minorBidi" w:hAnsiTheme="minorBidi" w:cstheme="minorBidi"/>
                <w:b/>
                <w:color w:val="000000" w:themeColor="text1"/>
                <w:sz w:val="18"/>
                <w:szCs w:val="18"/>
              </w:rPr>
              <w:t>Indicator 12.4.2</w:t>
            </w:r>
            <w:r w:rsidRPr="00770C22">
              <w:rPr>
                <w:rFonts w:asciiTheme="minorBidi" w:hAnsiTheme="minorBidi" w:cstheme="minorBidi"/>
                <w:color w:val="000000" w:themeColor="text1"/>
                <w:sz w:val="18"/>
                <w:szCs w:val="18"/>
              </w:rPr>
              <w:t xml:space="preserve"> Hazardous waste generated per capita</w:t>
            </w:r>
            <w:r w:rsidRPr="00770C22">
              <w:rPr>
                <w:rFonts w:asciiTheme="minorBidi" w:hAnsiTheme="minorBidi" w:cstheme="minorBidi"/>
                <w:color w:val="777777"/>
                <w:sz w:val="18"/>
                <w:szCs w:val="18"/>
                <w:shd w:val="clear" w:color="auto" w:fill="F5F5F5"/>
              </w:rPr>
              <w:t xml:space="preserve"> a</w:t>
            </w:r>
            <w:r w:rsidRPr="00770C22">
              <w:rPr>
                <w:rFonts w:asciiTheme="minorBidi" w:hAnsiTheme="minorBidi" w:cstheme="minorBidi"/>
                <w:color w:val="000000" w:themeColor="text1"/>
                <w:sz w:val="18"/>
                <w:szCs w:val="18"/>
              </w:rPr>
              <w:t xml:space="preserve">nd </w:t>
            </w:r>
            <w:r w:rsidR="00B80A12">
              <w:rPr>
                <w:rFonts w:asciiTheme="minorBidi" w:hAnsiTheme="minorBidi" w:cstheme="minorBidi"/>
                <w:color w:val="000000" w:themeColor="text1"/>
                <w:sz w:val="18"/>
                <w:szCs w:val="18"/>
              </w:rPr>
              <w:t>h</w:t>
            </w:r>
            <w:r w:rsidRPr="00770C22">
              <w:rPr>
                <w:rFonts w:asciiTheme="minorBidi" w:hAnsiTheme="minorBidi" w:cstheme="minorBidi"/>
                <w:color w:val="000000" w:themeColor="text1"/>
                <w:sz w:val="18"/>
                <w:szCs w:val="18"/>
              </w:rPr>
              <w:t>azardous waste treated, by type of treatment</w:t>
            </w:r>
          </w:p>
        </w:tc>
        <w:tc>
          <w:tcPr>
            <w:tcW w:w="2234" w:type="dxa"/>
            <w:tcBorders>
              <w:top w:val="single" w:sz="4" w:space="0" w:color="auto"/>
              <w:left w:val="nil"/>
              <w:right w:val="single" w:sz="4" w:space="0" w:color="auto"/>
            </w:tcBorders>
            <w:vAlign w:val="center"/>
          </w:tcPr>
          <w:p w14:paraId="1AC4A11A" w14:textId="77777777" w:rsidR="0071415F" w:rsidRPr="00770C22" w:rsidRDefault="00A063ED" w:rsidP="00A063ED">
            <w:pPr>
              <w:spacing w:after="0" w:line="240" w:lineRule="auto"/>
              <w:ind w:right="57"/>
              <w:jc w:val="center"/>
              <w:rPr>
                <w:rFonts w:asciiTheme="minorBidi" w:hAnsiTheme="minorBidi" w:cstheme="minorBidi"/>
                <w:color w:val="000000"/>
                <w:sz w:val="18"/>
                <w:szCs w:val="18"/>
                <w:rtl/>
              </w:rPr>
            </w:pPr>
            <w:r w:rsidRPr="00770C22">
              <w:rPr>
                <w:rFonts w:asciiTheme="minorBidi" w:hAnsiTheme="minorBidi" w:cstheme="minorBidi"/>
                <w:color w:val="000000"/>
                <w:sz w:val="18"/>
                <w:szCs w:val="18"/>
                <w:rtl/>
              </w:rPr>
              <w:t>2014</w:t>
            </w:r>
          </w:p>
        </w:tc>
      </w:tr>
      <w:tr w:rsidR="0071415F" w:rsidRPr="00770C22" w14:paraId="6FFE9E5E" w14:textId="77777777" w:rsidTr="00A063ED">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E1A17"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Indicator12.6.1</w:t>
            </w:r>
            <w:r w:rsidRPr="00770C22">
              <w:rPr>
                <w:rFonts w:asciiTheme="minorBidi" w:hAnsiTheme="minorBidi" w:cstheme="minorBidi"/>
                <w:color w:val="000000" w:themeColor="text1"/>
                <w:sz w:val="18"/>
                <w:szCs w:val="18"/>
              </w:rPr>
              <w:t>Number of companies publishing sustainability reports</w:t>
            </w:r>
          </w:p>
        </w:tc>
        <w:tc>
          <w:tcPr>
            <w:tcW w:w="2234" w:type="dxa"/>
            <w:tcBorders>
              <w:top w:val="single" w:sz="4" w:space="0" w:color="auto"/>
              <w:left w:val="nil"/>
              <w:bottom w:val="single" w:sz="4" w:space="0" w:color="auto"/>
              <w:right w:val="single" w:sz="4" w:space="0" w:color="auto"/>
            </w:tcBorders>
            <w:vAlign w:val="center"/>
          </w:tcPr>
          <w:p w14:paraId="4CFBB940" w14:textId="77777777" w:rsidR="0071415F" w:rsidRPr="00770C22" w:rsidRDefault="0071415F" w:rsidP="00A063ED">
            <w:pPr>
              <w:spacing w:after="0" w:line="240" w:lineRule="auto"/>
              <w:ind w:right="57"/>
              <w:jc w:val="center"/>
              <w:rPr>
                <w:rFonts w:asciiTheme="minorBidi" w:hAnsiTheme="minorBidi" w:cstheme="minorBidi"/>
                <w:color w:val="000000"/>
                <w:sz w:val="18"/>
                <w:szCs w:val="18"/>
                <w:rtl/>
              </w:rPr>
            </w:pPr>
            <w:r w:rsidRPr="00770C22">
              <w:rPr>
                <w:rFonts w:asciiTheme="minorBidi" w:hAnsiTheme="minorBidi" w:cstheme="minorBidi"/>
                <w:color w:val="000000"/>
                <w:sz w:val="18"/>
                <w:szCs w:val="18"/>
                <w:rtl/>
              </w:rPr>
              <w:t>2020</w:t>
            </w:r>
          </w:p>
        </w:tc>
      </w:tr>
    </w:tbl>
    <w:p w14:paraId="160E7F5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tl/>
        </w:rPr>
      </w:pPr>
    </w:p>
    <w:p w14:paraId="45385545"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F06366">
        <w:rPr>
          <w:rFonts w:ascii="Times New Roman" w:hAnsi="Times New Roman" w:cs="Times New Roman"/>
          <w:b/>
          <w:bCs/>
          <w:i/>
          <w:iCs/>
          <w:sz w:val="24"/>
          <w:szCs w:val="24"/>
        </w:rPr>
        <w:t xml:space="preserve">Indicator </w:t>
      </w:r>
      <w:r w:rsidRPr="00F06366">
        <w:rPr>
          <w:rFonts w:ascii="Times New Roman" w:hAnsi="Times New Roman" w:cs="Times New Roman"/>
          <w:b/>
          <w:bCs/>
          <w:i/>
          <w:iCs/>
          <w:sz w:val="24"/>
          <w:szCs w:val="24"/>
          <w:rtl/>
        </w:rPr>
        <w:t>12.1.1</w:t>
      </w:r>
      <w:r w:rsidRPr="00F06366">
        <w:rPr>
          <w:rFonts w:ascii="Times New Roman" w:hAnsi="Times New Roman" w:cs="Times New Roman"/>
          <w:b/>
          <w:bCs/>
          <w:i/>
          <w:iCs/>
          <w:sz w:val="24"/>
          <w:szCs w:val="24"/>
        </w:rPr>
        <w:t xml:space="preserve"> Number of countries with sustainable consumption and production (SCP) national action plans or SCP mainstreamed as a priority or target into national policies</w:t>
      </w:r>
    </w:p>
    <w:p w14:paraId="1D2C0D0A" w14:textId="77777777" w:rsidR="00A92234" w:rsidRPr="00F06366"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3DFCEB5C" w14:textId="77777777" w:rsidR="0071415F" w:rsidRPr="000D2E4D" w:rsidRDefault="0071415F" w:rsidP="0071415F">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Environmental Quality Authority prepared the National Plan for Sustainable Production and Consumption 2017-2022, in cooperation with all relevant parties, which are aimed at protecting the Palestinian environment and ensuring its sustainability through the perpetuation of sustainable production and consumption patterns and the effective and sustainable management of our natural resources.</w:t>
      </w:r>
    </w:p>
    <w:p w14:paraId="2ADE0123" w14:textId="77777777" w:rsidR="0071415F" w:rsidRPr="00966878" w:rsidRDefault="0071415F" w:rsidP="00E6392C">
      <w:pPr>
        <w:autoSpaceDE w:val="0"/>
        <w:autoSpaceDN w:val="0"/>
        <w:bidi w:val="0"/>
        <w:adjustRightInd w:val="0"/>
        <w:spacing w:after="0" w:line="240" w:lineRule="auto"/>
        <w:rPr>
          <w:rFonts w:ascii="Times New Roman" w:hAnsi="Times New Roman" w:cs="Times New Roman"/>
          <w:color w:val="000000" w:themeColor="text1"/>
          <w:sz w:val="24"/>
          <w:szCs w:val="24"/>
        </w:rPr>
      </w:pPr>
    </w:p>
    <w:p w14:paraId="21DE77F4"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F06366">
        <w:rPr>
          <w:rFonts w:ascii="Times New Roman" w:hAnsi="Times New Roman" w:cs="Times New Roman"/>
          <w:b/>
          <w:bCs/>
          <w:i/>
          <w:iCs/>
          <w:sz w:val="24"/>
          <w:szCs w:val="24"/>
        </w:rPr>
        <w:t>SDG 12.4.1 Number of parties to international multilateral environmental agreements on hazardous waste, and other chemicals that meet their commitments and obligations in transmitting information as required by each relevant agreement</w:t>
      </w:r>
    </w:p>
    <w:p w14:paraId="6EAC961E" w14:textId="77777777" w:rsidR="00A92234" w:rsidRPr="00F06366"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6E07EBDD"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 xml:space="preserve">The </w:t>
      </w:r>
      <w:r w:rsidR="00B80A12">
        <w:rPr>
          <w:rFonts w:ascii="Times New Roman" w:hAnsi="Times New Roman" w:cs="Times New Roman"/>
          <w:sz w:val="24"/>
          <w:szCs w:val="24"/>
        </w:rPr>
        <w:t>a</w:t>
      </w:r>
      <w:r w:rsidRPr="00F06366">
        <w:rPr>
          <w:rFonts w:ascii="Times New Roman" w:hAnsi="Times New Roman" w:cs="Times New Roman"/>
          <w:sz w:val="24"/>
          <w:szCs w:val="24"/>
        </w:rPr>
        <w:t xml:space="preserve">greements related to this indicator include </w:t>
      </w:r>
      <w:r w:rsidR="00B80A12">
        <w:rPr>
          <w:rFonts w:ascii="Times New Roman" w:hAnsi="Times New Roman" w:cs="Times New Roman"/>
          <w:sz w:val="24"/>
          <w:szCs w:val="24"/>
        </w:rPr>
        <w:t>t</w:t>
      </w:r>
      <w:r w:rsidRPr="00F06366">
        <w:rPr>
          <w:rFonts w:ascii="Times New Roman" w:hAnsi="Times New Roman" w:cs="Times New Roman"/>
          <w:sz w:val="24"/>
          <w:szCs w:val="24"/>
        </w:rPr>
        <w:t xml:space="preserve">he Basel, the Stockholm, the Rotterdam and the Mina Mata Convention, </w:t>
      </w:r>
      <w:r w:rsidR="00B80A12">
        <w:rPr>
          <w:rFonts w:ascii="Times New Roman" w:hAnsi="Times New Roman" w:cs="Times New Roman"/>
          <w:sz w:val="24"/>
          <w:szCs w:val="24"/>
        </w:rPr>
        <w:t>in addition to</w:t>
      </w:r>
      <w:r w:rsidRPr="00F06366">
        <w:rPr>
          <w:rFonts w:ascii="Times New Roman" w:hAnsi="Times New Roman" w:cs="Times New Roman"/>
          <w:sz w:val="24"/>
          <w:szCs w:val="24"/>
        </w:rPr>
        <w:t xml:space="preserve"> the Montreal Protocol.</w:t>
      </w:r>
    </w:p>
    <w:p w14:paraId="40F07DF0"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651C3561"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In 2015, Palestine ratified the Basel Convention on the Control of Transboundary Movements of Hazardous Wastes and Their Disposal.</w:t>
      </w:r>
    </w:p>
    <w:p w14:paraId="0638B83D"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900A226"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Palestine also acceded to the Stockholm Convention on Persistent Organic Pollutants and the Rotterdam Convention on the prior informed consent procedure for certain hazardous chemicals and pesticides in international trade, while acced</w:t>
      </w:r>
      <w:r w:rsidR="00B80A12">
        <w:rPr>
          <w:rFonts w:ascii="Times New Roman" w:hAnsi="Times New Roman" w:cs="Times New Roman"/>
          <w:sz w:val="24"/>
          <w:szCs w:val="24"/>
        </w:rPr>
        <w:t>ing</w:t>
      </w:r>
      <w:r w:rsidRPr="00F06366">
        <w:rPr>
          <w:rFonts w:ascii="Times New Roman" w:hAnsi="Times New Roman" w:cs="Times New Roman"/>
          <w:sz w:val="24"/>
          <w:szCs w:val="24"/>
        </w:rPr>
        <w:t xml:space="preserve"> to the Montreal Protocol on Substances that Deplete the Ozone Layer in 2019.</w:t>
      </w:r>
    </w:p>
    <w:p w14:paraId="3859692B"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9245689" w14:textId="77777777" w:rsidR="006E49BE" w:rsidRPr="00966878"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2189D49"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lastRenderedPageBreak/>
        <w:t>Indicator 12.8.1 Extent to which (i) global citizenship education and (ii) education for sustainable development (including climate change education) are mainstreamed in (a) national education policies; (b) curricula; (c) teacher education; and (d) student assessment</w:t>
      </w:r>
    </w:p>
    <w:p w14:paraId="6556D95A"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FDD37BF"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Data for 2020 indicates that the </w:t>
      </w:r>
      <w:r w:rsidR="00B80A12">
        <w:rPr>
          <w:rFonts w:ascii="Times New Roman" w:hAnsi="Times New Roman" w:cs="Times New Roman"/>
          <w:color w:val="000000" w:themeColor="text1"/>
          <w:sz w:val="24"/>
          <w:szCs w:val="24"/>
        </w:rPr>
        <w:t>e</w:t>
      </w:r>
      <w:r w:rsidRPr="00966878">
        <w:rPr>
          <w:rFonts w:ascii="Times New Roman" w:hAnsi="Times New Roman" w:cs="Times New Roman"/>
          <w:color w:val="000000" w:themeColor="text1"/>
          <w:sz w:val="24"/>
          <w:szCs w:val="24"/>
        </w:rPr>
        <w:t xml:space="preserve">xtent to which global citizenship education and education for sustainable development (including climate change education) in Palestine </w:t>
      </w:r>
      <w:r w:rsidR="00B80A12">
        <w:rPr>
          <w:rFonts w:ascii="Times New Roman" w:hAnsi="Times New Roman" w:cs="Times New Roman"/>
          <w:color w:val="000000" w:themeColor="text1"/>
          <w:sz w:val="24"/>
          <w:szCs w:val="24"/>
        </w:rPr>
        <w:t>was</w:t>
      </w:r>
      <w:r w:rsidRPr="00966878">
        <w:rPr>
          <w:rFonts w:ascii="Times New Roman" w:hAnsi="Times New Roman" w:cs="Times New Roman"/>
          <w:color w:val="000000" w:themeColor="text1"/>
          <w:sz w:val="24"/>
          <w:szCs w:val="24"/>
        </w:rPr>
        <w:t xml:space="preserve"> mainstreamed in national education policies</w:t>
      </w:r>
      <w:r w:rsidR="00B80A12">
        <w:rPr>
          <w:rFonts w:ascii="Times New Roman" w:hAnsi="Times New Roman" w:cs="Times New Roman"/>
          <w:color w:val="000000" w:themeColor="text1"/>
          <w:sz w:val="24"/>
          <w:szCs w:val="24"/>
        </w:rPr>
        <w:t>. This figure</w:t>
      </w:r>
      <w:r w:rsidRPr="00966878">
        <w:rPr>
          <w:rFonts w:ascii="Times New Roman" w:hAnsi="Times New Roman" w:cs="Times New Roman"/>
          <w:color w:val="000000" w:themeColor="text1"/>
          <w:sz w:val="24"/>
          <w:szCs w:val="24"/>
        </w:rPr>
        <w:t xml:space="preserve"> reached </w:t>
      </w:r>
      <w:r w:rsidR="00B80A12">
        <w:rPr>
          <w:rFonts w:ascii="Times New Roman" w:hAnsi="Times New Roman" w:cs="Times New Roman"/>
          <w:color w:val="000000" w:themeColor="text1"/>
          <w:sz w:val="24"/>
          <w:szCs w:val="24"/>
        </w:rPr>
        <w:t>an</w:t>
      </w:r>
      <w:r>
        <w:rPr>
          <w:rFonts w:ascii="Times New Roman" w:hAnsi="Times New Roman" w:cs="Times New Roman"/>
          <w:color w:val="000000" w:themeColor="text1"/>
          <w:sz w:val="24"/>
          <w:szCs w:val="24"/>
        </w:rPr>
        <w:t xml:space="preserve"> index of </w:t>
      </w:r>
      <w:r w:rsidRPr="00966878">
        <w:rPr>
          <w:rFonts w:ascii="Times New Roman" w:hAnsi="Times New Roman" w:cs="Times New Roman"/>
          <w:color w:val="000000" w:themeColor="text1"/>
          <w:sz w:val="24"/>
          <w:szCs w:val="24"/>
        </w:rPr>
        <w:t xml:space="preserve">0.875, while it </w:t>
      </w:r>
      <w:r w:rsidR="00B80A12">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0.708 for curricula,  0.800 for teacher education, and 0.833 for student assessment.</w:t>
      </w:r>
    </w:p>
    <w:p w14:paraId="74B0835C"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2AC4C9F"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12.a.1 Installed renewable energy-generating capacity in developing countries (in watts per capita)</w:t>
      </w:r>
    </w:p>
    <w:p w14:paraId="17042E54"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67219B2" w14:textId="77777777"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Installed renewable energy-generating capacity in Palestine </w:t>
      </w:r>
      <w:r w:rsidR="000E2938">
        <w:rPr>
          <w:rFonts w:ascii="Times New Roman" w:hAnsi="Times New Roman" w:cs="Times New Roman"/>
          <w:color w:val="000000" w:themeColor="text1"/>
          <w:sz w:val="24"/>
          <w:szCs w:val="24"/>
        </w:rPr>
        <w:t>marked</w:t>
      </w:r>
      <w:r w:rsidRPr="00966878">
        <w:rPr>
          <w:rFonts w:ascii="Times New Roman" w:hAnsi="Times New Roman" w:cs="Times New Roman"/>
          <w:color w:val="000000" w:themeColor="text1"/>
          <w:sz w:val="24"/>
          <w:szCs w:val="24"/>
        </w:rPr>
        <w:t xml:space="preserve"> 19.6 watts per capita for 2020, compared with 16.1 watts per capita for 2019.</w:t>
      </w:r>
    </w:p>
    <w:p w14:paraId="32507896" w14:textId="77777777" w:rsidR="0071415F" w:rsidRDefault="0071415F" w:rsidP="0071415F">
      <w:pPr>
        <w:bidi w:val="0"/>
        <w:spacing w:after="0" w:line="240" w:lineRule="auto"/>
        <w:ind w:right="-334"/>
        <w:jc w:val="center"/>
        <w:rPr>
          <w:rFonts w:ascii="Times New Roman" w:hAnsi="Times New Roman" w:cs="Times New Roman"/>
          <w:color w:val="FF0000"/>
          <w:sz w:val="24"/>
          <w:szCs w:val="24"/>
        </w:rPr>
      </w:pPr>
    </w:p>
    <w:p w14:paraId="542EF1CD" w14:textId="77777777" w:rsidR="0071415F" w:rsidRPr="0086098A" w:rsidRDefault="0071415F" w:rsidP="0071415F">
      <w:pPr>
        <w:bidi w:val="0"/>
        <w:spacing w:after="0" w:line="240" w:lineRule="auto"/>
        <w:ind w:right="-334"/>
        <w:jc w:val="center"/>
        <w:rPr>
          <w:rFonts w:ascii="Times New Roman" w:hAnsi="Times New Roman" w:cs="Times New Roman"/>
          <w:color w:val="FF0000"/>
          <w:sz w:val="12"/>
          <w:szCs w:val="12"/>
        </w:rPr>
      </w:pPr>
    </w:p>
    <w:p w14:paraId="27FF211D" w14:textId="77777777" w:rsidR="0071415F" w:rsidRPr="00770C22" w:rsidRDefault="0071415F" w:rsidP="00E67BA8">
      <w:pPr>
        <w:bidi w:val="0"/>
        <w:spacing w:after="0" w:line="240" w:lineRule="auto"/>
        <w:ind w:right="-334"/>
        <w:jc w:val="center"/>
        <w:rPr>
          <w:rFonts w:asciiTheme="minorBidi" w:hAnsiTheme="minorBidi" w:cstheme="minorBidi"/>
          <w:b/>
          <w:bCs/>
          <w:color w:val="000000" w:themeColor="text1"/>
        </w:rPr>
      </w:pPr>
      <w:r w:rsidRPr="00770C22">
        <w:rPr>
          <w:rFonts w:asciiTheme="minorBidi" w:hAnsiTheme="minorBidi" w:cstheme="minorBidi"/>
          <w:b/>
          <w:bCs/>
          <w:color w:val="000000" w:themeColor="text1"/>
        </w:rPr>
        <w:t xml:space="preserve">Installed </w:t>
      </w:r>
      <w:r w:rsidR="000E2938">
        <w:rPr>
          <w:rFonts w:asciiTheme="minorBidi" w:hAnsiTheme="minorBidi" w:cstheme="minorBidi"/>
          <w:b/>
          <w:bCs/>
          <w:color w:val="000000" w:themeColor="text1"/>
        </w:rPr>
        <w:t>R</w:t>
      </w:r>
      <w:r w:rsidRPr="00770C22">
        <w:rPr>
          <w:rFonts w:asciiTheme="minorBidi" w:hAnsiTheme="minorBidi" w:cstheme="minorBidi"/>
          <w:b/>
          <w:bCs/>
          <w:color w:val="000000" w:themeColor="text1"/>
        </w:rPr>
        <w:t xml:space="preserve">enewable </w:t>
      </w:r>
      <w:r w:rsidR="000E2938">
        <w:rPr>
          <w:rFonts w:asciiTheme="minorBidi" w:hAnsiTheme="minorBidi" w:cstheme="minorBidi"/>
          <w:b/>
          <w:bCs/>
          <w:color w:val="000000" w:themeColor="text1"/>
        </w:rPr>
        <w:t>E</w:t>
      </w:r>
      <w:r w:rsidRPr="00770C22">
        <w:rPr>
          <w:rFonts w:asciiTheme="minorBidi" w:hAnsiTheme="minorBidi" w:cstheme="minorBidi"/>
          <w:b/>
          <w:bCs/>
          <w:color w:val="000000" w:themeColor="text1"/>
        </w:rPr>
        <w:t xml:space="preserve">nergy-generating </w:t>
      </w:r>
      <w:r w:rsidR="000E2938">
        <w:rPr>
          <w:rFonts w:asciiTheme="minorBidi" w:hAnsiTheme="minorBidi" w:cstheme="minorBidi"/>
          <w:b/>
          <w:bCs/>
          <w:color w:val="000000" w:themeColor="text1"/>
        </w:rPr>
        <w:t>C</w:t>
      </w:r>
      <w:r w:rsidRPr="00770C22">
        <w:rPr>
          <w:rFonts w:asciiTheme="minorBidi" w:hAnsiTheme="minorBidi" w:cstheme="minorBidi"/>
          <w:b/>
          <w:bCs/>
          <w:color w:val="000000" w:themeColor="text1"/>
        </w:rPr>
        <w:t>apacity in Palestine (</w:t>
      </w:r>
      <w:r w:rsidR="00E67BA8" w:rsidRPr="00770C22">
        <w:rPr>
          <w:rFonts w:asciiTheme="minorBidi" w:hAnsiTheme="minorBidi" w:cstheme="minorBidi"/>
          <w:b/>
          <w:bCs/>
          <w:color w:val="000000" w:themeColor="text1"/>
          <w:rtl/>
        </w:rPr>
        <w:t>2015</w:t>
      </w:r>
      <w:r w:rsidRPr="00770C22">
        <w:rPr>
          <w:rFonts w:asciiTheme="minorBidi" w:hAnsiTheme="minorBidi" w:cstheme="minorBidi"/>
          <w:b/>
          <w:bCs/>
          <w:color w:val="000000" w:themeColor="text1"/>
        </w:rPr>
        <w:t>-2020) (Watt/Capita)</w:t>
      </w:r>
    </w:p>
    <w:p w14:paraId="01A60EA2" w14:textId="77777777" w:rsidR="0071415F" w:rsidRPr="00AC4E45" w:rsidRDefault="0071415F" w:rsidP="0071415F">
      <w:pPr>
        <w:spacing w:after="0" w:line="240" w:lineRule="auto"/>
        <w:rPr>
          <w:rFonts w:ascii="Simplified Arabic" w:hAnsi="Simplified Arabic" w:cs="Simplified Arabic"/>
          <w:b/>
          <w:bCs/>
          <w:color w:val="000000"/>
        </w:rPr>
      </w:pPr>
      <w:r>
        <w:rPr>
          <w:rFonts w:ascii="Simplified Arabic" w:hAnsi="Simplified Arabic" w:cs="Simplified Arabic"/>
          <w:b/>
          <w:bCs/>
          <w:noProof/>
          <w:color w:val="000000"/>
        </w:rPr>
        <w:drawing>
          <wp:inline distT="0" distB="0" distL="0" distR="0" wp14:anchorId="5F497126" wp14:editId="1F8699D8">
            <wp:extent cx="5690683" cy="1952625"/>
            <wp:effectExtent l="0" t="0" r="5715" b="9525"/>
            <wp:docPr id="224"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5A8C2010" w14:textId="77777777" w:rsidR="0071415F" w:rsidRPr="00770C22" w:rsidRDefault="0071415F" w:rsidP="00E300A7">
      <w:pPr>
        <w:pStyle w:val="ListParagraph"/>
        <w:autoSpaceDE w:val="0"/>
        <w:autoSpaceDN w:val="0"/>
        <w:adjustRightInd w:val="0"/>
        <w:spacing w:after="0" w:line="240" w:lineRule="auto"/>
        <w:ind w:left="0" w:firstLine="90"/>
        <w:jc w:val="both"/>
        <w:rPr>
          <w:rFonts w:ascii="Arial" w:hAnsi="Arial"/>
          <w:bCs/>
          <w:color w:val="000000" w:themeColor="text1"/>
          <w:sz w:val="18"/>
          <w:szCs w:val="18"/>
        </w:rPr>
      </w:pPr>
      <w:r w:rsidRPr="00770C22">
        <w:rPr>
          <w:rFonts w:ascii="Arial" w:hAnsi="Arial"/>
          <w:b/>
          <w:color w:val="000000" w:themeColor="text1"/>
          <w:sz w:val="18"/>
          <w:szCs w:val="18"/>
        </w:rPr>
        <w:t xml:space="preserve">Source: </w:t>
      </w:r>
      <w:r w:rsidR="00304E2A" w:rsidRPr="00770C22">
        <w:rPr>
          <w:rFonts w:ascii="Arial" w:hAnsi="Arial"/>
          <w:b/>
          <w:bCs/>
          <w:sz w:val="18"/>
          <w:szCs w:val="18"/>
        </w:rPr>
        <w:t>Palestinian Central Bureau of Statistics</w:t>
      </w:r>
      <w:r w:rsidR="00304E2A" w:rsidRPr="00770C22">
        <w:rPr>
          <w:rFonts w:ascii="Arial" w:hAnsi="Arial"/>
          <w:b/>
          <w:color w:val="000000" w:themeColor="text1"/>
          <w:sz w:val="18"/>
          <w:szCs w:val="18"/>
        </w:rPr>
        <w:t xml:space="preserve">. </w:t>
      </w:r>
      <w:r w:rsidRPr="00770C22">
        <w:rPr>
          <w:rFonts w:ascii="Arial" w:hAnsi="Arial"/>
          <w:bCs/>
          <w:color w:val="000000" w:themeColor="text1"/>
          <w:sz w:val="18"/>
          <w:szCs w:val="18"/>
        </w:rPr>
        <w:t>Energy Balance, Population (2011-2020)</w:t>
      </w:r>
      <w:r w:rsidR="00304E2A" w:rsidRPr="00770C22">
        <w:rPr>
          <w:rFonts w:ascii="Arial" w:hAnsi="Arial"/>
          <w:bCs/>
          <w:color w:val="000000" w:themeColor="text1"/>
          <w:sz w:val="18"/>
          <w:szCs w:val="18"/>
        </w:rPr>
        <w:t xml:space="preserve">. </w:t>
      </w:r>
      <w:r w:rsidR="00304E2A" w:rsidRPr="00770C22">
        <w:rPr>
          <w:rFonts w:ascii="Arial" w:hAnsi="Arial"/>
          <w:bCs/>
          <w:sz w:val="18"/>
          <w:szCs w:val="18"/>
        </w:rPr>
        <w:t>Ramallah-Palestine</w:t>
      </w:r>
    </w:p>
    <w:p w14:paraId="4CB6DD08" w14:textId="77777777" w:rsidR="0071415F" w:rsidRDefault="0071415F" w:rsidP="0071415F">
      <w:pPr>
        <w:bidi w:val="0"/>
        <w:spacing w:after="0" w:line="240" w:lineRule="auto"/>
        <w:ind w:right="-334"/>
        <w:jc w:val="both"/>
        <w:rPr>
          <w:rFonts w:ascii="Times New Roman" w:hAnsi="Times New Roman" w:cs="Times New Roman"/>
          <w:color w:val="FF0000"/>
          <w:sz w:val="24"/>
          <w:szCs w:val="24"/>
        </w:rPr>
      </w:pPr>
    </w:p>
    <w:p w14:paraId="1E4A4B55"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12.b.1 Implementation of standard accounting tools to monitor the economic and environmental aspects of tourism sustainability</w:t>
      </w:r>
    </w:p>
    <w:p w14:paraId="2338C409"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53C56409"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PCBS published four tables in 2019 for as an implementation of standard accounting tools to monitor the economic and environmental aspects of tourism sustainability.</w:t>
      </w:r>
    </w:p>
    <w:p w14:paraId="569B9425" w14:textId="77777777" w:rsidR="0071415F" w:rsidRPr="0086098A"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0"/>
          <w:szCs w:val="20"/>
        </w:rPr>
      </w:pPr>
    </w:p>
    <w:p w14:paraId="298F3858"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966878">
        <w:rPr>
          <w:rFonts w:ascii="Times New Roman" w:hAnsi="Times New Roman" w:cs="Times New Roman"/>
          <w:b/>
          <w:bCs/>
          <w:color w:val="000000" w:themeColor="text1"/>
          <w:sz w:val="24"/>
          <w:szCs w:val="24"/>
        </w:rPr>
        <w:t xml:space="preserve">Summary </w:t>
      </w:r>
    </w:p>
    <w:p w14:paraId="767146D5"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In 2015, the State of Palestine ratified the Basel Convention on the Control of Trans </w:t>
      </w:r>
      <w:r w:rsidR="000E2938">
        <w:rPr>
          <w:rFonts w:ascii="Times New Roman" w:hAnsi="Times New Roman" w:cs="Times New Roman"/>
          <w:color w:val="000000" w:themeColor="text1"/>
          <w:sz w:val="24"/>
          <w:szCs w:val="24"/>
        </w:rPr>
        <w:t>B</w:t>
      </w:r>
      <w:r w:rsidRPr="00966878">
        <w:rPr>
          <w:rFonts w:ascii="Times New Roman" w:hAnsi="Times New Roman" w:cs="Times New Roman"/>
          <w:color w:val="000000" w:themeColor="text1"/>
          <w:sz w:val="24"/>
          <w:szCs w:val="24"/>
        </w:rPr>
        <w:t>oundary Hazardous Wastes and Their Disposal. Accordingly, Palestine succeeded in holding Israel accountability for its violations of international environmental law. The case is an important first step for seeking further remedial actions for environmental rights violations committed by Israel. Since the beginning of 2018, Palestine has been looking forward to joining the Stockholm Convention on Persistent Organic Pollutants and the Rotterdam Convention in 2019.</w:t>
      </w:r>
    </w:p>
    <w:p w14:paraId="72B7426D"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B7C42E9"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91FD376"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5004896"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6ED597D"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tbl>
      <w:tblPr>
        <w:tblW w:w="0" w:type="auto"/>
        <w:tblBorders>
          <w:top w:val="thinThickSmallGap" w:sz="24" w:space="0" w:color="516E37"/>
          <w:left w:val="thinThickSmallGap" w:sz="24" w:space="0" w:color="516E37"/>
          <w:bottom w:val="thinThickSmallGap" w:sz="24" w:space="0" w:color="516E37"/>
          <w:right w:val="thinThickSmallGap" w:sz="24" w:space="0" w:color="516E37"/>
        </w:tblBorders>
        <w:tblLook w:val="04A0" w:firstRow="1" w:lastRow="0" w:firstColumn="1" w:lastColumn="0" w:noHBand="0" w:noVBand="1"/>
      </w:tblPr>
      <w:tblGrid>
        <w:gridCol w:w="2083"/>
        <w:gridCol w:w="6897"/>
      </w:tblGrid>
      <w:tr w:rsidR="0071415F" w:rsidRPr="000D2E4D" w14:paraId="2A6742D9" w14:textId="77777777" w:rsidTr="0071415F">
        <w:tc>
          <w:tcPr>
            <w:tcW w:w="2083" w:type="dxa"/>
            <w:shd w:val="clear" w:color="auto" w:fill="auto"/>
            <w:vAlign w:val="center"/>
          </w:tcPr>
          <w:p w14:paraId="0A8EF6B1" w14:textId="77777777" w:rsidR="0071415F" w:rsidRPr="00DD4286" w:rsidRDefault="0071415F" w:rsidP="0086098A">
            <w:pPr>
              <w:pStyle w:val="Header"/>
              <w:tabs>
                <w:tab w:val="left" w:pos="720"/>
              </w:tabs>
              <w:bidi w:val="0"/>
              <w:jc w:val="center"/>
              <w:rPr>
                <w:noProof/>
              </w:rPr>
            </w:pPr>
            <w:r>
              <w:rPr>
                <w:rFonts w:ascii="Times New Roman" w:hAnsi="Times New Roman" w:cs="Times New Roman"/>
                <w:sz w:val="24"/>
                <w:szCs w:val="24"/>
              </w:rPr>
              <w:lastRenderedPageBreak/>
              <w:br w:type="page"/>
            </w:r>
            <w:r>
              <w:rPr>
                <w:noProof/>
              </w:rPr>
              <w:drawing>
                <wp:inline distT="0" distB="0" distL="0" distR="0" wp14:anchorId="09C8C18C" wp14:editId="75B5D5AC">
                  <wp:extent cx="1097280" cy="1081405"/>
                  <wp:effectExtent l="19050" t="0" r="7620" b="0"/>
                  <wp:docPr id="3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6" cstate="print"/>
                          <a:srcRect/>
                          <a:stretch>
                            <a:fillRect/>
                          </a:stretch>
                        </pic:blipFill>
                        <pic:spPr bwMode="auto">
                          <a:xfrm>
                            <a:off x="0" y="0"/>
                            <a:ext cx="1097280" cy="1081405"/>
                          </a:xfrm>
                          <a:prstGeom prst="rect">
                            <a:avLst/>
                          </a:prstGeom>
                          <a:noFill/>
                          <a:ln w="9525">
                            <a:noFill/>
                            <a:miter lim="800000"/>
                            <a:headEnd/>
                            <a:tailEnd/>
                          </a:ln>
                        </pic:spPr>
                      </pic:pic>
                    </a:graphicData>
                  </a:graphic>
                </wp:inline>
              </w:drawing>
            </w:r>
          </w:p>
        </w:tc>
        <w:tc>
          <w:tcPr>
            <w:tcW w:w="6897" w:type="dxa"/>
            <w:shd w:val="clear" w:color="auto" w:fill="auto"/>
            <w:vAlign w:val="center"/>
          </w:tcPr>
          <w:p w14:paraId="299A9588" w14:textId="77777777" w:rsidR="0071415F" w:rsidRPr="0071415F" w:rsidRDefault="0071415F" w:rsidP="0071415F">
            <w:pPr>
              <w:pStyle w:val="Header"/>
              <w:tabs>
                <w:tab w:val="left" w:pos="720"/>
              </w:tabs>
              <w:bidi w:val="0"/>
              <w:rPr>
                <w:rFonts w:ascii="Times New Roman" w:hAnsi="Times New Roman" w:cs="Times New Roman"/>
                <w:b/>
                <w:bCs/>
                <w:color w:val="000000"/>
                <w:sz w:val="24"/>
                <w:szCs w:val="24"/>
              </w:rPr>
            </w:pPr>
            <w:r w:rsidRPr="0071415F">
              <w:rPr>
                <w:rFonts w:ascii="Times New Roman" w:hAnsi="Times New Roman" w:cs="Times New Roman"/>
                <w:b/>
                <w:color w:val="000000"/>
                <w:sz w:val="28"/>
                <w:szCs w:val="28"/>
              </w:rPr>
              <w:t xml:space="preserve">GOAL 13 – Take Urgent Action To Combat Climate Change </w:t>
            </w:r>
            <w:r w:rsidR="000E2938">
              <w:rPr>
                <w:rFonts w:ascii="Times New Roman" w:hAnsi="Times New Roman" w:cs="Times New Roman"/>
                <w:b/>
                <w:color w:val="000000"/>
                <w:sz w:val="28"/>
                <w:szCs w:val="28"/>
              </w:rPr>
              <w:t>a</w:t>
            </w:r>
            <w:r w:rsidRPr="0071415F">
              <w:rPr>
                <w:rFonts w:ascii="Times New Roman" w:hAnsi="Times New Roman" w:cs="Times New Roman"/>
                <w:b/>
                <w:color w:val="000000"/>
                <w:sz w:val="28"/>
                <w:szCs w:val="28"/>
              </w:rPr>
              <w:t>nd Its Impacts</w:t>
            </w:r>
          </w:p>
        </w:tc>
      </w:tr>
    </w:tbl>
    <w:p w14:paraId="567C3A66"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76D94467"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Introduction to the Goal</w:t>
      </w:r>
    </w:p>
    <w:p w14:paraId="08220C19"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Goal 13 proposes taking urgent measures with substantial impact to fight climate change and its consequences. The increase in the temperature of the atmosphere and the oceans, the change in precipitation systems, are all transformations of the climate that have consequences for the environment and on the socioeconomic system, harming agriculture and other productive activities, putting at risk the capacities of the land and infrastructures, threatening the health and safety of people. The increase in greenhouse gas concentrations in the atmosphere, which is the main influence on global warming, can in turn essentially be traced back to emissions of greenhouse gases caused by human activity; these pressures are caused by economic activities, industrial processes and service activities and by transportation and household heating.</w:t>
      </w:r>
    </w:p>
    <w:p w14:paraId="1D36C51F"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The multidimensional nature of climate change, which involves economic, social and environmental aspects, and the global scale of the phenomenon require strategies of systematic</w:t>
      </w:r>
      <w:r w:rsidRPr="00826FED">
        <w:rPr>
          <w:rFonts w:ascii="Times New Roman" w:hAnsi="Times New Roman" w:cs="Times New Roman"/>
          <w:sz w:val="24"/>
          <w:szCs w:val="24"/>
        </w:rPr>
        <w:softHyphen/>
        <w:t xml:space="preserve"> and integrated responses that urgently affect all countries. This is the direction taken by the United Nations Framework Convention on Climate Change and related agreements such as the Kyoto Protocol  and the Paris Agreements; the latter, approved in 2015, committed 195 countries to contain the increase in the average global temperature and formulate mitigation and adaptation strategies and to reduce the causes of the emissions and defend against their consequences. In terms of cause and effect, the issues related to climate change are present in almost all the sustainable development goals. Climate changes cause the increased severity of some climatic and water/meteorological natural disasters. In 2015, the Sendai Framework for Disaster Risk Reduction 2015-2030 was adopted with the objective of reducing mortality, the number of persons stricken, economic losses, damage to infrastructures and basic services in the event of disasters, acting through prevention and a better understanding and management of the risk: when the event takes place and then during the assessment of the damages.</w:t>
      </w:r>
    </w:p>
    <w:p w14:paraId="5934E5EA"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The targets for Goal 13 are aimed at developing and integrating into policies, strategies and natural plans measures to fight climate change, to strengthen the land’s resilience to risks related to climate and natural disasters, to increase awareness of the phenomenon and sensitise.</w:t>
      </w:r>
    </w:p>
    <w:p w14:paraId="5D652FED"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0DEC82D9"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Targets</w:t>
      </w:r>
    </w:p>
    <w:p w14:paraId="456479F3"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 xml:space="preserve">Goal 13 is broken down into </w:t>
      </w:r>
      <w:r w:rsidR="00DD48B9">
        <w:rPr>
          <w:rFonts w:ascii="Times New Roman" w:hAnsi="Times New Roman" w:cs="Times New Roman"/>
          <w:sz w:val="24"/>
          <w:szCs w:val="24"/>
        </w:rPr>
        <w:t>fivet</w:t>
      </w:r>
      <w:r w:rsidRPr="00826FED">
        <w:rPr>
          <w:rFonts w:ascii="Times New Roman" w:hAnsi="Times New Roman" w:cs="Times New Roman"/>
          <w:sz w:val="24"/>
          <w:szCs w:val="24"/>
        </w:rPr>
        <w:t xml:space="preserve">argets of which the last </w:t>
      </w:r>
      <w:r w:rsidR="00DD48B9">
        <w:rPr>
          <w:rFonts w:ascii="Times New Roman" w:hAnsi="Times New Roman" w:cs="Times New Roman"/>
          <w:sz w:val="24"/>
          <w:szCs w:val="24"/>
        </w:rPr>
        <w:t>two</w:t>
      </w:r>
      <w:r w:rsidRPr="00826FED">
        <w:rPr>
          <w:rFonts w:ascii="Times New Roman" w:hAnsi="Times New Roman" w:cs="Times New Roman"/>
          <w:sz w:val="24"/>
          <w:szCs w:val="24"/>
        </w:rPr>
        <w:t xml:space="preserve"> refer to means of implementation:</w:t>
      </w:r>
    </w:p>
    <w:p w14:paraId="3AA7452E"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13.1 </w:t>
      </w:r>
    </w:p>
    <w:p w14:paraId="3E15D0C0"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Strengthen resilience and adaptive capacity to climate-related hazards and natural disasters in all countries</w:t>
      </w:r>
      <w:r w:rsidR="00DD48B9">
        <w:rPr>
          <w:rFonts w:ascii="Times New Roman" w:hAnsi="Times New Roman" w:cs="Times New Roman"/>
          <w:sz w:val="24"/>
          <w:szCs w:val="24"/>
        </w:rPr>
        <w:t>.</w:t>
      </w:r>
    </w:p>
    <w:p w14:paraId="65F623D3"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EC939D5"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13.2 </w:t>
      </w:r>
    </w:p>
    <w:p w14:paraId="78BC7498"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Integrate climate change measures into national policies, strategies</w:t>
      </w:r>
      <w:r w:rsidR="00DD48B9">
        <w:rPr>
          <w:rFonts w:ascii="Times New Roman" w:hAnsi="Times New Roman" w:cs="Times New Roman"/>
          <w:sz w:val="24"/>
          <w:szCs w:val="24"/>
        </w:rPr>
        <w:t>,</w:t>
      </w:r>
      <w:r w:rsidRPr="00826FED">
        <w:rPr>
          <w:rFonts w:ascii="Times New Roman" w:hAnsi="Times New Roman" w:cs="Times New Roman"/>
          <w:sz w:val="24"/>
          <w:szCs w:val="24"/>
        </w:rPr>
        <w:t xml:space="preserve"> and planning</w:t>
      </w:r>
      <w:r w:rsidR="00DD48B9">
        <w:rPr>
          <w:rFonts w:ascii="Times New Roman" w:hAnsi="Times New Roman" w:cs="Times New Roman"/>
          <w:sz w:val="24"/>
          <w:szCs w:val="24"/>
        </w:rPr>
        <w:t>.</w:t>
      </w:r>
    </w:p>
    <w:p w14:paraId="70D1F1B6"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132D51E"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13.3 </w:t>
      </w:r>
    </w:p>
    <w:p w14:paraId="5626BF6E" w14:textId="77777777" w:rsidR="00F3507C" w:rsidRDefault="0071415F" w:rsidP="006E49BE">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Improve education, awareness-raising and human and institutional capacity on climate change mitigation, adaptation, impact reduction</w:t>
      </w:r>
      <w:r w:rsidR="006E5093">
        <w:rPr>
          <w:rFonts w:ascii="Times New Roman" w:hAnsi="Times New Roman" w:cs="Times New Roman"/>
          <w:sz w:val="24"/>
          <w:szCs w:val="24"/>
        </w:rPr>
        <w:t>,</w:t>
      </w:r>
      <w:r w:rsidRPr="00826FED">
        <w:rPr>
          <w:rFonts w:ascii="Times New Roman" w:hAnsi="Times New Roman" w:cs="Times New Roman"/>
          <w:sz w:val="24"/>
          <w:szCs w:val="24"/>
        </w:rPr>
        <w:t xml:space="preserve"> and early warning</w:t>
      </w:r>
      <w:r w:rsidR="006E5093">
        <w:rPr>
          <w:rFonts w:ascii="Times New Roman" w:hAnsi="Times New Roman" w:cs="Times New Roman"/>
          <w:sz w:val="24"/>
          <w:szCs w:val="24"/>
        </w:rPr>
        <w:t>.</w:t>
      </w:r>
    </w:p>
    <w:p w14:paraId="278ACF81"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13.a</w:t>
      </w:r>
    </w:p>
    <w:p w14:paraId="13475AF6"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 xml:space="preserve">Implement the commitment undertaken by developed-country parties to the United Nations Framework Convention on Climate Change to a goal of mobilizing jointly $100 billion annually by 2020 from all sources to address the needs of developing countries in the context of </w:t>
      </w:r>
      <w:r w:rsidRPr="00826FED">
        <w:rPr>
          <w:rFonts w:ascii="Times New Roman" w:hAnsi="Times New Roman" w:cs="Times New Roman"/>
          <w:sz w:val="24"/>
          <w:szCs w:val="24"/>
        </w:rPr>
        <w:lastRenderedPageBreak/>
        <w:t>meaningful mitigation actions and transparency on implementation and fully operationalize the Green Climate Fund through its capitalization as soon as possible</w:t>
      </w:r>
      <w:r w:rsidR="006E5093">
        <w:rPr>
          <w:rFonts w:ascii="Times New Roman" w:hAnsi="Times New Roman" w:cs="Times New Roman"/>
          <w:sz w:val="24"/>
          <w:szCs w:val="24"/>
        </w:rPr>
        <w:t>.</w:t>
      </w:r>
    </w:p>
    <w:p w14:paraId="337953B4"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08CED0B"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13.b</w:t>
      </w:r>
    </w:p>
    <w:p w14:paraId="496E91DE"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26FED">
        <w:rPr>
          <w:rFonts w:ascii="Times New Roman" w:hAnsi="Times New Roman" w:cs="Times New Roman"/>
          <w:sz w:val="24"/>
          <w:szCs w:val="24"/>
        </w:rPr>
        <w:t xml:space="preserve">Promote </w:t>
      </w:r>
      <w:r w:rsidRPr="00966878">
        <w:rPr>
          <w:rFonts w:ascii="Times New Roman" w:hAnsi="Times New Roman" w:cs="Times New Roman"/>
          <w:color w:val="000000" w:themeColor="text1"/>
          <w:sz w:val="24"/>
          <w:szCs w:val="24"/>
        </w:rPr>
        <w:t xml:space="preserve">mechanisms for raising capacity for effective climate change-related planning and management in least developed countries and </w:t>
      </w:r>
      <w:r w:rsidR="006E5093">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mall </w:t>
      </w:r>
      <w:r w:rsidR="006E5093">
        <w:rPr>
          <w:rFonts w:ascii="Times New Roman" w:hAnsi="Times New Roman" w:cs="Times New Roman"/>
          <w:color w:val="000000" w:themeColor="text1"/>
          <w:sz w:val="24"/>
          <w:szCs w:val="24"/>
        </w:rPr>
        <w:t>I</w:t>
      </w:r>
      <w:r w:rsidRPr="00966878">
        <w:rPr>
          <w:rFonts w:ascii="Times New Roman" w:hAnsi="Times New Roman" w:cs="Times New Roman"/>
          <w:color w:val="000000" w:themeColor="text1"/>
          <w:sz w:val="24"/>
          <w:szCs w:val="24"/>
        </w:rPr>
        <w:t xml:space="preserve">sland </w:t>
      </w:r>
      <w:r w:rsidR="006E5093">
        <w:rPr>
          <w:rFonts w:ascii="Times New Roman" w:hAnsi="Times New Roman" w:cs="Times New Roman"/>
          <w:color w:val="000000" w:themeColor="text1"/>
          <w:sz w:val="24"/>
          <w:szCs w:val="24"/>
        </w:rPr>
        <w:t>D</w:t>
      </w:r>
      <w:r w:rsidRPr="00966878">
        <w:rPr>
          <w:rFonts w:ascii="Times New Roman" w:hAnsi="Times New Roman" w:cs="Times New Roman"/>
          <w:color w:val="000000" w:themeColor="text1"/>
          <w:sz w:val="24"/>
          <w:szCs w:val="24"/>
        </w:rPr>
        <w:t>eveloping States, including focusing on women, youth</w:t>
      </w:r>
      <w:r w:rsidR="006E5093">
        <w:rPr>
          <w:rFonts w:ascii="Times New Roman" w:hAnsi="Times New Roman" w:cs="Times New Roman"/>
          <w:color w:val="000000" w:themeColor="text1"/>
          <w:sz w:val="24"/>
          <w:szCs w:val="24"/>
        </w:rPr>
        <w:t>,</w:t>
      </w:r>
      <w:r w:rsidRPr="00966878">
        <w:rPr>
          <w:rFonts w:ascii="Times New Roman" w:hAnsi="Times New Roman" w:cs="Times New Roman"/>
          <w:color w:val="000000" w:themeColor="text1"/>
          <w:sz w:val="24"/>
          <w:szCs w:val="24"/>
        </w:rPr>
        <w:t xml:space="preserve"> and local and marginalized communities</w:t>
      </w:r>
      <w:r w:rsidR="006E5093">
        <w:rPr>
          <w:rFonts w:ascii="Times New Roman" w:hAnsi="Times New Roman" w:cs="Times New Roman"/>
          <w:color w:val="000000" w:themeColor="text1"/>
          <w:sz w:val="24"/>
          <w:szCs w:val="24"/>
        </w:rPr>
        <w:t>.</w:t>
      </w:r>
    </w:p>
    <w:p w14:paraId="31DEC771" w14:textId="77777777" w:rsidR="0071415F" w:rsidRPr="006E49BE"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2"/>
          <w:szCs w:val="12"/>
        </w:rPr>
      </w:pPr>
    </w:p>
    <w:p w14:paraId="4A961311" w14:textId="77777777" w:rsidR="0071415F" w:rsidRPr="00A6200E" w:rsidRDefault="0071415F" w:rsidP="00FB1314">
      <w:pPr>
        <w:pStyle w:val="ListParagraph"/>
        <w:numPr>
          <w:ilvl w:val="0"/>
          <w:numId w:val="17"/>
        </w:numPr>
        <w:autoSpaceDE w:val="0"/>
        <w:autoSpaceDN w:val="0"/>
        <w:adjustRightInd w:val="0"/>
        <w:spacing w:after="0" w:line="240" w:lineRule="auto"/>
        <w:jc w:val="both"/>
        <w:rPr>
          <w:rFonts w:ascii="Times New Roman" w:hAnsi="Times New Roman" w:cs="Times New Roman"/>
          <w:b/>
          <w:bCs/>
          <w:color w:val="000000" w:themeColor="text1"/>
          <w:sz w:val="24"/>
          <w:szCs w:val="24"/>
        </w:rPr>
      </w:pPr>
      <w:r w:rsidRPr="00A6200E">
        <w:rPr>
          <w:rFonts w:ascii="Times New Roman" w:hAnsi="Times New Roman" w:cs="Times New Roman"/>
          <w:b/>
          <w:bCs/>
          <w:color w:val="000000" w:themeColor="text1"/>
          <w:sz w:val="24"/>
          <w:szCs w:val="24"/>
        </w:rPr>
        <w:t>Indicators released by PCBS</w:t>
      </w:r>
    </w:p>
    <w:p w14:paraId="7A6644EB" w14:textId="77777777" w:rsidR="0071415F" w:rsidRDefault="0071415F" w:rsidP="00F3507C">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There are </w:t>
      </w:r>
      <w:r w:rsidR="006E5093">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 xml:space="preserve"> indicators released by PCBS for Goal 13, represent</w:t>
      </w:r>
      <w:r w:rsidR="006E5093">
        <w:rPr>
          <w:rFonts w:ascii="Times New Roman" w:hAnsi="Times New Roman" w:cs="Times New Roman"/>
          <w:color w:val="000000" w:themeColor="text1"/>
          <w:sz w:val="24"/>
          <w:szCs w:val="24"/>
        </w:rPr>
        <w:t>ing</w:t>
      </w:r>
      <w:r w:rsidRPr="00966878">
        <w:rPr>
          <w:rFonts w:ascii="Times New Roman" w:hAnsi="Times New Roman" w:cs="Times New Roman"/>
          <w:color w:val="000000" w:themeColor="text1"/>
          <w:sz w:val="24"/>
          <w:szCs w:val="24"/>
        </w:rPr>
        <w:t xml:space="preserve"> 10 data point</w:t>
      </w:r>
      <w:r w:rsidR="006E5093">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referring to </w:t>
      </w:r>
      <w:r w:rsidR="006E5093">
        <w:rPr>
          <w:rFonts w:ascii="Times New Roman" w:hAnsi="Times New Roman" w:cs="Times New Roman"/>
          <w:color w:val="000000" w:themeColor="text1"/>
          <w:sz w:val="24"/>
          <w:szCs w:val="24"/>
        </w:rPr>
        <w:t>three</w:t>
      </w:r>
      <w:r w:rsidRPr="00966878">
        <w:rPr>
          <w:rFonts w:ascii="Times New Roman" w:hAnsi="Times New Roman" w:cs="Times New Roman"/>
          <w:color w:val="000000" w:themeColor="text1"/>
          <w:sz w:val="24"/>
          <w:szCs w:val="24"/>
        </w:rPr>
        <w:t xml:space="preserve"> of the </w:t>
      </w:r>
      <w:r w:rsidR="006E5093">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targets</w:t>
      </w:r>
      <w:r w:rsidR="006E5093">
        <w:rPr>
          <w:rFonts w:ascii="Times New Roman" w:hAnsi="Times New Roman" w:cs="Times New Roman"/>
          <w:color w:val="000000" w:themeColor="text1"/>
          <w:sz w:val="24"/>
          <w:szCs w:val="24"/>
        </w:rPr>
        <w:t>;</w:t>
      </w:r>
      <w:r w:rsidR="006E5093">
        <w:rPr>
          <w:rFonts w:ascii="Times New Roman" w:hAnsi="Times New Roman" w:cs="Times New Roman"/>
          <w:sz w:val="24"/>
          <w:szCs w:val="24"/>
        </w:rPr>
        <w:t>t</w:t>
      </w:r>
      <w:r w:rsidRPr="001D5BA6">
        <w:rPr>
          <w:rFonts w:ascii="Times New Roman" w:hAnsi="Times New Roman" w:cs="Times New Roman"/>
          <w:sz w:val="24"/>
          <w:szCs w:val="24"/>
        </w:rPr>
        <w:t xml:space="preserve">herefore, </w:t>
      </w:r>
      <w:r>
        <w:rPr>
          <w:rFonts w:ascii="Times New Roman" w:hAnsi="Times New Roman" w:cs="Times New Roman" w:hint="cs"/>
          <w:sz w:val="24"/>
          <w:szCs w:val="24"/>
          <w:rtl/>
        </w:rPr>
        <w:t>60.0</w:t>
      </w:r>
      <w:r>
        <w:rPr>
          <w:rFonts w:ascii="Times New Roman" w:hAnsi="Times New Roman" w:cs="Times New Roman"/>
          <w:sz w:val="24"/>
          <w:szCs w:val="24"/>
        </w:rPr>
        <w:t xml:space="preserve">%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C66B88" w:rsidRPr="00345E00">
        <w:rPr>
          <w:rFonts w:ascii="Times New Roman" w:hAnsi="Times New Roman" w:cs="Times New Roman"/>
          <w:sz w:val="24"/>
          <w:szCs w:val="24"/>
        </w:rPr>
        <w:t>three</w:t>
      </w:r>
      <w:r w:rsidR="00C66B88">
        <w:rPr>
          <w:rFonts w:ascii="Times New Roman" w:hAnsi="Times New Roman" w:cs="Times New Roman"/>
          <w:sz w:val="24"/>
          <w:szCs w:val="24"/>
        </w:rPr>
        <w:t xml:space="preserve"> out</w:t>
      </w:r>
      <w:r>
        <w:rPr>
          <w:rFonts w:ascii="Times New Roman" w:hAnsi="Times New Roman" w:cs="Times New Roman"/>
          <w:sz w:val="24"/>
          <w:szCs w:val="24"/>
        </w:rPr>
        <w:t xml:space="preserve"> of </w:t>
      </w:r>
      <w:r w:rsidRPr="00345E00">
        <w:rPr>
          <w:rFonts w:ascii="Times New Roman" w:hAnsi="Times New Roman" w:cs="Times New Roman"/>
          <w:sz w:val="24"/>
          <w:szCs w:val="24"/>
        </w:rPr>
        <w:t>five</w:t>
      </w:r>
      <w:r>
        <w:rPr>
          <w:rFonts w:ascii="Times New Roman" w:hAnsi="Times New Roman" w:cs="Times New Roman"/>
          <w:sz w:val="24"/>
          <w:szCs w:val="24"/>
        </w:rPr>
        <w:t>)</w:t>
      </w:r>
      <w:r w:rsidR="006E5093">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6E5093">
        <w:rPr>
          <w:rFonts w:ascii="Times New Roman" w:hAnsi="Times New Roman" w:cs="Times New Roman"/>
          <w:sz w:val="24"/>
          <w:szCs w:val="24"/>
        </w:rPr>
        <w:t xml:space="preserve"> covered.</w:t>
      </w:r>
    </w:p>
    <w:p w14:paraId="406EF218" w14:textId="77777777" w:rsidR="00F3507C" w:rsidRPr="00F3507C" w:rsidRDefault="00F3507C" w:rsidP="00F3507C">
      <w:pPr>
        <w:autoSpaceDE w:val="0"/>
        <w:autoSpaceDN w:val="0"/>
        <w:bidi w:val="0"/>
        <w:adjustRightInd w:val="0"/>
        <w:spacing w:after="0" w:line="240" w:lineRule="auto"/>
        <w:jc w:val="both"/>
        <w:rPr>
          <w:rFonts w:ascii="Times New Roman" w:hAnsi="Times New Roman" w:cs="Times New Roman"/>
          <w:color w:val="000000" w:themeColor="text1"/>
          <w:sz w:val="8"/>
          <w:szCs w:val="8"/>
          <w:rtl/>
        </w:rPr>
      </w:pPr>
    </w:p>
    <w:p w14:paraId="7B4A4CF8" w14:textId="77777777" w:rsidR="0071415F" w:rsidRPr="006E49BE"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6C77C685" w14:textId="77777777" w:rsidR="0071415F" w:rsidRDefault="0071415F" w:rsidP="0071415F">
      <w:pPr>
        <w:tabs>
          <w:tab w:val="left" w:pos="9072"/>
        </w:tabs>
        <w:bidi w:val="0"/>
        <w:spacing w:after="0" w:line="240" w:lineRule="auto"/>
        <w:jc w:val="center"/>
        <w:rPr>
          <w:rFonts w:ascii="Arial" w:hAnsi="Arial"/>
        </w:rPr>
      </w:pPr>
      <w:r w:rsidRPr="00422BE3">
        <w:rPr>
          <w:rFonts w:ascii="Arial" w:hAnsi="Arial"/>
          <w:b/>
          <w:bCs/>
        </w:rPr>
        <w:t>Table 13.1: List of SDG Indicators Released by PCBS</w:t>
      </w:r>
    </w:p>
    <w:p w14:paraId="4A07C30B" w14:textId="77777777" w:rsidR="0071415F" w:rsidRPr="006E49BE" w:rsidRDefault="0071415F" w:rsidP="0071415F">
      <w:pPr>
        <w:tabs>
          <w:tab w:val="left" w:pos="9072"/>
        </w:tabs>
        <w:bidi w:val="0"/>
        <w:spacing w:after="0" w:line="240" w:lineRule="auto"/>
        <w:jc w:val="center"/>
        <w:rPr>
          <w:rFonts w:ascii="Arial" w:hAnsi="Arial"/>
          <w:sz w:val="6"/>
          <w:szCs w:val="6"/>
        </w:rPr>
      </w:pPr>
    </w:p>
    <w:tbl>
      <w:tblPr>
        <w:tblW w:w="9918" w:type="dxa"/>
        <w:jc w:val="center"/>
        <w:tblLook w:val="04A0" w:firstRow="1" w:lastRow="0" w:firstColumn="1" w:lastColumn="0" w:noHBand="0" w:noVBand="1"/>
      </w:tblPr>
      <w:tblGrid>
        <w:gridCol w:w="5102"/>
        <w:gridCol w:w="1247"/>
        <w:gridCol w:w="1017"/>
        <w:gridCol w:w="1166"/>
        <w:gridCol w:w="1386"/>
      </w:tblGrid>
      <w:tr w:rsidR="0071415F" w:rsidRPr="00770C22" w14:paraId="15FCF964" w14:textId="77777777" w:rsidTr="00A063ED">
        <w:trPr>
          <w:trHeight w:val="504"/>
          <w:tblHeader/>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25809"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tl/>
              </w:rPr>
              <w:br w:type="page"/>
            </w:r>
            <w:r w:rsidRPr="00770C22">
              <w:rPr>
                <w:rFonts w:asciiTheme="minorBidi" w:hAnsiTheme="minorBidi" w:cstheme="minorBidi"/>
                <w:b/>
                <w:bCs/>
                <w:sz w:val="18"/>
                <w:szCs w:val="18"/>
              </w:rPr>
              <w:t>Indicators</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6E881F58"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Referring to the SDG indicator</w:t>
            </w:r>
          </w:p>
        </w:tc>
        <w:tc>
          <w:tcPr>
            <w:tcW w:w="1017" w:type="dxa"/>
            <w:tcBorders>
              <w:top w:val="single" w:sz="4" w:space="0" w:color="auto"/>
              <w:left w:val="nil"/>
              <w:bottom w:val="single" w:sz="4" w:space="0" w:color="auto"/>
              <w:right w:val="single" w:sz="4" w:space="0" w:color="auto"/>
            </w:tcBorders>
          </w:tcPr>
          <w:p w14:paraId="77275725"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Previous data</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7211A"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Last available data</w:t>
            </w:r>
          </w:p>
        </w:tc>
        <w:tc>
          <w:tcPr>
            <w:tcW w:w="1386" w:type="dxa"/>
            <w:tcBorders>
              <w:top w:val="single" w:sz="4" w:space="0" w:color="auto"/>
              <w:left w:val="single" w:sz="4" w:space="0" w:color="auto"/>
              <w:bottom w:val="single" w:sz="4" w:space="0" w:color="auto"/>
              <w:right w:val="single" w:sz="4" w:space="0" w:color="auto"/>
            </w:tcBorders>
          </w:tcPr>
          <w:p w14:paraId="32CDA342"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Compared to the previous data point</w:t>
            </w:r>
          </w:p>
        </w:tc>
      </w:tr>
      <w:tr w:rsidR="0071415F" w:rsidRPr="00770C22" w14:paraId="68F78A13" w14:textId="77777777" w:rsidTr="00A063ED">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24F81FB6"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w:t>
            </w:r>
            <w:r w:rsidRPr="00770C22">
              <w:rPr>
                <w:rFonts w:asciiTheme="minorBidi" w:hAnsiTheme="minorBidi" w:cstheme="minorBidi"/>
                <w:b/>
                <w:bCs/>
                <w:color w:val="000000" w:themeColor="text1"/>
                <w:sz w:val="18"/>
                <w:szCs w:val="18"/>
                <w:rtl/>
              </w:rPr>
              <w:t>3.1.1</w:t>
            </w:r>
            <w:r w:rsidRPr="00770C22">
              <w:rPr>
                <w:rFonts w:asciiTheme="minorBidi" w:hAnsiTheme="minorBidi" w:cstheme="minorBidi"/>
                <w:color w:val="000000" w:themeColor="text1"/>
                <w:sz w:val="18"/>
                <w:szCs w:val="18"/>
              </w:rPr>
              <w:t xml:space="preserve"> Number of deaths, missing persons and directly affected persons attributed to disasters per 100,000 population </w:t>
            </w:r>
            <w:r w:rsidRPr="00770C22">
              <w:rPr>
                <w:rFonts w:asciiTheme="minorBidi" w:hAnsiTheme="minorBidi" w:cstheme="minorBidi"/>
                <w:b/>
                <w:bCs/>
                <w:color w:val="000000" w:themeColor="text1"/>
                <w:sz w:val="18"/>
                <w:szCs w:val="18"/>
              </w:rPr>
              <w:t>(repeated with indicators: 1.5.1 and 11.5.1)</w:t>
            </w:r>
          </w:p>
        </w:tc>
        <w:tc>
          <w:tcPr>
            <w:tcW w:w="1247" w:type="dxa"/>
            <w:tcBorders>
              <w:top w:val="single" w:sz="4" w:space="0" w:color="auto"/>
              <w:left w:val="nil"/>
              <w:right w:val="single" w:sz="4" w:space="0" w:color="auto"/>
            </w:tcBorders>
            <w:shd w:val="clear" w:color="auto" w:fill="auto"/>
            <w:noWrap/>
            <w:hideMark/>
          </w:tcPr>
          <w:p w14:paraId="5DE54D4D"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40D3680D"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166" w:type="dxa"/>
            <w:tcBorders>
              <w:top w:val="single" w:sz="4" w:space="0" w:color="auto"/>
              <w:left w:val="single" w:sz="4" w:space="0" w:color="auto"/>
              <w:right w:val="single" w:sz="4" w:space="0" w:color="auto"/>
            </w:tcBorders>
            <w:shd w:val="clear" w:color="auto" w:fill="auto"/>
            <w:noWrap/>
            <w:hideMark/>
          </w:tcPr>
          <w:p w14:paraId="094B95D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386" w:type="dxa"/>
            <w:tcBorders>
              <w:top w:val="single" w:sz="4" w:space="0" w:color="auto"/>
              <w:left w:val="single" w:sz="4" w:space="0" w:color="auto"/>
              <w:right w:val="single" w:sz="4" w:space="0" w:color="auto"/>
            </w:tcBorders>
          </w:tcPr>
          <w:p w14:paraId="33C007C9"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p>
        </w:tc>
      </w:tr>
      <w:tr w:rsidR="0071415F" w:rsidRPr="00770C22" w14:paraId="4027F58D" w14:textId="77777777" w:rsidTr="00A063ED">
        <w:trPr>
          <w:trHeight w:val="389"/>
          <w:jc w:val="center"/>
        </w:trPr>
        <w:tc>
          <w:tcPr>
            <w:tcW w:w="5102" w:type="dxa"/>
            <w:tcBorders>
              <w:left w:val="single" w:sz="4" w:space="0" w:color="auto"/>
              <w:right w:val="single" w:sz="4" w:space="0" w:color="auto"/>
            </w:tcBorders>
            <w:shd w:val="clear" w:color="auto" w:fill="auto"/>
            <w:noWrap/>
            <w:vAlign w:val="center"/>
          </w:tcPr>
          <w:p w14:paraId="7B78F5DB" w14:textId="77777777" w:rsidR="0071415F" w:rsidRPr="00770C22"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Number of deaths attributed to disasters per 100,000 population (UNSD, 2018, </w:t>
            </w:r>
            <w:r w:rsidR="006E5093">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 100,000 population)</w:t>
            </w:r>
          </w:p>
        </w:tc>
        <w:tc>
          <w:tcPr>
            <w:tcW w:w="1247" w:type="dxa"/>
            <w:tcBorders>
              <w:left w:val="nil"/>
              <w:right w:val="single" w:sz="4" w:space="0" w:color="auto"/>
            </w:tcBorders>
            <w:shd w:val="clear" w:color="auto" w:fill="auto"/>
            <w:noWrap/>
          </w:tcPr>
          <w:p w14:paraId="6A7CD588"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5218AFBA"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color w:val="000000" w:themeColor="text1"/>
                <w:sz w:val="18"/>
                <w:szCs w:val="18"/>
                <w:rtl/>
              </w:rPr>
            </w:pPr>
            <w:r w:rsidRPr="00770C22">
              <w:rPr>
                <w:rFonts w:asciiTheme="minorBidi" w:hAnsiTheme="minorBidi" w:cstheme="minorBidi"/>
                <w:color w:val="000000" w:themeColor="text1"/>
                <w:sz w:val="18"/>
                <w:szCs w:val="18"/>
              </w:rPr>
              <w:t>1.42 (2017)</w:t>
            </w:r>
          </w:p>
        </w:tc>
        <w:tc>
          <w:tcPr>
            <w:tcW w:w="1166" w:type="dxa"/>
            <w:tcBorders>
              <w:left w:val="single" w:sz="4" w:space="0" w:color="auto"/>
              <w:right w:val="single" w:sz="4" w:space="0" w:color="auto"/>
            </w:tcBorders>
            <w:shd w:val="clear" w:color="auto" w:fill="auto"/>
          </w:tcPr>
          <w:p w14:paraId="181A4CF0"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color w:val="000000" w:themeColor="text1"/>
                <w:sz w:val="18"/>
                <w:szCs w:val="18"/>
                <w:rtl/>
              </w:rPr>
            </w:pPr>
            <w:r w:rsidRPr="00770C22">
              <w:rPr>
                <w:rFonts w:asciiTheme="minorBidi" w:hAnsiTheme="minorBidi" w:cstheme="minorBidi"/>
                <w:color w:val="000000" w:themeColor="text1"/>
                <w:sz w:val="18"/>
                <w:szCs w:val="18"/>
              </w:rPr>
              <w:t>0.02</w:t>
            </w:r>
          </w:p>
        </w:tc>
        <w:tc>
          <w:tcPr>
            <w:tcW w:w="1386" w:type="dxa"/>
            <w:tcBorders>
              <w:left w:val="single" w:sz="4" w:space="0" w:color="auto"/>
              <w:right w:val="single" w:sz="4" w:space="0" w:color="auto"/>
            </w:tcBorders>
          </w:tcPr>
          <w:p w14:paraId="440648E9" w14:textId="77777777" w:rsidR="0071415F" w:rsidRPr="00770C22" w:rsidRDefault="003A27F2" w:rsidP="0071415F">
            <w:pPr>
              <w:tabs>
                <w:tab w:val="left" w:pos="9072"/>
              </w:tabs>
              <w:spacing w:after="0" w:line="240" w:lineRule="auto"/>
              <w:ind w:left="113" w:right="113"/>
              <w:jc w:val="center"/>
              <w:rPr>
                <w:rFonts w:asciiTheme="minorBidi" w:hAnsiTheme="minorBidi" w:cstheme="minorBidi"/>
                <w:sz w:val="18"/>
                <w:szCs w:val="18"/>
              </w:rPr>
            </w:pPr>
            <w:r w:rsidRPr="00770C22">
              <w:rPr>
                <w:rFonts w:asciiTheme="minorBidi" w:hAnsiTheme="minorBidi" w:cstheme="minorBidi"/>
                <w:sz w:val="18"/>
                <w:szCs w:val="18"/>
              </w:rPr>
              <w:t>Increase</w:t>
            </w:r>
          </w:p>
        </w:tc>
      </w:tr>
      <w:tr w:rsidR="0071415F" w:rsidRPr="00770C22" w14:paraId="3918B30C" w14:textId="77777777" w:rsidTr="00A063ED">
        <w:trPr>
          <w:trHeight w:val="389"/>
          <w:jc w:val="center"/>
        </w:trPr>
        <w:tc>
          <w:tcPr>
            <w:tcW w:w="5102" w:type="dxa"/>
            <w:tcBorders>
              <w:left w:val="single" w:sz="4" w:space="0" w:color="auto"/>
              <w:right w:val="single" w:sz="4" w:space="0" w:color="auto"/>
            </w:tcBorders>
            <w:shd w:val="clear" w:color="auto" w:fill="auto"/>
            <w:noWrap/>
            <w:vAlign w:val="center"/>
          </w:tcPr>
          <w:p w14:paraId="5803F312" w14:textId="77777777" w:rsidR="0071415F" w:rsidRPr="00770C22"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Number of  missing persons  attributed to disasters per 100,000 population (UNSD,2018, </w:t>
            </w:r>
            <w:r w:rsidR="006E5093">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 100,000 population)</w:t>
            </w:r>
          </w:p>
        </w:tc>
        <w:tc>
          <w:tcPr>
            <w:tcW w:w="1247" w:type="dxa"/>
            <w:tcBorders>
              <w:left w:val="nil"/>
              <w:right w:val="single" w:sz="4" w:space="0" w:color="auto"/>
            </w:tcBorders>
            <w:shd w:val="clear" w:color="auto" w:fill="auto"/>
            <w:noWrap/>
          </w:tcPr>
          <w:p w14:paraId="2A90D301"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10FBA28F"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 0.0 (2017)</w:t>
            </w:r>
          </w:p>
        </w:tc>
        <w:tc>
          <w:tcPr>
            <w:tcW w:w="1166" w:type="dxa"/>
            <w:tcBorders>
              <w:left w:val="single" w:sz="4" w:space="0" w:color="auto"/>
              <w:right w:val="single" w:sz="4" w:space="0" w:color="auto"/>
            </w:tcBorders>
            <w:shd w:val="clear" w:color="auto" w:fill="auto"/>
          </w:tcPr>
          <w:p w14:paraId="20980F95"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0.0</w:t>
            </w:r>
          </w:p>
        </w:tc>
        <w:tc>
          <w:tcPr>
            <w:tcW w:w="1386" w:type="dxa"/>
            <w:tcBorders>
              <w:left w:val="single" w:sz="4" w:space="0" w:color="auto"/>
              <w:right w:val="single" w:sz="4" w:space="0" w:color="auto"/>
            </w:tcBorders>
          </w:tcPr>
          <w:p w14:paraId="049A937C" w14:textId="77777777" w:rsidR="0071415F" w:rsidRPr="00770C22" w:rsidRDefault="00C66B88" w:rsidP="0071415F">
            <w:pPr>
              <w:tabs>
                <w:tab w:val="left" w:pos="9072"/>
              </w:tabs>
              <w:spacing w:after="0" w:line="240" w:lineRule="auto"/>
              <w:ind w:left="113" w:right="113"/>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2801ACC9" w14:textId="77777777" w:rsidTr="00A063ED">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03999347" w14:textId="77777777" w:rsidR="0071415F" w:rsidRPr="00770C22"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Number of directly affected persons attributed to disasters per 100,000 population (UNSD, 2018, </w:t>
            </w:r>
            <w:r w:rsidR="006E5093">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 100,000 population)</w:t>
            </w:r>
          </w:p>
        </w:tc>
        <w:tc>
          <w:tcPr>
            <w:tcW w:w="1247" w:type="dxa"/>
            <w:tcBorders>
              <w:left w:val="nil"/>
              <w:bottom w:val="single" w:sz="4" w:space="0" w:color="auto"/>
              <w:right w:val="single" w:sz="4" w:space="0" w:color="auto"/>
            </w:tcBorders>
            <w:shd w:val="clear" w:color="auto" w:fill="auto"/>
            <w:noWrap/>
          </w:tcPr>
          <w:p w14:paraId="35B3BBF2"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bottom w:val="single" w:sz="4" w:space="0" w:color="auto"/>
              <w:right w:val="single" w:sz="4" w:space="0" w:color="auto"/>
            </w:tcBorders>
          </w:tcPr>
          <w:p w14:paraId="4B3E12BF"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sz w:val="18"/>
                <w:szCs w:val="18"/>
                <w:rtl/>
              </w:rPr>
            </w:pPr>
            <w:r w:rsidRPr="00770C22">
              <w:rPr>
                <w:rFonts w:asciiTheme="minorBidi" w:hAnsiTheme="minorBidi" w:cstheme="minorBidi"/>
                <w:sz w:val="18"/>
                <w:szCs w:val="18"/>
              </w:rPr>
              <w:t>42.0 (2017)</w:t>
            </w:r>
          </w:p>
        </w:tc>
        <w:tc>
          <w:tcPr>
            <w:tcW w:w="1166" w:type="dxa"/>
            <w:tcBorders>
              <w:left w:val="single" w:sz="4" w:space="0" w:color="auto"/>
              <w:bottom w:val="single" w:sz="4" w:space="0" w:color="auto"/>
              <w:right w:val="single" w:sz="4" w:space="0" w:color="auto"/>
            </w:tcBorders>
            <w:shd w:val="clear" w:color="auto" w:fill="auto"/>
          </w:tcPr>
          <w:p w14:paraId="27620F71"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6.283</w:t>
            </w:r>
          </w:p>
          <w:p w14:paraId="77F724A9"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sz w:val="18"/>
                <w:szCs w:val="18"/>
                <w:rtl/>
              </w:rPr>
            </w:pPr>
          </w:p>
        </w:tc>
        <w:tc>
          <w:tcPr>
            <w:tcW w:w="1386" w:type="dxa"/>
            <w:tcBorders>
              <w:left w:val="single" w:sz="4" w:space="0" w:color="auto"/>
              <w:bottom w:val="single" w:sz="4" w:space="0" w:color="auto"/>
              <w:right w:val="single" w:sz="4" w:space="0" w:color="auto"/>
            </w:tcBorders>
          </w:tcPr>
          <w:p w14:paraId="5F465397" w14:textId="77777777" w:rsidR="0071415F" w:rsidRPr="00770C22" w:rsidRDefault="003A27F2" w:rsidP="0071415F">
            <w:pPr>
              <w:tabs>
                <w:tab w:val="left" w:pos="9072"/>
              </w:tabs>
              <w:spacing w:after="0" w:line="240" w:lineRule="auto"/>
              <w:ind w:left="113" w:right="113"/>
              <w:jc w:val="center"/>
              <w:rPr>
                <w:rFonts w:asciiTheme="minorBidi" w:hAnsiTheme="minorBidi" w:cstheme="minorBidi"/>
                <w:sz w:val="18"/>
                <w:szCs w:val="18"/>
              </w:rPr>
            </w:pPr>
            <w:r w:rsidRPr="00770C22">
              <w:rPr>
                <w:rFonts w:asciiTheme="minorBidi" w:hAnsiTheme="minorBidi" w:cstheme="minorBidi"/>
                <w:sz w:val="18"/>
                <w:szCs w:val="18"/>
              </w:rPr>
              <w:t>Increase</w:t>
            </w:r>
          </w:p>
        </w:tc>
      </w:tr>
      <w:tr w:rsidR="0071415F" w:rsidRPr="00770C22" w14:paraId="68D5897C" w14:textId="77777777" w:rsidTr="00A063ED">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634E6832" w14:textId="77777777" w:rsidR="0071415F" w:rsidRPr="00770C22" w:rsidRDefault="0071415F" w:rsidP="0071415F">
            <w:pPr>
              <w:tabs>
                <w:tab w:val="left" w:pos="9072"/>
              </w:tabs>
              <w:bidi w:val="0"/>
              <w:spacing w:after="0" w:line="240" w:lineRule="auto"/>
              <w:jc w:val="both"/>
              <w:rPr>
                <w:rFonts w:asciiTheme="minorBidi" w:hAnsiTheme="minorBidi" w:cstheme="minorBidi"/>
                <w:b/>
                <w:bCs/>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13.1.2</w:t>
            </w:r>
            <w:r w:rsidRPr="00770C22">
              <w:rPr>
                <w:rFonts w:asciiTheme="minorBidi" w:hAnsiTheme="minorBidi" w:cstheme="minorBidi"/>
                <w:color w:val="000000" w:themeColor="text1"/>
                <w:sz w:val="18"/>
                <w:szCs w:val="18"/>
              </w:rPr>
              <w:t xml:space="preserve"> Number of countries that adopt and implement national disaster risk reduction strategies in line with the Sendai Framework for Disaster Risk Reduction 2015-2030 (NDRMC, </w:t>
            </w:r>
            <w:r w:rsidRPr="00770C22">
              <w:rPr>
                <w:rFonts w:asciiTheme="minorBidi" w:hAnsiTheme="minorBidi" w:cstheme="minorBidi"/>
                <w:color w:val="000000" w:themeColor="text1"/>
                <w:sz w:val="18"/>
                <w:szCs w:val="18"/>
                <w:rtl/>
              </w:rPr>
              <w:t>2019</w:t>
            </w:r>
            <w:r w:rsidRPr="00770C22">
              <w:rPr>
                <w:rFonts w:asciiTheme="minorBidi" w:hAnsiTheme="minorBidi" w:cstheme="minorBidi"/>
                <w:color w:val="000000" w:themeColor="text1"/>
                <w:sz w:val="18"/>
                <w:szCs w:val="18"/>
              </w:rPr>
              <w:t>, 1=Yes/0=No)</w:t>
            </w:r>
          </w:p>
        </w:tc>
        <w:tc>
          <w:tcPr>
            <w:tcW w:w="1247" w:type="dxa"/>
            <w:tcBorders>
              <w:top w:val="single" w:sz="4" w:space="0" w:color="auto"/>
              <w:left w:val="nil"/>
              <w:right w:val="single" w:sz="4" w:space="0" w:color="auto"/>
            </w:tcBorders>
            <w:shd w:val="clear" w:color="auto" w:fill="auto"/>
            <w:noWrap/>
            <w:vAlign w:val="center"/>
          </w:tcPr>
          <w:p w14:paraId="5200237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nil"/>
              <w:right w:val="single" w:sz="4" w:space="0" w:color="auto"/>
            </w:tcBorders>
            <w:vAlign w:val="center"/>
          </w:tcPr>
          <w:p w14:paraId="6A5CD215"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(2018)</w:t>
            </w:r>
          </w:p>
        </w:tc>
        <w:tc>
          <w:tcPr>
            <w:tcW w:w="1166" w:type="dxa"/>
            <w:tcBorders>
              <w:top w:val="single" w:sz="4" w:space="0" w:color="auto"/>
              <w:left w:val="single" w:sz="4" w:space="0" w:color="auto"/>
              <w:right w:val="single" w:sz="4" w:space="0" w:color="auto"/>
            </w:tcBorders>
            <w:shd w:val="clear" w:color="auto" w:fill="auto"/>
            <w:noWrap/>
            <w:vAlign w:val="center"/>
          </w:tcPr>
          <w:p w14:paraId="05F471A2"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(Yes)</w:t>
            </w:r>
          </w:p>
        </w:tc>
        <w:tc>
          <w:tcPr>
            <w:tcW w:w="1386" w:type="dxa"/>
            <w:tcBorders>
              <w:top w:val="single" w:sz="4" w:space="0" w:color="auto"/>
              <w:left w:val="single" w:sz="4" w:space="0" w:color="auto"/>
              <w:right w:val="single" w:sz="4" w:space="0" w:color="auto"/>
            </w:tcBorders>
            <w:vAlign w:val="center"/>
          </w:tcPr>
          <w:p w14:paraId="0DB80CF3"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5FE35C87" w14:textId="77777777" w:rsidTr="00A063ED">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630857A0"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13.1.3</w:t>
            </w:r>
            <w:r w:rsidRPr="00770C22">
              <w:rPr>
                <w:rFonts w:asciiTheme="minorBidi" w:hAnsiTheme="minorBidi" w:cstheme="minorBidi"/>
                <w:color w:val="000000" w:themeColor="text1"/>
                <w:sz w:val="18"/>
                <w:szCs w:val="18"/>
              </w:rPr>
              <w:t xml:space="preserve"> Proportion of local governments that adopt and implement local disaster risk reduction strategies in line with national disaster risk reduction strategies  </w:t>
            </w:r>
            <w:r w:rsidRPr="00770C22">
              <w:rPr>
                <w:rFonts w:asciiTheme="minorBidi" w:hAnsiTheme="minorBidi" w:cstheme="minorBidi"/>
                <w:b/>
                <w:bCs/>
                <w:color w:val="000000" w:themeColor="text1"/>
                <w:sz w:val="18"/>
                <w:szCs w:val="18"/>
              </w:rPr>
              <w:t>(repeated with indicators: 1.5.4 and 11.b.2)</w:t>
            </w:r>
          </w:p>
        </w:tc>
        <w:tc>
          <w:tcPr>
            <w:tcW w:w="1247" w:type="dxa"/>
            <w:tcBorders>
              <w:top w:val="single" w:sz="4" w:space="0" w:color="auto"/>
              <w:left w:val="nil"/>
              <w:right w:val="single" w:sz="4" w:space="0" w:color="auto"/>
            </w:tcBorders>
            <w:shd w:val="clear" w:color="auto" w:fill="auto"/>
            <w:noWrap/>
            <w:hideMark/>
          </w:tcPr>
          <w:p w14:paraId="52167F7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44242EF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166" w:type="dxa"/>
            <w:tcBorders>
              <w:top w:val="single" w:sz="4" w:space="0" w:color="auto"/>
              <w:left w:val="single" w:sz="4" w:space="0" w:color="auto"/>
              <w:right w:val="single" w:sz="4" w:space="0" w:color="auto"/>
            </w:tcBorders>
            <w:shd w:val="clear" w:color="auto" w:fill="auto"/>
            <w:noWrap/>
            <w:hideMark/>
          </w:tcPr>
          <w:p w14:paraId="3B2A07C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386" w:type="dxa"/>
            <w:tcBorders>
              <w:top w:val="single" w:sz="4" w:space="0" w:color="auto"/>
              <w:left w:val="single" w:sz="4" w:space="0" w:color="auto"/>
              <w:right w:val="single" w:sz="4" w:space="0" w:color="auto"/>
            </w:tcBorders>
          </w:tcPr>
          <w:p w14:paraId="56784B08"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76F3C07E" w14:textId="77777777" w:rsidTr="00A063ED">
        <w:trPr>
          <w:trHeight w:val="389"/>
          <w:jc w:val="center"/>
        </w:trPr>
        <w:tc>
          <w:tcPr>
            <w:tcW w:w="5102" w:type="dxa"/>
            <w:tcBorders>
              <w:top w:val="nil"/>
              <w:left w:val="single" w:sz="4" w:space="0" w:color="auto"/>
              <w:bottom w:val="single" w:sz="4" w:space="0" w:color="auto"/>
              <w:right w:val="single" w:sz="4" w:space="0" w:color="auto"/>
            </w:tcBorders>
            <w:shd w:val="clear" w:color="auto" w:fill="auto"/>
            <w:noWrap/>
            <w:vAlign w:val="center"/>
            <w:hideMark/>
          </w:tcPr>
          <w:p w14:paraId="30619317" w14:textId="77777777" w:rsidR="0071415F" w:rsidRPr="00770C22"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Proportion of local governments (NDRMC, </w:t>
            </w:r>
            <w:r w:rsidRPr="00770C22">
              <w:rPr>
                <w:rFonts w:asciiTheme="minorBidi" w:hAnsiTheme="minorBidi" w:cstheme="minorBidi"/>
                <w:color w:val="000000" w:themeColor="text1"/>
                <w:sz w:val="18"/>
                <w:szCs w:val="18"/>
                <w:rtl/>
              </w:rPr>
              <w:t>2019</w:t>
            </w:r>
            <w:r w:rsidRPr="00770C22">
              <w:rPr>
                <w:rFonts w:asciiTheme="minorBidi" w:hAnsiTheme="minorBidi" w:cstheme="minorBidi"/>
                <w:color w:val="000000" w:themeColor="text1"/>
                <w:sz w:val="18"/>
                <w:szCs w:val="18"/>
              </w:rPr>
              <w:t xml:space="preserve">, </w:t>
            </w:r>
            <w:r w:rsidR="006E5093">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p>
        </w:tc>
        <w:tc>
          <w:tcPr>
            <w:tcW w:w="1247" w:type="dxa"/>
            <w:tcBorders>
              <w:top w:val="nil"/>
              <w:left w:val="nil"/>
              <w:bottom w:val="single" w:sz="4" w:space="0" w:color="auto"/>
              <w:right w:val="single" w:sz="4" w:space="0" w:color="auto"/>
            </w:tcBorders>
            <w:shd w:val="clear" w:color="auto" w:fill="auto"/>
            <w:noWrap/>
            <w:vAlign w:val="center"/>
            <w:hideMark/>
          </w:tcPr>
          <w:p w14:paraId="2A54B059"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nil"/>
              <w:left w:val="nil"/>
              <w:bottom w:val="single" w:sz="4" w:space="0" w:color="auto"/>
              <w:right w:val="single" w:sz="4" w:space="0" w:color="auto"/>
            </w:tcBorders>
            <w:vAlign w:val="center"/>
          </w:tcPr>
          <w:p w14:paraId="0DFE1BC1" w14:textId="77777777" w:rsidR="0071415F" w:rsidRPr="00770C22" w:rsidRDefault="0071415F" w:rsidP="0071415F">
            <w:pPr>
              <w:tabs>
                <w:tab w:val="left" w:pos="9072"/>
              </w:tabs>
              <w:spacing w:after="0" w:line="240" w:lineRule="auto"/>
              <w:ind w:right="113"/>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68.8* (2018)</w:t>
            </w:r>
          </w:p>
        </w:tc>
        <w:tc>
          <w:tcPr>
            <w:tcW w:w="1166" w:type="dxa"/>
            <w:tcBorders>
              <w:top w:val="nil"/>
              <w:left w:val="single" w:sz="4" w:space="0" w:color="auto"/>
              <w:bottom w:val="single" w:sz="4" w:space="0" w:color="auto"/>
              <w:right w:val="single" w:sz="4" w:space="0" w:color="auto"/>
            </w:tcBorders>
            <w:shd w:val="clear" w:color="auto" w:fill="auto"/>
            <w:noWrap/>
            <w:vAlign w:val="center"/>
            <w:hideMark/>
          </w:tcPr>
          <w:p w14:paraId="687B7149" w14:textId="77777777" w:rsidR="0071415F" w:rsidRPr="00770C22" w:rsidRDefault="0071415F" w:rsidP="0071415F">
            <w:pPr>
              <w:tabs>
                <w:tab w:val="left" w:pos="9072"/>
              </w:tabs>
              <w:spacing w:after="0" w:line="240" w:lineRule="auto"/>
              <w:ind w:right="113"/>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68.8*</w:t>
            </w:r>
          </w:p>
        </w:tc>
        <w:tc>
          <w:tcPr>
            <w:tcW w:w="1386" w:type="dxa"/>
            <w:tcBorders>
              <w:top w:val="nil"/>
              <w:left w:val="single" w:sz="4" w:space="0" w:color="auto"/>
              <w:bottom w:val="single" w:sz="4" w:space="0" w:color="auto"/>
              <w:right w:val="single" w:sz="4" w:space="0" w:color="auto"/>
            </w:tcBorders>
          </w:tcPr>
          <w:p w14:paraId="62B5E3DF" w14:textId="77777777" w:rsidR="0071415F" w:rsidRPr="00770C22" w:rsidRDefault="00C66B88" w:rsidP="0071415F">
            <w:pPr>
              <w:tabs>
                <w:tab w:val="left" w:pos="9072"/>
              </w:tabs>
              <w:spacing w:after="0" w:line="240" w:lineRule="auto"/>
              <w:ind w:right="113"/>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265C54FE" w14:textId="77777777" w:rsidTr="00A063ED">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002CA3DA" w14:textId="77777777" w:rsidR="0071415F" w:rsidRPr="00770C22" w:rsidRDefault="0071415F" w:rsidP="0071415F">
            <w:pPr>
              <w:tabs>
                <w:tab w:val="left" w:pos="9072"/>
              </w:tabs>
              <w:bidi w:val="0"/>
              <w:spacing w:after="0" w:line="240" w:lineRule="auto"/>
              <w:ind w:left="-30"/>
              <w:jc w:val="both"/>
              <w:rPr>
                <w:rFonts w:asciiTheme="minorBidi" w:hAnsiTheme="minorBidi" w:cstheme="minorBidi"/>
                <w:color w:val="000000" w:themeColor="text1"/>
                <w:sz w:val="18"/>
                <w:szCs w:val="18"/>
              </w:rPr>
            </w:pPr>
            <w:r w:rsidRPr="00770C22">
              <w:rPr>
                <w:rFonts w:asciiTheme="minorBidi" w:hAnsiTheme="minorBidi" w:cstheme="minorBidi"/>
                <w:b/>
                <w:bCs/>
                <w:color w:val="000000" w:themeColor="text1"/>
                <w:sz w:val="18"/>
                <w:szCs w:val="18"/>
              </w:rPr>
              <w:t xml:space="preserve">Indicator 13.2.2 </w:t>
            </w:r>
            <w:r w:rsidRPr="00770C22">
              <w:rPr>
                <w:rFonts w:asciiTheme="minorBidi" w:hAnsiTheme="minorBidi" w:cstheme="minorBidi"/>
                <w:color w:val="000000" w:themeColor="text1"/>
                <w:sz w:val="18"/>
                <w:szCs w:val="18"/>
              </w:rPr>
              <w:t xml:space="preserve">Total greenhouse gas emissions per year </w:t>
            </w:r>
          </w:p>
        </w:tc>
        <w:tc>
          <w:tcPr>
            <w:tcW w:w="1247" w:type="dxa"/>
            <w:tcBorders>
              <w:top w:val="single" w:sz="4" w:space="0" w:color="auto"/>
              <w:left w:val="nil"/>
              <w:right w:val="single" w:sz="4" w:space="0" w:color="auto"/>
            </w:tcBorders>
            <w:shd w:val="clear" w:color="auto" w:fill="auto"/>
            <w:noWrap/>
            <w:vAlign w:val="center"/>
          </w:tcPr>
          <w:p w14:paraId="4B96A242"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6CDBA36E" w14:textId="77777777" w:rsidR="0071415F" w:rsidRPr="00770C22" w:rsidRDefault="0071415F" w:rsidP="0071415F">
            <w:pPr>
              <w:bidi w:val="0"/>
              <w:spacing w:after="0" w:line="240" w:lineRule="auto"/>
              <w:rPr>
                <w:rFonts w:asciiTheme="minorBidi" w:hAnsiTheme="minorBidi" w:cstheme="minorBidi"/>
                <w:color w:val="000000" w:themeColor="text1"/>
                <w:sz w:val="18"/>
                <w:szCs w:val="18"/>
                <w:rtl/>
              </w:rPr>
            </w:pPr>
          </w:p>
        </w:tc>
        <w:tc>
          <w:tcPr>
            <w:tcW w:w="1166" w:type="dxa"/>
            <w:tcBorders>
              <w:top w:val="single" w:sz="4" w:space="0" w:color="auto"/>
              <w:left w:val="single" w:sz="4" w:space="0" w:color="auto"/>
              <w:right w:val="single" w:sz="4" w:space="0" w:color="auto"/>
            </w:tcBorders>
            <w:shd w:val="clear" w:color="auto" w:fill="auto"/>
            <w:noWrap/>
          </w:tcPr>
          <w:p w14:paraId="411998F0" w14:textId="77777777" w:rsidR="0071415F" w:rsidRPr="00770C22" w:rsidRDefault="0071415F" w:rsidP="0071415F">
            <w:pPr>
              <w:bidi w:val="0"/>
              <w:spacing w:after="0" w:line="240" w:lineRule="auto"/>
              <w:rPr>
                <w:rFonts w:asciiTheme="minorBidi" w:hAnsiTheme="minorBidi" w:cstheme="minorBidi"/>
                <w:color w:val="000000" w:themeColor="text1"/>
                <w:sz w:val="18"/>
                <w:szCs w:val="18"/>
              </w:rPr>
            </w:pPr>
          </w:p>
        </w:tc>
        <w:tc>
          <w:tcPr>
            <w:tcW w:w="1386" w:type="dxa"/>
            <w:tcBorders>
              <w:top w:val="single" w:sz="4" w:space="0" w:color="auto"/>
              <w:left w:val="single" w:sz="4" w:space="0" w:color="auto"/>
              <w:right w:val="single" w:sz="4" w:space="0" w:color="auto"/>
            </w:tcBorders>
          </w:tcPr>
          <w:p w14:paraId="0E0D1146" w14:textId="77777777" w:rsidR="0071415F" w:rsidRPr="00770C22" w:rsidRDefault="0071415F" w:rsidP="0071415F">
            <w:pPr>
              <w:bidi w:val="0"/>
              <w:spacing w:after="0" w:line="240" w:lineRule="auto"/>
              <w:rPr>
                <w:rFonts w:asciiTheme="minorBidi" w:hAnsiTheme="minorBidi" w:cstheme="minorBidi"/>
                <w:sz w:val="18"/>
                <w:szCs w:val="18"/>
              </w:rPr>
            </w:pPr>
          </w:p>
        </w:tc>
      </w:tr>
      <w:tr w:rsidR="0071415F" w:rsidRPr="00770C22" w14:paraId="5850AB5B" w14:textId="77777777" w:rsidTr="00B866DB">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3F354E58" w14:textId="77777777" w:rsidR="0071415F" w:rsidRPr="00770C22" w:rsidRDefault="0071415F" w:rsidP="0071415F">
            <w:pPr>
              <w:tabs>
                <w:tab w:val="left" w:pos="9072"/>
              </w:tabs>
              <w:bidi w:val="0"/>
              <w:spacing w:after="0" w:line="240" w:lineRule="auto"/>
              <w:ind w:left="336"/>
              <w:jc w:val="both"/>
              <w:rPr>
                <w:rFonts w:asciiTheme="minorBidi" w:hAnsiTheme="minorBidi" w:cstheme="minorBidi"/>
                <w:b/>
                <w:bCs/>
                <w:color w:val="000000" w:themeColor="text1"/>
                <w:sz w:val="18"/>
                <w:szCs w:val="18"/>
              </w:rPr>
            </w:pPr>
            <w:r w:rsidRPr="00770C22">
              <w:rPr>
                <w:rFonts w:asciiTheme="minorBidi" w:hAnsiTheme="minorBidi" w:cstheme="minorBidi"/>
                <w:color w:val="000000" w:themeColor="text1"/>
                <w:sz w:val="18"/>
                <w:szCs w:val="18"/>
              </w:rPr>
              <w:t>Total greenhouse gas emissions per year (PCBS, 2020, 1000 ton CO2 eq)</w:t>
            </w:r>
          </w:p>
        </w:tc>
        <w:tc>
          <w:tcPr>
            <w:tcW w:w="1247" w:type="dxa"/>
            <w:tcBorders>
              <w:left w:val="nil"/>
              <w:bottom w:val="single" w:sz="4" w:space="0" w:color="auto"/>
              <w:right w:val="single" w:sz="4" w:space="0" w:color="auto"/>
            </w:tcBorders>
            <w:shd w:val="clear" w:color="auto" w:fill="auto"/>
            <w:noWrap/>
            <w:vAlign w:val="center"/>
          </w:tcPr>
          <w:p w14:paraId="7B0B570A"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bottom w:val="single" w:sz="4" w:space="0" w:color="auto"/>
              <w:right w:val="single" w:sz="4" w:space="0" w:color="auto"/>
            </w:tcBorders>
          </w:tcPr>
          <w:p w14:paraId="7D17090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tl/>
              </w:rPr>
            </w:pPr>
            <w:r w:rsidRPr="00770C22">
              <w:rPr>
                <w:rFonts w:asciiTheme="minorBidi" w:hAnsiTheme="minorBidi" w:cstheme="minorBidi"/>
                <w:color w:val="000000" w:themeColor="text1"/>
                <w:sz w:val="18"/>
                <w:szCs w:val="18"/>
                <w:rtl/>
              </w:rPr>
              <w:t>4527.7</w:t>
            </w:r>
            <w:r w:rsidRPr="00770C22">
              <w:rPr>
                <w:rFonts w:asciiTheme="minorBidi" w:hAnsiTheme="minorBidi" w:cstheme="minorBidi"/>
                <w:color w:val="000000" w:themeColor="text1"/>
                <w:sz w:val="18"/>
                <w:szCs w:val="18"/>
              </w:rPr>
              <w:t xml:space="preserve"> (2018)</w:t>
            </w:r>
          </w:p>
        </w:tc>
        <w:tc>
          <w:tcPr>
            <w:tcW w:w="1166" w:type="dxa"/>
            <w:tcBorders>
              <w:left w:val="single" w:sz="4" w:space="0" w:color="auto"/>
              <w:bottom w:val="single" w:sz="4" w:space="0" w:color="auto"/>
              <w:right w:val="single" w:sz="4" w:space="0" w:color="auto"/>
            </w:tcBorders>
            <w:shd w:val="clear" w:color="auto" w:fill="auto"/>
            <w:noWrap/>
          </w:tcPr>
          <w:p w14:paraId="77C13444" w14:textId="77777777" w:rsidR="0071415F" w:rsidRPr="00770C22" w:rsidRDefault="00DD0DC4" w:rsidP="00DD0DC4">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4829.45</w:t>
            </w:r>
          </w:p>
        </w:tc>
        <w:tc>
          <w:tcPr>
            <w:tcW w:w="1386" w:type="dxa"/>
            <w:tcBorders>
              <w:left w:val="single" w:sz="4" w:space="0" w:color="auto"/>
              <w:bottom w:val="single" w:sz="4" w:space="0" w:color="auto"/>
              <w:right w:val="single" w:sz="4" w:space="0" w:color="auto"/>
            </w:tcBorders>
          </w:tcPr>
          <w:p w14:paraId="49FF0ADD" w14:textId="77777777" w:rsidR="0071415F" w:rsidRPr="00770C22" w:rsidRDefault="003A27F2" w:rsidP="0071415F">
            <w:pPr>
              <w:bidi w:val="0"/>
              <w:spacing w:after="0" w:line="240" w:lineRule="auto"/>
              <w:jc w:val="center"/>
              <w:rPr>
                <w:rFonts w:asciiTheme="minorBidi" w:hAnsiTheme="minorBidi" w:cstheme="minorBidi"/>
                <w:sz w:val="18"/>
                <w:szCs w:val="18"/>
                <w:rtl/>
              </w:rPr>
            </w:pPr>
            <w:r w:rsidRPr="00770C22">
              <w:rPr>
                <w:rFonts w:asciiTheme="minorBidi" w:hAnsiTheme="minorBidi" w:cstheme="minorBidi"/>
                <w:sz w:val="18"/>
                <w:szCs w:val="18"/>
              </w:rPr>
              <w:t>Decrease</w:t>
            </w:r>
          </w:p>
        </w:tc>
      </w:tr>
      <w:tr w:rsidR="0071415F" w:rsidRPr="00770C22" w14:paraId="7030B8E5" w14:textId="77777777" w:rsidTr="002A1D30">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29CAB18E" w14:textId="77777777" w:rsidR="0071415F" w:rsidRPr="00F3507C" w:rsidRDefault="0071415F" w:rsidP="00F3507C">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 xml:space="preserve">Indicator 13.3.1 </w:t>
            </w:r>
            <w:r w:rsidRPr="00770C22">
              <w:rPr>
                <w:rFonts w:asciiTheme="minorBidi" w:hAnsiTheme="minorBidi" w:cstheme="minorBidi"/>
                <w:bCs/>
                <w:color w:val="000000" w:themeColor="text1"/>
                <w:sz w:val="18"/>
                <w:szCs w:val="18"/>
              </w:rPr>
              <w:t>Extent to which (i) global citizenship education and (ii) education for sustainable development (including climate change education) are mainstreamed in (a) national education policies; (b) curricula; (c) teacher education; and (d) student assessment</w:t>
            </w:r>
            <w:r w:rsidR="00304E2A" w:rsidRPr="00770C22">
              <w:rPr>
                <w:rFonts w:asciiTheme="minorBidi" w:hAnsiTheme="minorBidi" w:cstheme="minorBidi"/>
                <w:b/>
                <w:color w:val="000000" w:themeColor="text1"/>
                <w:sz w:val="18"/>
                <w:szCs w:val="18"/>
              </w:rPr>
              <w:t>(repeated with indicators: 4.7.1 and 12.8.1)</w:t>
            </w:r>
            <w:r w:rsidR="006E5093">
              <w:rPr>
                <w:rFonts w:asciiTheme="minorBidi" w:hAnsiTheme="minorBidi" w:cstheme="minorBidi"/>
                <w:b/>
                <w:color w:val="000000" w:themeColor="text1"/>
                <w:sz w:val="18"/>
                <w:szCs w:val="18"/>
              </w:rPr>
              <w:t>.</w:t>
            </w:r>
          </w:p>
        </w:tc>
        <w:tc>
          <w:tcPr>
            <w:tcW w:w="1247" w:type="dxa"/>
            <w:tcBorders>
              <w:top w:val="single" w:sz="4" w:space="0" w:color="auto"/>
              <w:left w:val="nil"/>
              <w:right w:val="single" w:sz="4" w:space="0" w:color="auto"/>
            </w:tcBorders>
            <w:shd w:val="clear" w:color="auto" w:fill="auto"/>
            <w:noWrap/>
          </w:tcPr>
          <w:p w14:paraId="600A52DA"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07194CDD"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166" w:type="dxa"/>
            <w:tcBorders>
              <w:top w:val="single" w:sz="4" w:space="0" w:color="auto"/>
              <w:left w:val="single" w:sz="4" w:space="0" w:color="auto"/>
              <w:right w:val="single" w:sz="4" w:space="0" w:color="auto"/>
            </w:tcBorders>
            <w:shd w:val="clear" w:color="auto" w:fill="auto"/>
            <w:noWrap/>
          </w:tcPr>
          <w:p w14:paraId="70A681B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386" w:type="dxa"/>
            <w:tcBorders>
              <w:top w:val="single" w:sz="4" w:space="0" w:color="auto"/>
              <w:left w:val="single" w:sz="4" w:space="0" w:color="auto"/>
              <w:right w:val="single" w:sz="4" w:space="0" w:color="auto"/>
            </w:tcBorders>
          </w:tcPr>
          <w:p w14:paraId="3ECA411D"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56E5C905" w14:textId="77777777" w:rsidTr="002A1D30">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18320E59" w14:textId="77777777" w:rsidR="0071415F" w:rsidRPr="00770C22" w:rsidRDefault="0071415F" w:rsidP="003B09C1">
            <w:pPr>
              <w:tabs>
                <w:tab w:val="left" w:pos="9072"/>
              </w:tabs>
              <w:bidi w:val="0"/>
              <w:spacing w:after="0" w:line="240" w:lineRule="auto"/>
              <w:ind w:left="60"/>
              <w:jc w:val="both"/>
              <w:rPr>
                <w:rFonts w:asciiTheme="minorBidi" w:hAnsiTheme="minorBidi" w:cstheme="minorBidi"/>
                <w:b/>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national education policies(UNSD, 2020, Index)</w:t>
            </w:r>
          </w:p>
        </w:tc>
        <w:tc>
          <w:tcPr>
            <w:tcW w:w="1247" w:type="dxa"/>
            <w:tcBorders>
              <w:left w:val="single" w:sz="4" w:space="0" w:color="auto"/>
              <w:bottom w:val="single" w:sz="4" w:space="0" w:color="auto"/>
              <w:right w:val="single" w:sz="4" w:space="0" w:color="auto"/>
            </w:tcBorders>
            <w:shd w:val="clear" w:color="auto" w:fill="auto"/>
            <w:noWrap/>
          </w:tcPr>
          <w:p w14:paraId="535D2833"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single" w:sz="4" w:space="0" w:color="auto"/>
              <w:bottom w:val="single" w:sz="4" w:space="0" w:color="auto"/>
              <w:right w:val="single" w:sz="4" w:space="0" w:color="auto"/>
            </w:tcBorders>
          </w:tcPr>
          <w:p w14:paraId="37DC0B63"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166" w:type="dxa"/>
            <w:tcBorders>
              <w:left w:val="single" w:sz="4" w:space="0" w:color="auto"/>
              <w:bottom w:val="single" w:sz="4" w:space="0" w:color="auto"/>
              <w:right w:val="single" w:sz="4" w:space="0" w:color="auto"/>
            </w:tcBorders>
            <w:shd w:val="clear" w:color="auto" w:fill="auto"/>
            <w:noWrap/>
          </w:tcPr>
          <w:p w14:paraId="0FADAD2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0.875</w:t>
            </w:r>
          </w:p>
        </w:tc>
        <w:tc>
          <w:tcPr>
            <w:tcW w:w="1386" w:type="dxa"/>
            <w:tcBorders>
              <w:left w:val="single" w:sz="4" w:space="0" w:color="auto"/>
              <w:bottom w:val="single" w:sz="4" w:space="0" w:color="auto"/>
              <w:right w:val="single" w:sz="4" w:space="0" w:color="auto"/>
            </w:tcBorders>
          </w:tcPr>
          <w:p w14:paraId="14D8A95B"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C02000" w:rsidRPr="00770C22" w14:paraId="4069DA1C" w14:textId="77777777" w:rsidTr="002A1D30">
        <w:trPr>
          <w:trHeight w:val="1646"/>
          <w:jc w:val="center"/>
        </w:trPr>
        <w:tc>
          <w:tcPr>
            <w:tcW w:w="5102" w:type="dxa"/>
            <w:tcBorders>
              <w:top w:val="single" w:sz="4" w:space="0" w:color="auto"/>
              <w:left w:val="single" w:sz="4" w:space="0" w:color="auto"/>
              <w:right w:val="single" w:sz="4" w:space="0" w:color="auto"/>
            </w:tcBorders>
            <w:shd w:val="clear" w:color="auto" w:fill="auto"/>
            <w:noWrap/>
            <w:vAlign w:val="center"/>
          </w:tcPr>
          <w:p w14:paraId="485DB12A" w14:textId="77777777" w:rsidR="00C02000" w:rsidRPr="00B866DB" w:rsidRDefault="00C02000" w:rsidP="00B866DB">
            <w:pPr>
              <w:tabs>
                <w:tab w:val="left" w:pos="9072"/>
              </w:tabs>
              <w:bidi w:val="0"/>
              <w:spacing w:after="0" w:line="240" w:lineRule="auto"/>
              <w:ind w:left="60"/>
              <w:jc w:val="both"/>
              <w:rPr>
                <w:rFonts w:asciiTheme="minorBidi" w:hAnsiTheme="minorBidi" w:cstheme="minorBidi"/>
                <w:color w:val="000000" w:themeColor="text1"/>
                <w:sz w:val="18"/>
                <w:szCs w:val="18"/>
              </w:rPr>
            </w:pPr>
            <w:r w:rsidRPr="00B866DB">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curricula (UNSD, 2020, Index)</w:t>
            </w:r>
          </w:p>
          <w:p w14:paraId="4D6264C2" w14:textId="77777777" w:rsidR="00C02000" w:rsidRPr="00B866DB" w:rsidRDefault="00C02000" w:rsidP="003B09C1">
            <w:pPr>
              <w:tabs>
                <w:tab w:val="left" w:pos="9072"/>
              </w:tabs>
              <w:bidi w:val="0"/>
              <w:spacing w:after="0" w:line="240" w:lineRule="auto"/>
              <w:ind w:left="60"/>
              <w:jc w:val="both"/>
              <w:rPr>
                <w:rFonts w:asciiTheme="minorBidi" w:hAnsiTheme="minorBidi" w:cstheme="minorBidi"/>
                <w:color w:val="000000" w:themeColor="text1"/>
                <w:sz w:val="18"/>
                <w:szCs w:val="18"/>
              </w:rPr>
            </w:pPr>
            <w:r w:rsidRPr="00B866DB">
              <w:rPr>
                <w:rFonts w:asciiTheme="minorBidi" w:hAnsiTheme="minorBidi" w:cstheme="minorBidi"/>
                <w:color w:val="000000" w:themeColor="text1"/>
                <w:sz w:val="18"/>
                <w:szCs w:val="18"/>
              </w:rPr>
              <w:t xml:space="preserve">Extent to which (i) </w:t>
            </w:r>
            <w:r w:rsidRPr="00F3507C">
              <w:rPr>
                <w:rFonts w:asciiTheme="minorBidi" w:hAnsiTheme="minorBidi" w:cstheme="minorBidi"/>
                <w:color w:val="000000" w:themeColor="text1"/>
                <w:sz w:val="16"/>
                <w:szCs w:val="16"/>
              </w:rPr>
              <w:t>global</w:t>
            </w:r>
            <w:r w:rsidRPr="00B866DB">
              <w:rPr>
                <w:rFonts w:asciiTheme="minorBidi" w:hAnsiTheme="minorBidi" w:cstheme="minorBidi"/>
                <w:color w:val="000000" w:themeColor="text1"/>
                <w:sz w:val="18"/>
                <w:szCs w:val="18"/>
              </w:rPr>
              <w:t xml:space="preserve"> citizenship education and (ii) education for sustainable development (including climate change education) are mainstreamed in teacher education (UNSD, 2020, Index)</w:t>
            </w:r>
          </w:p>
        </w:tc>
        <w:tc>
          <w:tcPr>
            <w:tcW w:w="1247" w:type="dxa"/>
            <w:tcBorders>
              <w:top w:val="single" w:sz="4" w:space="0" w:color="auto"/>
              <w:left w:val="single" w:sz="4" w:space="0" w:color="auto"/>
              <w:right w:val="single" w:sz="4" w:space="0" w:color="auto"/>
            </w:tcBorders>
            <w:shd w:val="clear" w:color="auto" w:fill="auto"/>
            <w:noWrap/>
          </w:tcPr>
          <w:p w14:paraId="52C051C6" w14:textId="77777777" w:rsidR="00C02000" w:rsidRPr="00770C22" w:rsidRDefault="00C02000"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p w14:paraId="370DF6F7" w14:textId="77777777" w:rsidR="00C02000" w:rsidRDefault="00C02000" w:rsidP="0071415F">
            <w:pPr>
              <w:spacing w:after="0" w:line="240" w:lineRule="auto"/>
              <w:jc w:val="center"/>
              <w:rPr>
                <w:rFonts w:asciiTheme="minorBidi" w:hAnsiTheme="minorBidi" w:cstheme="minorBidi"/>
                <w:color w:val="000000" w:themeColor="text1"/>
                <w:sz w:val="18"/>
                <w:szCs w:val="18"/>
              </w:rPr>
            </w:pPr>
          </w:p>
          <w:p w14:paraId="2DC839FF" w14:textId="77777777" w:rsidR="00C02000" w:rsidRDefault="00C02000" w:rsidP="0071415F">
            <w:pPr>
              <w:spacing w:after="0" w:line="240" w:lineRule="auto"/>
              <w:jc w:val="center"/>
              <w:rPr>
                <w:rFonts w:asciiTheme="minorBidi" w:hAnsiTheme="minorBidi" w:cstheme="minorBidi"/>
                <w:color w:val="000000" w:themeColor="text1"/>
                <w:sz w:val="18"/>
                <w:szCs w:val="18"/>
              </w:rPr>
            </w:pPr>
          </w:p>
          <w:p w14:paraId="7565C46C" w14:textId="77777777" w:rsidR="00C02000" w:rsidRDefault="00C02000" w:rsidP="0071415F">
            <w:pPr>
              <w:spacing w:after="0" w:line="240" w:lineRule="auto"/>
              <w:jc w:val="center"/>
              <w:rPr>
                <w:rFonts w:asciiTheme="minorBidi" w:hAnsiTheme="minorBidi" w:cstheme="minorBidi"/>
                <w:color w:val="000000" w:themeColor="text1"/>
                <w:sz w:val="18"/>
                <w:szCs w:val="18"/>
              </w:rPr>
            </w:pPr>
          </w:p>
          <w:p w14:paraId="5C2D6CCD" w14:textId="77777777" w:rsidR="00C02000" w:rsidRPr="00770C22" w:rsidRDefault="00C02000"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single" w:sz="4" w:space="0" w:color="auto"/>
              <w:right w:val="single" w:sz="4" w:space="0" w:color="auto"/>
            </w:tcBorders>
          </w:tcPr>
          <w:p w14:paraId="55B3E131" w14:textId="77777777" w:rsidR="00C02000" w:rsidRPr="00770C22" w:rsidRDefault="00C02000" w:rsidP="0071415F">
            <w:pPr>
              <w:spacing w:after="0" w:line="240" w:lineRule="auto"/>
              <w:jc w:val="center"/>
              <w:rPr>
                <w:rFonts w:asciiTheme="minorBidi" w:hAnsiTheme="minorBidi" w:cstheme="minorBidi"/>
                <w:color w:val="000000" w:themeColor="text1"/>
                <w:sz w:val="18"/>
                <w:szCs w:val="18"/>
                <w:rtl/>
              </w:rPr>
            </w:pPr>
          </w:p>
        </w:tc>
        <w:tc>
          <w:tcPr>
            <w:tcW w:w="1166" w:type="dxa"/>
            <w:tcBorders>
              <w:top w:val="single" w:sz="4" w:space="0" w:color="auto"/>
              <w:left w:val="single" w:sz="4" w:space="0" w:color="auto"/>
              <w:right w:val="single" w:sz="4" w:space="0" w:color="auto"/>
            </w:tcBorders>
            <w:shd w:val="clear" w:color="auto" w:fill="auto"/>
            <w:noWrap/>
          </w:tcPr>
          <w:p w14:paraId="70D30424" w14:textId="77777777" w:rsidR="00C02000" w:rsidRPr="00770C22" w:rsidRDefault="00C02000"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0.708</w:t>
            </w:r>
          </w:p>
          <w:p w14:paraId="6A52D622" w14:textId="77777777" w:rsidR="00C02000" w:rsidRDefault="00C02000" w:rsidP="0071415F">
            <w:pPr>
              <w:bidi w:val="0"/>
              <w:spacing w:after="0" w:line="240" w:lineRule="auto"/>
              <w:jc w:val="center"/>
              <w:rPr>
                <w:rFonts w:asciiTheme="minorBidi" w:hAnsiTheme="minorBidi" w:cstheme="minorBidi"/>
                <w:color w:val="000000" w:themeColor="text1"/>
                <w:sz w:val="18"/>
                <w:szCs w:val="18"/>
              </w:rPr>
            </w:pPr>
          </w:p>
          <w:p w14:paraId="06EDB657" w14:textId="77777777" w:rsidR="00C02000" w:rsidRDefault="00C02000" w:rsidP="00C02000">
            <w:pPr>
              <w:bidi w:val="0"/>
              <w:spacing w:after="0" w:line="240" w:lineRule="auto"/>
              <w:jc w:val="center"/>
              <w:rPr>
                <w:rFonts w:asciiTheme="minorBidi" w:hAnsiTheme="minorBidi" w:cstheme="minorBidi"/>
                <w:color w:val="000000" w:themeColor="text1"/>
                <w:sz w:val="18"/>
                <w:szCs w:val="18"/>
              </w:rPr>
            </w:pPr>
          </w:p>
          <w:p w14:paraId="6878CEDE" w14:textId="77777777" w:rsidR="00C02000" w:rsidRDefault="00C02000" w:rsidP="00C02000">
            <w:pPr>
              <w:bidi w:val="0"/>
              <w:spacing w:after="0" w:line="240" w:lineRule="auto"/>
              <w:jc w:val="center"/>
              <w:rPr>
                <w:rFonts w:asciiTheme="minorBidi" w:hAnsiTheme="minorBidi" w:cstheme="minorBidi"/>
                <w:color w:val="000000" w:themeColor="text1"/>
                <w:sz w:val="18"/>
                <w:szCs w:val="18"/>
              </w:rPr>
            </w:pPr>
          </w:p>
          <w:p w14:paraId="7DA4FB61" w14:textId="77777777" w:rsidR="00C02000" w:rsidRPr="00770C22" w:rsidRDefault="00C02000" w:rsidP="00C02000">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0.800</w:t>
            </w:r>
          </w:p>
        </w:tc>
        <w:tc>
          <w:tcPr>
            <w:tcW w:w="1386" w:type="dxa"/>
            <w:tcBorders>
              <w:top w:val="single" w:sz="4" w:space="0" w:color="auto"/>
              <w:left w:val="single" w:sz="4" w:space="0" w:color="auto"/>
              <w:right w:val="single" w:sz="4" w:space="0" w:color="auto"/>
            </w:tcBorders>
          </w:tcPr>
          <w:p w14:paraId="3D4CA52F" w14:textId="77777777" w:rsidR="00C02000" w:rsidRPr="00770C22" w:rsidRDefault="00C02000" w:rsidP="0071415F">
            <w:pPr>
              <w:bidi w:val="0"/>
              <w:spacing w:after="0" w:line="240" w:lineRule="auto"/>
              <w:jc w:val="center"/>
              <w:rPr>
                <w:rFonts w:asciiTheme="minorBidi" w:hAnsiTheme="minorBidi" w:cstheme="minorBidi"/>
                <w:sz w:val="18"/>
                <w:szCs w:val="18"/>
              </w:rPr>
            </w:pPr>
          </w:p>
        </w:tc>
      </w:tr>
      <w:tr w:rsidR="0071415F" w:rsidRPr="00770C22" w14:paraId="7B1314BE" w14:textId="77777777" w:rsidTr="00B866DB">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37E13C70" w14:textId="77777777" w:rsidR="0071415F" w:rsidRPr="00B866DB" w:rsidRDefault="0071415F" w:rsidP="003B09C1">
            <w:pPr>
              <w:tabs>
                <w:tab w:val="left" w:pos="9072"/>
              </w:tabs>
              <w:bidi w:val="0"/>
              <w:spacing w:after="0" w:line="240" w:lineRule="auto"/>
              <w:ind w:left="60"/>
              <w:jc w:val="both"/>
              <w:rPr>
                <w:rFonts w:asciiTheme="minorBidi" w:hAnsiTheme="minorBidi" w:cstheme="minorBidi"/>
                <w:color w:val="000000" w:themeColor="text1"/>
                <w:sz w:val="18"/>
                <w:szCs w:val="18"/>
              </w:rPr>
            </w:pPr>
            <w:r w:rsidRPr="00B866DB">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student assessment (UNSD, 2020, Index)</w:t>
            </w:r>
          </w:p>
        </w:tc>
        <w:tc>
          <w:tcPr>
            <w:tcW w:w="1247" w:type="dxa"/>
            <w:tcBorders>
              <w:left w:val="single" w:sz="4" w:space="0" w:color="auto"/>
              <w:bottom w:val="single" w:sz="4" w:space="0" w:color="auto"/>
              <w:right w:val="single" w:sz="4" w:space="0" w:color="auto"/>
            </w:tcBorders>
            <w:shd w:val="clear" w:color="auto" w:fill="auto"/>
            <w:noWrap/>
          </w:tcPr>
          <w:p w14:paraId="56D86D7A"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single" w:sz="4" w:space="0" w:color="auto"/>
              <w:bottom w:val="single" w:sz="4" w:space="0" w:color="auto"/>
              <w:right w:val="single" w:sz="4" w:space="0" w:color="auto"/>
            </w:tcBorders>
          </w:tcPr>
          <w:p w14:paraId="47ECC486"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166" w:type="dxa"/>
            <w:tcBorders>
              <w:left w:val="single" w:sz="4" w:space="0" w:color="auto"/>
              <w:bottom w:val="single" w:sz="4" w:space="0" w:color="auto"/>
              <w:right w:val="single" w:sz="4" w:space="0" w:color="auto"/>
            </w:tcBorders>
            <w:shd w:val="clear" w:color="auto" w:fill="auto"/>
            <w:noWrap/>
          </w:tcPr>
          <w:p w14:paraId="613C356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0.833</w:t>
            </w:r>
          </w:p>
        </w:tc>
        <w:tc>
          <w:tcPr>
            <w:tcW w:w="1386" w:type="dxa"/>
            <w:tcBorders>
              <w:left w:val="single" w:sz="4" w:space="0" w:color="auto"/>
              <w:bottom w:val="single" w:sz="4" w:space="0" w:color="auto"/>
              <w:right w:val="single" w:sz="4" w:space="0" w:color="auto"/>
            </w:tcBorders>
          </w:tcPr>
          <w:p w14:paraId="5DD97966" w14:textId="77777777" w:rsidR="0071415F" w:rsidRPr="00770C22" w:rsidRDefault="0071415F" w:rsidP="0071415F">
            <w:pPr>
              <w:bidi w:val="0"/>
              <w:spacing w:after="0" w:line="240" w:lineRule="auto"/>
              <w:jc w:val="center"/>
              <w:rPr>
                <w:rFonts w:asciiTheme="minorBidi" w:hAnsiTheme="minorBidi" w:cstheme="minorBidi"/>
                <w:color w:val="FF0000"/>
                <w:sz w:val="18"/>
                <w:szCs w:val="18"/>
              </w:rPr>
            </w:pPr>
          </w:p>
        </w:tc>
      </w:tr>
    </w:tbl>
    <w:p w14:paraId="260FC34C" w14:textId="77777777" w:rsidR="0071415F" w:rsidRPr="00F3507C" w:rsidRDefault="0071415F" w:rsidP="00F3507C">
      <w:pPr>
        <w:bidi w:val="0"/>
        <w:spacing w:after="0" w:line="240" w:lineRule="auto"/>
        <w:jc w:val="both"/>
        <w:rPr>
          <w:rFonts w:ascii="Arial" w:hAnsi="Arial"/>
          <w:color w:val="000000"/>
          <w:sz w:val="18"/>
          <w:szCs w:val="18"/>
        </w:rPr>
      </w:pPr>
      <w:r w:rsidRPr="000D2E4D">
        <w:rPr>
          <w:rFonts w:ascii="Arial" w:hAnsi="Arial"/>
          <w:color w:val="000000"/>
          <w:sz w:val="18"/>
          <w:szCs w:val="18"/>
        </w:rPr>
        <w:t>*Data represent</w:t>
      </w:r>
      <w:r w:rsidR="006E5093">
        <w:rPr>
          <w:rFonts w:ascii="Arial" w:hAnsi="Arial"/>
          <w:color w:val="000000"/>
          <w:sz w:val="18"/>
          <w:szCs w:val="18"/>
        </w:rPr>
        <w:t>s</w:t>
      </w:r>
      <w:r w:rsidRPr="000D2E4D">
        <w:rPr>
          <w:rFonts w:ascii="Arial" w:hAnsi="Arial"/>
          <w:color w:val="000000"/>
          <w:sz w:val="18"/>
          <w:szCs w:val="18"/>
        </w:rPr>
        <w:t xml:space="preserve"> all West Bank Governorates</w:t>
      </w:r>
    </w:p>
    <w:p w14:paraId="45C40144" w14:textId="77777777" w:rsidR="0071415F" w:rsidRPr="00F3507C"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0B71728F"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13.1.1 Number of deaths, missing persons</w:t>
      </w:r>
      <w:r w:rsidR="00D727C1">
        <w:rPr>
          <w:rFonts w:ascii="Times New Roman" w:hAnsi="Times New Roman" w:cs="Times New Roman"/>
          <w:b/>
          <w:bCs/>
          <w:i/>
          <w:iCs/>
          <w:color w:val="000000" w:themeColor="text1"/>
          <w:sz w:val="24"/>
          <w:szCs w:val="24"/>
        </w:rPr>
        <w:t>,</w:t>
      </w:r>
      <w:r w:rsidRPr="00966878">
        <w:rPr>
          <w:rFonts w:ascii="Times New Roman" w:hAnsi="Times New Roman" w:cs="Times New Roman"/>
          <w:b/>
          <w:bCs/>
          <w:i/>
          <w:iCs/>
          <w:color w:val="000000" w:themeColor="text1"/>
          <w:sz w:val="24"/>
          <w:szCs w:val="24"/>
        </w:rPr>
        <w:t xml:space="preserve"> and directly affected persons attributed to disasters per 100,000 population</w:t>
      </w:r>
    </w:p>
    <w:p w14:paraId="1A449E29" w14:textId="77777777" w:rsidR="0071415F" w:rsidRPr="00F3507C"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557445F0"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13.1.1.1 Number of deaths attributed to disasters per 100,000 population; and Indicator 13.1.1.2 Number of missing persons attributed to disasters per 100,000 population</w:t>
      </w:r>
    </w:p>
    <w:p w14:paraId="68ABE71F" w14:textId="77777777" w:rsidR="00A92234" w:rsidRPr="00F3507C"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18"/>
          <w:szCs w:val="18"/>
        </w:rPr>
      </w:pPr>
    </w:p>
    <w:p w14:paraId="25CE6F6C"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 total number of deaths attributed to disasters in Palestine </w:t>
      </w:r>
      <w:r w:rsidR="00D727C1">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0.02 deaths per 100,000 population in 2018 compared with 1.42 per 100,000 of population in 2017, while there were no missing persons attributed to disasters during 2006-2017. </w:t>
      </w:r>
    </w:p>
    <w:p w14:paraId="7B954FEF"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A286B87" w14:textId="77777777" w:rsidR="0071415F" w:rsidRPr="00966878" w:rsidRDefault="0071415F" w:rsidP="0071415F">
      <w:pPr>
        <w:bidi w:val="0"/>
        <w:spacing w:after="0" w:line="240" w:lineRule="auto"/>
        <w:ind w:left="70"/>
        <w:jc w:val="center"/>
        <w:rPr>
          <w:rFonts w:ascii="Arial" w:hAnsi="Arial"/>
          <w:b/>
          <w:bCs/>
          <w:color w:val="000000" w:themeColor="text1"/>
        </w:rPr>
      </w:pPr>
      <w:r w:rsidRPr="00966878">
        <w:rPr>
          <w:rFonts w:ascii="Arial" w:hAnsi="Arial"/>
          <w:b/>
          <w:bCs/>
          <w:color w:val="000000" w:themeColor="text1"/>
        </w:rPr>
        <w:t>Number of Deaths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EC71D3" w14:paraId="21651F20" w14:textId="77777777" w:rsidTr="0071415F">
        <w:tc>
          <w:tcPr>
            <w:tcW w:w="9286" w:type="dxa"/>
            <w:shd w:val="clear" w:color="auto" w:fill="auto"/>
          </w:tcPr>
          <w:p w14:paraId="6BB1DC81" w14:textId="77777777" w:rsidR="0071415F" w:rsidRPr="00EC71D3" w:rsidRDefault="0071415F" w:rsidP="0071415F">
            <w:pPr>
              <w:tabs>
                <w:tab w:val="left" w:pos="9072"/>
              </w:tabs>
              <w:bidi w:val="0"/>
              <w:spacing w:after="0" w:line="240" w:lineRule="auto"/>
              <w:jc w:val="center"/>
              <w:rPr>
                <w:rFonts w:ascii="Arial" w:hAnsi="Arial"/>
                <w:b/>
                <w:bCs/>
                <w:color w:val="FF0000"/>
                <w:lang w:val="it-IT"/>
              </w:rPr>
            </w:pPr>
            <w:r w:rsidRPr="00EC71D3">
              <w:rPr>
                <w:rFonts w:ascii="Times New Roman" w:hAnsi="Times New Roman" w:cs="Times New Roman"/>
                <w:b/>
                <w:bCs/>
                <w:noProof/>
                <w:color w:val="FF0000"/>
              </w:rPr>
              <w:drawing>
                <wp:inline distT="0" distB="0" distL="0" distR="0" wp14:anchorId="5BD32211" wp14:editId="4DCEC64F">
                  <wp:extent cx="5661025" cy="1924050"/>
                  <wp:effectExtent l="0" t="0" r="0" b="0"/>
                  <wp:docPr id="1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tc>
      </w:tr>
    </w:tbl>
    <w:p w14:paraId="3F67D595" w14:textId="77777777" w:rsidR="0071415F" w:rsidRPr="00770C22" w:rsidRDefault="0071415F" w:rsidP="0071415F">
      <w:pPr>
        <w:pStyle w:val="FootnoteText"/>
        <w:bidi w:val="0"/>
        <w:rPr>
          <w:rFonts w:asciiTheme="minorBidi" w:hAnsiTheme="minorBidi" w:cstheme="minorBidi"/>
          <w:b/>
          <w:bCs/>
          <w:color w:val="000000" w:themeColor="text1"/>
          <w:sz w:val="18"/>
          <w:szCs w:val="18"/>
        </w:rPr>
      </w:pPr>
      <w:r w:rsidRPr="00770C22">
        <w:rPr>
          <w:rFonts w:asciiTheme="minorBidi" w:hAnsiTheme="minorBidi" w:cstheme="minorBidi"/>
          <w:b/>
          <w:bCs/>
          <w:color w:val="000000" w:themeColor="text1"/>
          <w:sz w:val="18"/>
          <w:szCs w:val="18"/>
        </w:rPr>
        <w:t xml:space="preserve">Source: National Disaster Risk Management Center, and </w:t>
      </w:r>
      <w:hyperlink r:id="rId153" w:history="1">
        <w:r w:rsidRPr="00770C22">
          <w:rPr>
            <w:rStyle w:val="Hyperlink"/>
            <w:rFonts w:asciiTheme="minorBidi" w:hAnsiTheme="minorBidi" w:cstheme="minorBidi"/>
            <w:b/>
            <w:bCs/>
            <w:color w:val="000000" w:themeColor="text1"/>
            <w:sz w:val="18"/>
            <w:szCs w:val="18"/>
          </w:rPr>
          <w:t>https://unstats.un.org/sdgs/indicators/database</w:t>
        </w:r>
      </w:hyperlink>
    </w:p>
    <w:p w14:paraId="0D798F7F"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B82B0DD"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13.1.1.3 Number of directly affected persons attributed to disasters per 100,000 population</w:t>
      </w:r>
    </w:p>
    <w:p w14:paraId="2FC7CAD4" w14:textId="77777777" w:rsidR="00A92234" w:rsidRPr="00F3507C"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1EBCF7DE" w14:textId="77777777" w:rsidR="00F3507C" w:rsidRDefault="0071415F"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On other hand, the total number of directly affected persons attributed to disasters per 100,000</w:t>
      </w:r>
      <w:r w:rsidR="00D727C1">
        <w:rPr>
          <w:rFonts w:ascii="Times New Roman" w:hAnsi="Times New Roman" w:cs="Times New Roman"/>
          <w:color w:val="000000" w:themeColor="text1"/>
          <w:sz w:val="24"/>
          <w:szCs w:val="24"/>
        </w:rPr>
        <w:t xml:space="preserve"> persons</w:t>
      </w:r>
      <w:r w:rsidRPr="00966878">
        <w:rPr>
          <w:rFonts w:ascii="Times New Roman" w:hAnsi="Times New Roman" w:cs="Times New Roman"/>
          <w:color w:val="000000" w:themeColor="text1"/>
          <w:sz w:val="24"/>
          <w:szCs w:val="24"/>
        </w:rPr>
        <w:t xml:space="preserve"> of </w:t>
      </w:r>
      <w:r w:rsidR="00D727C1">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 xml:space="preserve">population in Palestine </w:t>
      </w:r>
      <w:r w:rsidR="00D727C1">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6.3 per 100,000 of </w:t>
      </w:r>
      <w:r w:rsidR="00D727C1">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 xml:space="preserve">population in 2018 compared with </w:t>
      </w:r>
      <w:r w:rsidR="00E67BA8">
        <w:rPr>
          <w:rFonts w:ascii="Times New Roman" w:hAnsi="Times New Roman" w:cs="Times New Roman" w:hint="cs"/>
          <w:color w:val="000000" w:themeColor="text1"/>
          <w:sz w:val="24"/>
          <w:szCs w:val="24"/>
          <w:rtl/>
        </w:rPr>
        <w:t>39</w:t>
      </w:r>
      <w:r w:rsidRPr="00966878">
        <w:rPr>
          <w:rFonts w:ascii="Times New Roman" w:hAnsi="Times New Roman" w:cs="Times New Roman"/>
          <w:color w:val="000000" w:themeColor="text1"/>
          <w:sz w:val="24"/>
          <w:szCs w:val="24"/>
        </w:rPr>
        <w:t>.</w:t>
      </w:r>
      <w:r w:rsidR="00E67BA8">
        <w:rPr>
          <w:rFonts w:ascii="Times New Roman" w:hAnsi="Times New Roman" w:cs="Times New Roman" w:hint="cs"/>
          <w:color w:val="000000" w:themeColor="text1"/>
          <w:sz w:val="24"/>
          <w:szCs w:val="24"/>
          <w:rtl/>
        </w:rPr>
        <w:t>0</w:t>
      </w:r>
      <w:r w:rsidRPr="00966878">
        <w:rPr>
          <w:rFonts w:ascii="Times New Roman" w:hAnsi="Times New Roman" w:cs="Times New Roman"/>
          <w:color w:val="000000" w:themeColor="text1"/>
          <w:sz w:val="24"/>
          <w:szCs w:val="24"/>
        </w:rPr>
        <w:t xml:space="preserve"> per 100,000 </w:t>
      </w:r>
      <w:r w:rsidR="00D727C1">
        <w:rPr>
          <w:rFonts w:ascii="Times New Roman" w:hAnsi="Times New Roman" w:cs="Times New Roman"/>
          <w:color w:val="000000" w:themeColor="text1"/>
          <w:sz w:val="24"/>
          <w:szCs w:val="24"/>
        </w:rPr>
        <w:t xml:space="preserve">persons </w:t>
      </w:r>
      <w:r w:rsidRPr="00966878">
        <w:rPr>
          <w:rFonts w:ascii="Times New Roman" w:hAnsi="Times New Roman" w:cs="Times New Roman"/>
          <w:color w:val="000000" w:themeColor="text1"/>
          <w:sz w:val="24"/>
          <w:szCs w:val="24"/>
        </w:rPr>
        <w:t xml:space="preserve">of </w:t>
      </w:r>
      <w:r w:rsidR="00D727C1">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population in 20</w:t>
      </w:r>
      <w:r w:rsidR="00E67BA8">
        <w:rPr>
          <w:rFonts w:ascii="Times New Roman" w:hAnsi="Times New Roman" w:cs="Times New Roman" w:hint="cs"/>
          <w:color w:val="000000" w:themeColor="text1"/>
          <w:sz w:val="24"/>
          <w:szCs w:val="24"/>
          <w:rtl/>
        </w:rPr>
        <w:t>1</w:t>
      </w:r>
      <w:r w:rsidRPr="00966878">
        <w:rPr>
          <w:rFonts w:ascii="Times New Roman" w:hAnsi="Times New Roman" w:cs="Times New Roman"/>
          <w:color w:val="000000" w:themeColor="text1"/>
          <w:sz w:val="24"/>
          <w:szCs w:val="24"/>
        </w:rPr>
        <w:t>5.</w:t>
      </w:r>
    </w:p>
    <w:p w14:paraId="527DB2C0" w14:textId="77777777" w:rsidR="002A1D30" w:rsidRDefault="002A1D30" w:rsidP="002A1D3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B3F44F2" w14:textId="77777777" w:rsidR="00F3507C" w:rsidRDefault="00F3507C" w:rsidP="00F3507C">
      <w:pPr>
        <w:tabs>
          <w:tab w:val="left" w:pos="9072"/>
        </w:tabs>
        <w:bidi w:val="0"/>
        <w:spacing w:after="0" w:line="240" w:lineRule="auto"/>
        <w:ind w:firstLine="142"/>
        <w:jc w:val="center"/>
        <w:rPr>
          <w:rFonts w:ascii="Arial" w:hAnsi="Arial"/>
          <w:b/>
          <w:bCs/>
          <w:color w:val="000000" w:themeColor="text1"/>
        </w:rPr>
      </w:pPr>
    </w:p>
    <w:p w14:paraId="0544BF8D" w14:textId="77777777" w:rsidR="0071415F" w:rsidRPr="00966878" w:rsidRDefault="0071415F" w:rsidP="0071415F">
      <w:pPr>
        <w:tabs>
          <w:tab w:val="left" w:pos="9072"/>
        </w:tabs>
        <w:bidi w:val="0"/>
        <w:spacing w:after="0" w:line="240" w:lineRule="auto"/>
        <w:ind w:firstLine="142"/>
        <w:jc w:val="center"/>
        <w:rPr>
          <w:rFonts w:ascii="Arial" w:hAnsi="Arial"/>
          <w:b/>
          <w:bCs/>
          <w:color w:val="000000" w:themeColor="text1"/>
        </w:rPr>
      </w:pPr>
      <w:r w:rsidRPr="00966878">
        <w:rPr>
          <w:rFonts w:ascii="Arial" w:hAnsi="Arial"/>
          <w:b/>
          <w:bCs/>
          <w:color w:val="000000" w:themeColor="text1"/>
        </w:rPr>
        <w:t>Number of Directly Affected Persons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EC71D3" w14:paraId="5EE136FA" w14:textId="77777777" w:rsidTr="0071415F">
        <w:tc>
          <w:tcPr>
            <w:tcW w:w="9286" w:type="dxa"/>
            <w:shd w:val="clear" w:color="auto" w:fill="auto"/>
          </w:tcPr>
          <w:p w14:paraId="39752A36" w14:textId="77777777" w:rsidR="0071415F" w:rsidRPr="00EC71D3" w:rsidRDefault="0071415F" w:rsidP="0071415F">
            <w:pPr>
              <w:tabs>
                <w:tab w:val="left" w:pos="9072"/>
              </w:tabs>
              <w:bidi w:val="0"/>
              <w:spacing w:after="0" w:line="240" w:lineRule="auto"/>
              <w:jc w:val="center"/>
              <w:rPr>
                <w:rFonts w:ascii="Arial" w:hAnsi="Arial"/>
                <w:b/>
                <w:bCs/>
                <w:color w:val="FF0000"/>
                <w:lang w:val="it-IT"/>
              </w:rPr>
            </w:pPr>
            <w:r w:rsidRPr="00EC71D3">
              <w:rPr>
                <w:rFonts w:ascii="Times New Roman" w:hAnsi="Times New Roman" w:cs="Times New Roman"/>
                <w:b/>
                <w:bCs/>
                <w:noProof/>
                <w:color w:val="FF0000"/>
                <w:sz w:val="24"/>
                <w:szCs w:val="24"/>
              </w:rPr>
              <w:drawing>
                <wp:inline distT="0" distB="0" distL="0" distR="0" wp14:anchorId="109AA044" wp14:editId="170302D5">
                  <wp:extent cx="5621655" cy="1704975"/>
                  <wp:effectExtent l="0" t="0" r="0" b="0"/>
                  <wp:docPr id="22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tc>
      </w:tr>
    </w:tbl>
    <w:p w14:paraId="0106FB1A" w14:textId="77777777" w:rsidR="0071415F" w:rsidRPr="00770C22" w:rsidRDefault="0071415F" w:rsidP="0071415F">
      <w:pPr>
        <w:pStyle w:val="FootnoteText"/>
        <w:bidi w:val="0"/>
        <w:rPr>
          <w:rFonts w:asciiTheme="minorBidi" w:hAnsiTheme="minorBidi" w:cstheme="minorBidi"/>
          <w:b/>
          <w:bCs/>
          <w:color w:val="000000" w:themeColor="text1"/>
          <w:sz w:val="18"/>
          <w:szCs w:val="18"/>
        </w:rPr>
      </w:pPr>
      <w:r w:rsidRPr="00770C22">
        <w:rPr>
          <w:rFonts w:asciiTheme="minorBidi" w:hAnsiTheme="minorBidi" w:cstheme="minorBidi"/>
          <w:b/>
          <w:bCs/>
          <w:color w:val="000000" w:themeColor="text1"/>
          <w:sz w:val="18"/>
          <w:szCs w:val="18"/>
        </w:rPr>
        <w:t xml:space="preserve">Source: National Disaster Risk Management Center, and </w:t>
      </w:r>
      <w:hyperlink r:id="rId155" w:history="1">
        <w:r w:rsidRPr="00770C22">
          <w:rPr>
            <w:rStyle w:val="Hyperlink"/>
            <w:rFonts w:asciiTheme="minorBidi" w:hAnsiTheme="minorBidi" w:cstheme="minorBidi"/>
            <w:b/>
            <w:bCs/>
            <w:color w:val="000000" w:themeColor="text1"/>
            <w:sz w:val="18"/>
            <w:szCs w:val="18"/>
          </w:rPr>
          <w:t>https://unstats.un.org/sdgs/indicators/database</w:t>
        </w:r>
      </w:hyperlink>
    </w:p>
    <w:p w14:paraId="03DBC59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Cs/>
          <w:i/>
          <w:color w:val="000000" w:themeColor="text1"/>
          <w:sz w:val="24"/>
          <w:szCs w:val="24"/>
        </w:rPr>
      </w:pPr>
    </w:p>
    <w:p w14:paraId="21385E6B" w14:textId="77777777" w:rsidR="00537CB3" w:rsidRDefault="00537CB3" w:rsidP="00537CB3">
      <w:pPr>
        <w:autoSpaceDE w:val="0"/>
        <w:autoSpaceDN w:val="0"/>
        <w:bidi w:val="0"/>
        <w:adjustRightInd w:val="0"/>
        <w:spacing w:after="0" w:line="240" w:lineRule="auto"/>
        <w:jc w:val="both"/>
        <w:rPr>
          <w:rFonts w:ascii="Times New Roman" w:hAnsi="Times New Roman" w:cs="Times New Roman"/>
          <w:bCs/>
          <w:i/>
          <w:color w:val="000000" w:themeColor="text1"/>
          <w:sz w:val="24"/>
          <w:szCs w:val="24"/>
        </w:rPr>
      </w:pPr>
    </w:p>
    <w:p w14:paraId="0A8AFA0F" w14:textId="77777777" w:rsidR="00537CB3" w:rsidRDefault="00537CB3" w:rsidP="00537CB3">
      <w:pPr>
        <w:autoSpaceDE w:val="0"/>
        <w:autoSpaceDN w:val="0"/>
        <w:bidi w:val="0"/>
        <w:adjustRightInd w:val="0"/>
        <w:spacing w:after="0" w:line="240" w:lineRule="auto"/>
        <w:jc w:val="both"/>
        <w:rPr>
          <w:rFonts w:ascii="Times New Roman" w:hAnsi="Times New Roman" w:cs="Times New Roman"/>
          <w:bCs/>
          <w:i/>
          <w:color w:val="000000" w:themeColor="text1"/>
          <w:sz w:val="24"/>
          <w:szCs w:val="24"/>
        </w:rPr>
      </w:pPr>
    </w:p>
    <w:p w14:paraId="10A7DB12" w14:textId="77777777" w:rsidR="00537CB3" w:rsidRPr="00966878" w:rsidRDefault="00537CB3" w:rsidP="00537CB3">
      <w:pPr>
        <w:autoSpaceDE w:val="0"/>
        <w:autoSpaceDN w:val="0"/>
        <w:bidi w:val="0"/>
        <w:adjustRightInd w:val="0"/>
        <w:spacing w:after="0" w:line="240" w:lineRule="auto"/>
        <w:jc w:val="both"/>
        <w:rPr>
          <w:rFonts w:ascii="Times New Roman" w:hAnsi="Times New Roman" w:cs="Times New Roman"/>
          <w:bCs/>
          <w:i/>
          <w:color w:val="000000" w:themeColor="text1"/>
          <w:sz w:val="24"/>
          <w:szCs w:val="24"/>
        </w:rPr>
      </w:pPr>
    </w:p>
    <w:p w14:paraId="128BF38F" w14:textId="77777777" w:rsidR="0071415F"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r w:rsidRPr="00770C22">
        <w:rPr>
          <w:rFonts w:asciiTheme="majorBidi" w:hAnsiTheme="majorBidi" w:cstheme="majorBidi"/>
          <w:b/>
          <w:bCs/>
          <w:i/>
          <w:iCs/>
          <w:color w:val="000000" w:themeColor="text1"/>
          <w:sz w:val="24"/>
          <w:szCs w:val="24"/>
        </w:rPr>
        <w:lastRenderedPageBreak/>
        <w:t>Indicator 13.1.2 Number of countries that adopt and implement national disaster risk reduction strategies in line with the Sendai Framework for Disaster Risk Reduction 2015-2030</w:t>
      </w:r>
    </w:p>
    <w:p w14:paraId="1E0B5EA6" w14:textId="77777777" w:rsidR="00A92234" w:rsidRPr="00770C22" w:rsidRDefault="00A92234" w:rsidP="00A92234">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353AD026"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Data show</w:t>
      </w:r>
      <w:r w:rsidR="00D727C1">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 that Palestine adopted and implemented national disaster risk reduction strategies in line with the Sendai Framework for Disaster Risk </w:t>
      </w:r>
      <w:r w:rsidR="00C66B88" w:rsidRPr="00770C22">
        <w:rPr>
          <w:rFonts w:asciiTheme="majorBidi" w:hAnsiTheme="majorBidi" w:cstheme="majorBidi"/>
          <w:color w:val="000000" w:themeColor="text1"/>
          <w:sz w:val="24"/>
          <w:szCs w:val="24"/>
        </w:rPr>
        <w:t>Reduction in</w:t>
      </w:r>
      <w:r w:rsidRPr="00770C22">
        <w:rPr>
          <w:rFonts w:asciiTheme="majorBidi" w:hAnsiTheme="majorBidi" w:cstheme="majorBidi"/>
          <w:color w:val="000000" w:themeColor="text1"/>
          <w:sz w:val="24"/>
          <w:szCs w:val="24"/>
        </w:rPr>
        <w:t xml:space="preserve"> 2019.</w:t>
      </w:r>
    </w:p>
    <w:p w14:paraId="2C5008BA"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156B8B45" w14:textId="77777777" w:rsidR="0071415F"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r w:rsidRPr="00770C22">
        <w:rPr>
          <w:rFonts w:asciiTheme="majorBidi" w:hAnsiTheme="majorBidi" w:cstheme="majorBidi"/>
          <w:b/>
          <w:bCs/>
          <w:i/>
          <w:iCs/>
          <w:color w:val="000000" w:themeColor="text1"/>
          <w:sz w:val="24"/>
          <w:szCs w:val="24"/>
        </w:rPr>
        <w:t>Indicator 13.1.3 Proportion of local governments that adopt and implement local disaster risk reduction strategies in line with national disaster risk reduction strategies</w:t>
      </w:r>
    </w:p>
    <w:p w14:paraId="59CAA108" w14:textId="77777777" w:rsidR="00A92234" w:rsidRPr="00F3507C" w:rsidRDefault="00A92234" w:rsidP="00A92234">
      <w:pPr>
        <w:autoSpaceDE w:val="0"/>
        <w:autoSpaceDN w:val="0"/>
        <w:bidi w:val="0"/>
        <w:adjustRightInd w:val="0"/>
        <w:spacing w:after="0" w:line="240" w:lineRule="auto"/>
        <w:jc w:val="both"/>
        <w:rPr>
          <w:rFonts w:asciiTheme="majorBidi" w:hAnsiTheme="majorBidi" w:cstheme="majorBidi"/>
          <w:b/>
          <w:bCs/>
          <w:i/>
          <w:iCs/>
          <w:color w:val="000000" w:themeColor="text1"/>
          <w:sz w:val="16"/>
          <w:szCs w:val="16"/>
        </w:rPr>
      </w:pPr>
    </w:p>
    <w:p w14:paraId="4D9092A0" w14:textId="77777777" w:rsidR="0071415F" w:rsidRPr="00770C22" w:rsidRDefault="0071415F" w:rsidP="007B30B7">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Data show</w:t>
      </w:r>
      <w:r w:rsidR="00D727C1">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 that </w:t>
      </w:r>
      <w:r w:rsidR="00D727C1">
        <w:rPr>
          <w:rFonts w:asciiTheme="majorBidi" w:hAnsiTheme="majorBidi" w:cstheme="majorBidi"/>
          <w:color w:val="000000" w:themeColor="text1"/>
          <w:sz w:val="24"/>
          <w:szCs w:val="24"/>
        </w:rPr>
        <w:t xml:space="preserve">the </w:t>
      </w:r>
      <w:r w:rsidRPr="00770C22">
        <w:rPr>
          <w:rFonts w:asciiTheme="majorBidi" w:hAnsiTheme="majorBidi" w:cstheme="majorBidi"/>
          <w:color w:val="000000" w:themeColor="text1"/>
          <w:sz w:val="24"/>
          <w:szCs w:val="24"/>
        </w:rPr>
        <w:t xml:space="preserve">proportion of local governments that adopt and implement local disaster risk reduction strategies in line with national disaster risk reduction strategies in the </w:t>
      </w:r>
      <w:r w:rsidR="007B30B7">
        <w:rPr>
          <w:rFonts w:asciiTheme="majorBidi" w:hAnsiTheme="majorBidi" w:cstheme="majorBidi"/>
          <w:color w:val="000000" w:themeColor="text1"/>
          <w:sz w:val="24"/>
          <w:szCs w:val="24"/>
        </w:rPr>
        <w:t>W</w:t>
      </w:r>
      <w:r w:rsidRPr="00770C22">
        <w:rPr>
          <w:rFonts w:asciiTheme="majorBidi" w:hAnsiTheme="majorBidi" w:cstheme="majorBidi"/>
          <w:color w:val="000000" w:themeColor="text1"/>
          <w:sz w:val="24"/>
          <w:szCs w:val="24"/>
        </w:rPr>
        <w:t xml:space="preserve">est </w:t>
      </w:r>
      <w:r w:rsidR="007B30B7">
        <w:rPr>
          <w:rFonts w:asciiTheme="majorBidi" w:hAnsiTheme="majorBidi" w:cstheme="majorBidi"/>
          <w:color w:val="000000" w:themeColor="text1"/>
          <w:sz w:val="24"/>
          <w:szCs w:val="24"/>
        </w:rPr>
        <w:t>B</w:t>
      </w:r>
      <w:r w:rsidRPr="00770C22">
        <w:rPr>
          <w:rFonts w:asciiTheme="majorBidi" w:hAnsiTheme="majorBidi" w:cstheme="majorBidi"/>
          <w:color w:val="000000" w:themeColor="text1"/>
          <w:sz w:val="24"/>
          <w:szCs w:val="24"/>
        </w:rPr>
        <w:t xml:space="preserve">ank </w:t>
      </w:r>
      <w:r w:rsidR="00D727C1">
        <w:rPr>
          <w:rFonts w:asciiTheme="majorBidi" w:hAnsiTheme="majorBidi" w:cstheme="majorBidi"/>
          <w:color w:val="000000" w:themeColor="text1"/>
          <w:sz w:val="24"/>
          <w:szCs w:val="24"/>
        </w:rPr>
        <w:t>reached</w:t>
      </w:r>
      <w:r w:rsidRPr="00770C22">
        <w:rPr>
          <w:rFonts w:asciiTheme="majorBidi" w:hAnsiTheme="majorBidi" w:cstheme="majorBidi"/>
          <w:color w:val="000000" w:themeColor="text1"/>
          <w:sz w:val="24"/>
          <w:szCs w:val="24"/>
        </w:rPr>
        <w:t xml:space="preserve"> 68.8%in 2019</w:t>
      </w:r>
      <w:r w:rsidR="00D727C1">
        <w:rPr>
          <w:rFonts w:asciiTheme="majorBidi" w:hAnsiTheme="majorBidi" w:cstheme="majorBidi"/>
          <w:color w:val="000000" w:themeColor="text1"/>
          <w:sz w:val="24"/>
          <w:szCs w:val="24"/>
        </w:rPr>
        <w:t>.</w:t>
      </w:r>
      <w:r w:rsidR="002E2D24">
        <w:rPr>
          <w:rStyle w:val="FootnoteReference"/>
          <w:rFonts w:asciiTheme="majorBidi" w:hAnsiTheme="majorBidi" w:cstheme="majorBidi"/>
          <w:color w:val="000000" w:themeColor="text1"/>
          <w:sz w:val="24"/>
          <w:szCs w:val="24"/>
        </w:rPr>
        <w:footnoteReference w:id="15"/>
      </w:r>
    </w:p>
    <w:p w14:paraId="3E55D6B2"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7E1A4AF2" w14:textId="77777777" w:rsidR="0071415F"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r w:rsidRPr="00770C22">
        <w:rPr>
          <w:rFonts w:asciiTheme="majorBidi" w:hAnsiTheme="majorBidi" w:cstheme="majorBidi"/>
          <w:b/>
          <w:bCs/>
          <w:i/>
          <w:iCs/>
          <w:color w:val="000000" w:themeColor="text1"/>
          <w:sz w:val="24"/>
          <w:szCs w:val="24"/>
        </w:rPr>
        <w:t>Indicator 13.2.2 Total greenhouse gas emissions per year</w:t>
      </w:r>
    </w:p>
    <w:p w14:paraId="51BA0F6A" w14:textId="77777777" w:rsidR="00A92234" w:rsidRPr="00770C22" w:rsidRDefault="00A92234" w:rsidP="00A92234">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69EE25C1" w14:textId="77777777" w:rsidR="0071415F" w:rsidRPr="00770C22" w:rsidRDefault="0071415F" w:rsidP="00DD0DC4">
      <w:pPr>
        <w:bidi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Total greenhouse gas emissions per year in Palestine </w:t>
      </w:r>
      <w:r w:rsidR="00D727C1">
        <w:rPr>
          <w:rFonts w:asciiTheme="majorBidi" w:hAnsiTheme="majorBidi" w:cstheme="majorBidi"/>
          <w:color w:val="000000" w:themeColor="text1"/>
          <w:sz w:val="24"/>
          <w:szCs w:val="24"/>
        </w:rPr>
        <w:t>reached</w:t>
      </w:r>
      <w:r w:rsidRPr="00770C22">
        <w:rPr>
          <w:rFonts w:asciiTheme="majorBidi" w:hAnsiTheme="majorBidi" w:cstheme="majorBidi"/>
          <w:color w:val="000000" w:themeColor="text1"/>
          <w:sz w:val="24"/>
          <w:szCs w:val="24"/>
        </w:rPr>
        <w:t xml:space="preserve"> 4829.</w:t>
      </w:r>
      <w:r w:rsidR="00DD0DC4" w:rsidRPr="00770C22">
        <w:rPr>
          <w:rFonts w:asciiTheme="majorBidi" w:hAnsiTheme="majorBidi" w:cstheme="majorBidi"/>
          <w:color w:val="000000" w:themeColor="text1"/>
          <w:sz w:val="24"/>
          <w:szCs w:val="24"/>
        </w:rPr>
        <w:t>45</w:t>
      </w:r>
      <w:r w:rsidRPr="00770C22">
        <w:rPr>
          <w:rFonts w:asciiTheme="majorBidi" w:hAnsiTheme="majorBidi" w:cstheme="majorBidi"/>
          <w:color w:val="000000" w:themeColor="text1"/>
          <w:sz w:val="24"/>
          <w:szCs w:val="24"/>
        </w:rPr>
        <w:t xml:space="preserve"> 1000-ton CO2 eq for 2020, while </w:t>
      </w:r>
      <w:r w:rsidR="00D727C1">
        <w:rPr>
          <w:rFonts w:asciiTheme="majorBidi" w:hAnsiTheme="majorBidi" w:cstheme="majorBidi"/>
          <w:color w:val="000000" w:themeColor="text1"/>
          <w:sz w:val="24"/>
          <w:szCs w:val="24"/>
        </w:rPr>
        <w:t>t</w:t>
      </w:r>
      <w:r w:rsidRPr="00770C22">
        <w:rPr>
          <w:rFonts w:asciiTheme="majorBidi" w:hAnsiTheme="majorBidi" w:cstheme="majorBidi"/>
          <w:color w:val="000000" w:themeColor="text1"/>
          <w:sz w:val="24"/>
          <w:szCs w:val="24"/>
        </w:rPr>
        <w:t xml:space="preserve">otal greenhouse gas emissions per year </w:t>
      </w:r>
      <w:r w:rsidR="00D727C1">
        <w:rPr>
          <w:rFonts w:asciiTheme="majorBidi" w:hAnsiTheme="majorBidi" w:cstheme="majorBidi"/>
          <w:color w:val="000000" w:themeColor="text1"/>
          <w:sz w:val="24"/>
          <w:szCs w:val="24"/>
        </w:rPr>
        <w:t>reached</w:t>
      </w:r>
      <w:r w:rsidRPr="00770C22">
        <w:rPr>
          <w:rFonts w:asciiTheme="majorBidi" w:hAnsiTheme="majorBidi" w:cstheme="majorBidi"/>
          <w:color w:val="000000" w:themeColor="text1"/>
          <w:sz w:val="24"/>
          <w:szCs w:val="24"/>
          <w:rtl/>
        </w:rPr>
        <w:t>2710.7</w:t>
      </w:r>
      <w:r w:rsidRPr="00770C22">
        <w:rPr>
          <w:rFonts w:asciiTheme="majorBidi" w:hAnsiTheme="majorBidi" w:cstheme="majorBidi"/>
          <w:color w:val="000000" w:themeColor="text1"/>
          <w:sz w:val="24"/>
          <w:szCs w:val="24"/>
        </w:rPr>
        <w:t xml:space="preserve"> ton CO2 eq for year 2007</w:t>
      </w:r>
      <w:r w:rsidR="00987461">
        <w:rPr>
          <w:rFonts w:asciiTheme="majorBidi" w:hAnsiTheme="majorBidi" w:cstheme="majorBidi"/>
          <w:color w:val="000000" w:themeColor="text1"/>
          <w:sz w:val="24"/>
          <w:szCs w:val="24"/>
        </w:rPr>
        <w:t>.</w:t>
      </w:r>
      <w:r w:rsidR="002E2D24">
        <w:rPr>
          <w:rStyle w:val="FootnoteReference"/>
          <w:rFonts w:asciiTheme="majorBidi" w:hAnsiTheme="majorBidi" w:cstheme="majorBidi"/>
          <w:color w:val="000000" w:themeColor="text1"/>
          <w:sz w:val="24"/>
          <w:szCs w:val="24"/>
        </w:rPr>
        <w:footnoteReference w:id="16"/>
      </w:r>
    </w:p>
    <w:p w14:paraId="702B4B8E"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47FE7CBF" w14:textId="77777777" w:rsidR="0071415F"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r w:rsidRPr="00770C22">
        <w:rPr>
          <w:rFonts w:asciiTheme="majorBidi" w:hAnsiTheme="majorBidi" w:cstheme="majorBidi"/>
          <w:b/>
          <w:bCs/>
          <w:i/>
          <w:iCs/>
          <w:color w:val="000000" w:themeColor="text1"/>
          <w:sz w:val="24"/>
          <w:szCs w:val="24"/>
        </w:rPr>
        <w:t>Indicator 13.3.1 Extent to which (i) global citizenship education and (ii) education for sustainable development (including climate change education) are mainstreamed in (a) national education policies; (b) curricula; (c) teacher education; and (d) student assessment</w:t>
      </w:r>
      <w:r w:rsidR="00D727C1">
        <w:rPr>
          <w:rFonts w:asciiTheme="majorBidi" w:hAnsiTheme="majorBidi" w:cstheme="majorBidi"/>
          <w:b/>
          <w:bCs/>
          <w:i/>
          <w:iCs/>
          <w:color w:val="000000" w:themeColor="text1"/>
          <w:sz w:val="24"/>
          <w:szCs w:val="24"/>
        </w:rPr>
        <w:t>s</w:t>
      </w:r>
    </w:p>
    <w:p w14:paraId="09049677" w14:textId="77777777" w:rsidR="00A92234" w:rsidRPr="00770C22" w:rsidRDefault="00A92234" w:rsidP="00A92234">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100CF600"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Data for 2020 indicates the </w:t>
      </w:r>
      <w:r w:rsidR="00D727C1">
        <w:rPr>
          <w:rFonts w:asciiTheme="majorBidi" w:hAnsiTheme="majorBidi" w:cstheme="majorBidi"/>
          <w:color w:val="000000" w:themeColor="text1"/>
          <w:sz w:val="24"/>
          <w:szCs w:val="24"/>
        </w:rPr>
        <w:t>e</w:t>
      </w:r>
      <w:r w:rsidRPr="00770C22">
        <w:rPr>
          <w:rFonts w:asciiTheme="majorBidi" w:hAnsiTheme="majorBidi" w:cstheme="majorBidi"/>
          <w:color w:val="000000" w:themeColor="text1"/>
          <w:sz w:val="24"/>
          <w:szCs w:val="24"/>
        </w:rPr>
        <w:t>xtent to which global citizenship education and education for sustainable development (including climate change education) in Palestine is mainstreamed in national education policies</w:t>
      </w:r>
      <w:r w:rsidR="00D727C1">
        <w:rPr>
          <w:rFonts w:asciiTheme="majorBidi" w:hAnsiTheme="majorBidi" w:cstheme="majorBidi"/>
          <w:color w:val="000000" w:themeColor="text1"/>
          <w:sz w:val="24"/>
          <w:szCs w:val="24"/>
        </w:rPr>
        <w:t>. It</w:t>
      </w:r>
      <w:r w:rsidRPr="00770C22">
        <w:rPr>
          <w:rFonts w:asciiTheme="majorBidi" w:hAnsiTheme="majorBidi" w:cstheme="majorBidi"/>
          <w:color w:val="000000" w:themeColor="text1"/>
          <w:sz w:val="24"/>
          <w:szCs w:val="24"/>
        </w:rPr>
        <w:t xml:space="preserve"> reached </w:t>
      </w:r>
      <w:r w:rsidR="00987461">
        <w:rPr>
          <w:rFonts w:asciiTheme="majorBidi" w:hAnsiTheme="majorBidi" w:cstheme="majorBidi"/>
          <w:color w:val="000000" w:themeColor="text1"/>
          <w:sz w:val="24"/>
          <w:szCs w:val="24"/>
        </w:rPr>
        <w:t>an</w:t>
      </w:r>
      <w:r w:rsidRPr="00770C22">
        <w:rPr>
          <w:rFonts w:asciiTheme="majorBidi" w:hAnsiTheme="majorBidi" w:cstheme="majorBidi"/>
          <w:color w:val="000000" w:themeColor="text1"/>
          <w:sz w:val="24"/>
          <w:szCs w:val="24"/>
        </w:rPr>
        <w:t xml:space="preserve"> index </w:t>
      </w:r>
      <w:r w:rsidR="00D727C1">
        <w:rPr>
          <w:rFonts w:asciiTheme="majorBidi" w:hAnsiTheme="majorBidi" w:cstheme="majorBidi"/>
          <w:color w:val="000000" w:themeColor="text1"/>
          <w:sz w:val="24"/>
          <w:szCs w:val="24"/>
        </w:rPr>
        <w:t>o</w:t>
      </w:r>
      <w:r w:rsidRPr="00770C22">
        <w:rPr>
          <w:rFonts w:asciiTheme="majorBidi" w:hAnsiTheme="majorBidi" w:cstheme="majorBidi"/>
          <w:color w:val="000000" w:themeColor="text1"/>
          <w:sz w:val="24"/>
          <w:szCs w:val="24"/>
        </w:rPr>
        <w:t xml:space="preserve">f 0.875, while it </w:t>
      </w:r>
      <w:r w:rsidR="00D727C1">
        <w:rPr>
          <w:rFonts w:asciiTheme="majorBidi" w:hAnsiTheme="majorBidi" w:cstheme="majorBidi"/>
          <w:color w:val="000000" w:themeColor="text1"/>
          <w:sz w:val="24"/>
          <w:szCs w:val="24"/>
        </w:rPr>
        <w:t>reached</w:t>
      </w:r>
      <w:r w:rsidRPr="00770C22">
        <w:rPr>
          <w:rFonts w:asciiTheme="majorBidi" w:hAnsiTheme="majorBidi" w:cstheme="majorBidi"/>
          <w:color w:val="000000" w:themeColor="text1"/>
          <w:sz w:val="24"/>
          <w:szCs w:val="24"/>
        </w:rPr>
        <w:t xml:space="preserve"> 0.708 for curricula, 0.800 for teacher education, and 0.833 for student assessment</w:t>
      </w:r>
      <w:r w:rsidR="00D727C1">
        <w:rPr>
          <w:rFonts w:asciiTheme="majorBidi" w:hAnsiTheme="majorBidi" w:cstheme="majorBidi"/>
          <w:color w:val="000000" w:themeColor="text1"/>
          <w:sz w:val="24"/>
          <w:szCs w:val="24"/>
        </w:rPr>
        <w:t>s.</w:t>
      </w:r>
      <w:r w:rsidR="002E2D24">
        <w:rPr>
          <w:rStyle w:val="FootnoteReference"/>
          <w:rFonts w:asciiTheme="majorBidi" w:hAnsiTheme="majorBidi" w:cstheme="majorBidi"/>
          <w:color w:val="000000" w:themeColor="text1"/>
          <w:sz w:val="24"/>
          <w:szCs w:val="24"/>
        </w:rPr>
        <w:footnoteReference w:id="17"/>
      </w:r>
    </w:p>
    <w:p w14:paraId="5C461C44"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08B7345F"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Summary</w:t>
      </w:r>
    </w:p>
    <w:p w14:paraId="7760E7EA" w14:textId="77777777" w:rsidR="0071415F" w:rsidRPr="00770C22" w:rsidRDefault="0071415F" w:rsidP="00D727C1">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Palestine signed and ratified the United Nations Framework Convention on Climate Change (UNFCCC) on April 22</w:t>
      </w:r>
      <w:r w:rsidR="00D727C1">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2016. </w:t>
      </w:r>
      <w:r w:rsidR="00C66B88" w:rsidRPr="00770C22">
        <w:rPr>
          <w:rFonts w:asciiTheme="majorBidi" w:hAnsiTheme="majorBidi" w:cstheme="majorBidi"/>
          <w:color w:val="000000" w:themeColor="text1"/>
          <w:sz w:val="24"/>
          <w:szCs w:val="24"/>
        </w:rPr>
        <w:t>The State</w:t>
      </w:r>
      <w:r w:rsidRPr="00770C22">
        <w:rPr>
          <w:rFonts w:asciiTheme="majorBidi" w:hAnsiTheme="majorBidi" w:cstheme="majorBidi"/>
          <w:color w:val="000000" w:themeColor="text1"/>
          <w:sz w:val="24"/>
          <w:szCs w:val="24"/>
        </w:rPr>
        <w:t xml:space="preserve"> of Palestine is considered one of the </w:t>
      </w:r>
      <w:r w:rsidR="00D727C1" w:rsidRPr="00770C22">
        <w:rPr>
          <w:rFonts w:asciiTheme="majorBidi" w:hAnsiTheme="majorBidi" w:cstheme="majorBidi"/>
          <w:color w:val="000000" w:themeColor="text1"/>
          <w:sz w:val="24"/>
          <w:szCs w:val="24"/>
        </w:rPr>
        <w:t>smallest</w:t>
      </w:r>
      <w:r w:rsidRPr="00770C22">
        <w:rPr>
          <w:rFonts w:asciiTheme="majorBidi" w:hAnsiTheme="majorBidi" w:cstheme="majorBidi"/>
          <w:color w:val="000000" w:themeColor="text1"/>
          <w:sz w:val="24"/>
          <w:szCs w:val="24"/>
        </w:rPr>
        <w:t xml:space="preserve"> contributor nations to climate change.During </w:t>
      </w:r>
      <w:r w:rsidRPr="00770C22">
        <w:rPr>
          <w:rFonts w:asciiTheme="majorBidi" w:hAnsiTheme="majorBidi" w:cstheme="majorBidi"/>
          <w:color w:val="000000" w:themeColor="text1"/>
          <w:sz w:val="24"/>
          <w:szCs w:val="24"/>
          <w:rtl/>
        </w:rPr>
        <w:t>2018</w:t>
      </w:r>
      <w:r w:rsidRPr="00770C22">
        <w:rPr>
          <w:rFonts w:asciiTheme="majorBidi" w:hAnsiTheme="majorBidi" w:cstheme="majorBidi"/>
          <w:color w:val="000000" w:themeColor="text1"/>
          <w:sz w:val="24"/>
          <w:szCs w:val="24"/>
        </w:rPr>
        <w:t xml:space="preserve">, there </w:t>
      </w:r>
      <w:r w:rsidR="00D727C1">
        <w:rPr>
          <w:rFonts w:asciiTheme="majorBidi" w:hAnsiTheme="majorBidi" w:cstheme="majorBidi"/>
          <w:color w:val="000000" w:themeColor="text1"/>
          <w:sz w:val="24"/>
          <w:szCs w:val="24"/>
        </w:rPr>
        <w:t>were</w:t>
      </w:r>
      <w:r w:rsidRPr="00770C22">
        <w:rPr>
          <w:rFonts w:asciiTheme="majorBidi" w:hAnsiTheme="majorBidi" w:cstheme="majorBidi"/>
          <w:color w:val="000000" w:themeColor="text1"/>
          <w:sz w:val="24"/>
          <w:szCs w:val="24"/>
        </w:rPr>
        <w:t xml:space="preserve"> 0.02 </w:t>
      </w:r>
      <w:r w:rsidR="00C66B88" w:rsidRPr="00770C22">
        <w:rPr>
          <w:rFonts w:asciiTheme="majorBidi" w:hAnsiTheme="majorBidi" w:cstheme="majorBidi"/>
          <w:color w:val="000000" w:themeColor="text1"/>
          <w:sz w:val="24"/>
          <w:szCs w:val="24"/>
        </w:rPr>
        <w:t xml:space="preserve">deaths </w:t>
      </w:r>
      <w:r w:rsidR="00D727C1" w:rsidRPr="00770C22">
        <w:rPr>
          <w:rFonts w:asciiTheme="majorBidi" w:hAnsiTheme="majorBidi" w:cstheme="majorBidi"/>
          <w:color w:val="000000" w:themeColor="text1"/>
          <w:sz w:val="24"/>
          <w:szCs w:val="24"/>
        </w:rPr>
        <w:t xml:space="preserve">attributed to disasters in Palestine </w:t>
      </w:r>
      <w:r w:rsidR="00C66B88" w:rsidRPr="00770C22">
        <w:rPr>
          <w:rFonts w:asciiTheme="majorBidi" w:hAnsiTheme="majorBidi" w:cstheme="majorBidi"/>
          <w:color w:val="000000" w:themeColor="text1"/>
          <w:sz w:val="24"/>
          <w:szCs w:val="24"/>
        </w:rPr>
        <w:t>per</w:t>
      </w:r>
      <w:r w:rsidRPr="00770C22">
        <w:rPr>
          <w:rFonts w:asciiTheme="majorBidi" w:hAnsiTheme="majorBidi" w:cstheme="majorBidi"/>
          <w:color w:val="000000" w:themeColor="text1"/>
          <w:sz w:val="24"/>
          <w:szCs w:val="24"/>
        </w:rPr>
        <w:t xml:space="preserve"> 100,000 </w:t>
      </w:r>
      <w:r w:rsidR="00D727C1">
        <w:rPr>
          <w:rFonts w:asciiTheme="majorBidi" w:hAnsiTheme="majorBidi" w:cstheme="majorBidi"/>
          <w:color w:val="000000" w:themeColor="text1"/>
          <w:sz w:val="24"/>
          <w:szCs w:val="24"/>
        </w:rPr>
        <w:t>persons of the population</w:t>
      </w:r>
      <w:r w:rsidRPr="00770C22">
        <w:rPr>
          <w:rFonts w:asciiTheme="majorBidi" w:hAnsiTheme="majorBidi" w:cstheme="majorBidi"/>
          <w:color w:val="000000" w:themeColor="text1"/>
          <w:sz w:val="24"/>
          <w:szCs w:val="24"/>
        </w:rPr>
        <w:t xml:space="preserve">, compared </w:t>
      </w:r>
      <w:r w:rsidR="00D727C1">
        <w:rPr>
          <w:rFonts w:asciiTheme="majorBidi" w:hAnsiTheme="majorBidi" w:cstheme="majorBidi"/>
          <w:color w:val="000000" w:themeColor="text1"/>
          <w:sz w:val="24"/>
          <w:szCs w:val="24"/>
        </w:rPr>
        <w:t>to</w:t>
      </w:r>
      <w:r w:rsidRPr="00770C22">
        <w:rPr>
          <w:rFonts w:asciiTheme="majorBidi" w:hAnsiTheme="majorBidi" w:cstheme="majorBidi"/>
          <w:color w:val="000000" w:themeColor="text1"/>
          <w:sz w:val="24"/>
          <w:szCs w:val="24"/>
        </w:rPr>
        <w:t xml:space="preserve"> 1.42 deathsper 100,000</w:t>
      </w:r>
      <w:r w:rsidR="00D727C1">
        <w:rPr>
          <w:rFonts w:asciiTheme="majorBidi" w:hAnsiTheme="majorBidi" w:cstheme="majorBidi"/>
          <w:color w:val="000000" w:themeColor="text1"/>
          <w:sz w:val="24"/>
          <w:szCs w:val="24"/>
        </w:rPr>
        <w:t xml:space="preserve">persons of the </w:t>
      </w:r>
      <w:r w:rsidRPr="00770C22">
        <w:rPr>
          <w:rFonts w:asciiTheme="majorBidi" w:hAnsiTheme="majorBidi" w:cstheme="majorBidi"/>
          <w:color w:val="000000" w:themeColor="text1"/>
          <w:sz w:val="24"/>
          <w:szCs w:val="24"/>
        </w:rPr>
        <w:t>population in 2017.</w:t>
      </w:r>
      <w:r w:rsidRPr="00770C22">
        <w:rPr>
          <w:rFonts w:asciiTheme="majorBidi" w:hAnsiTheme="majorBidi" w:cstheme="majorBidi"/>
          <w:color w:val="000000" w:themeColor="text1"/>
          <w:sz w:val="24"/>
          <w:szCs w:val="24"/>
        </w:rPr>
        <w:br w:type="page"/>
      </w:r>
    </w:p>
    <w:tbl>
      <w:tblPr>
        <w:tblW w:w="0" w:type="auto"/>
        <w:tblBorders>
          <w:top w:val="thinThickSmallGap" w:sz="24" w:space="0" w:color="4CA33E"/>
          <w:left w:val="thinThickSmallGap" w:sz="24" w:space="0" w:color="4CA33E"/>
          <w:bottom w:val="thinThickSmallGap" w:sz="24" w:space="0" w:color="4CA33E"/>
          <w:right w:val="thinThickSmallGap" w:sz="24" w:space="0" w:color="4CA33E"/>
        </w:tblBorders>
        <w:tblLook w:val="04A0" w:firstRow="1" w:lastRow="0" w:firstColumn="1" w:lastColumn="0" w:noHBand="0" w:noVBand="1"/>
      </w:tblPr>
      <w:tblGrid>
        <w:gridCol w:w="2078"/>
        <w:gridCol w:w="6902"/>
      </w:tblGrid>
      <w:tr w:rsidR="0071415F" w:rsidRPr="005112AD" w14:paraId="24EBF367" w14:textId="77777777" w:rsidTr="00726E04">
        <w:tc>
          <w:tcPr>
            <w:tcW w:w="2078" w:type="dxa"/>
            <w:tcBorders>
              <w:top w:val="thickThinSmallGap" w:sz="24" w:space="0" w:color="0A97D9"/>
              <w:left w:val="thickThinSmallGap" w:sz="24" w:space="0" w:color="0A97D9"/>
              <w:bottom w:val="thinThickSmallGap" w:sz="24" w:space="0" w:color="0A97D9"/>
            </w:tcBorders>
            <w:shd w:val="clear" w:color="auto" w:fill="auto"/>
            <w:vAlign w:val="center"/>
          </w:tcPr>
          <w:p w14:paraId="5BAE002E" w14:textId="77777777" w:rsidR="0071415F" w:rsidRPr="000D2E4D" w:rsidRDefault="0071415F" w:rsidP="0071415F">
            <w:pPr>
              <w:pStyle w:val="Header"/>
              <w:tabs>
                <w:tab w:val="left" w:pos="720"/>
              </w:tabs>
              <w:bidi w:val="0"/>
              <w:jc w:val="center"/>
              <w:rPr>
                <w:rFonts w:ascii="Times New Roman" w:hAnsi="Times New Roman" w:cs="Times New Roman"/>
                <w:b/>
                <w:bCs/>
                <w:color w:val="000000"/>
                <w:sz w:val="24"/>
                <w:szCs w:val="24"/>
                <w:lang w:val="it-IT"/>
              </w:rPr>
            </w:pPr>
            <w:r w:rsidRPr="005112AD">
              <w:rPr>
                <w:noProof/>
              </w:rPr>
              <w:lastRenderedPageBreak/>
              <w:drawing>
                <wp:inline distT="0" distB="0" distL="0" distR="0" wp14:anchorId="69906CB5" wp14:editId="64A758F5">
                  <wp:extent cx="1143000" cy="1114425"/>
                  <wp:effectExtent l="0" t="0" r="0" b="9525"/>
                  <wp:docPr id="233" name="Picture 233" descr="C:\Users\sibrahim\Desktop\Sustainable_Development_Goal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brahim\Desktop\Sustainable_Development_Goal_14.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0" cy="1114425"/>
                          </a:xfrm>
                          <a:prstGeom prst="rect">
                            <a:avLst/>
                          </a:prstGeom>
                          <a:noFill/>
                          <a:ln>
                            <a:noFill/>
                          </a:ln>
                        </pic:spPr>
                      </pic:pic>
                    </a:graphicData>
                  </a:graphic>
                </wp:inline>
              </w:drawing>
            </w:r>
          </w:p>
        </w:tc>
        <w:tc>
          <w:tcPr>
            <w:tcW w:w="6902" w:type="dxa"/>
            <w:tcBorders>
              <w:top w:val="thickThinSmallGap" w:sz="24" w:space="0" w:color="0A97D9"/>
              <w:bottom w:val="thinThickSmallGap" w:sz="24" w:space="0" w:color="0A97D9"/>
              <w:right w:val="thinThickSmallGap" w:sz="24" w:space="0" w:color="0A97D9"/>
            </w:tcBorders>
            <w:shd w:val="clear" w:color="auto" w:fill="auto"/>
            <w:vAlign w:val="center"/>
          </w:tcPr>
          <w:p w14:paraId="3D49CE6F" w14:textId="77777777" w:rsidR="0071415F" w:rsidRPr="006B216D" w:rsidRDefault="0071415F" w:rsidP="0071415F">
            <w:pPr>
              <w:bidi w:val="0"/>
              <w:spacing w:after="0" w:line="240" w:lineRule="auto"/>
              <w:jc w:val="both"/>
              <w:rPr>
                <w:rFonts w:ascii="Times New Roman" w:hAnsi="Times New Roman" w:cs="Times New Roman"/>
                <w:b/>
                <w:sz w:val="28"/>
                <w:szCs w:val="28"/>
              </w:rPr>
            </w:pPr>
            <w:r w:rsidRPr="0071415F">
              <w:rPr>
                <w:rFonts w:ascii="Times New Roman" w:hAnsi="Times New Roman" w:cs="Times New Roman"/>
                <w:b/>
                <w:color w:val="000000"/>
                <w:sz w:val="28"/>
                <w:szCs w:val="28"/>
              </w:rPr>
              <w:t xml:space="preserve">GOAL 14 – </w:t>
            </w:r>
            <w:r w:rsidRPr="0071415F">
              <w:rPr>
                <w:rFonts w:ascii="Times New Roman" w:hAnsi="Times New Roman" w:cs="Times New Roman"/>
                <w:b/>
                <w:sz w:val="28"/>
                <w:szCs w:val="28"/>
              </w:rPr>
              <w:t>Conserve and Sustainably Use the Oceans, Seas and Marine Resources for Sustainable Development</w:t>
            </w:r>
          </w:p>
          <w:p w14:paraId="53815D7A" w14:textId="77777777" w:rsidR="0071415F" w:rsidRPr="000D2E4D" w:rsidRDefault="0071415F" w:rsidP="0071415F">
            <w:pPr>
              <w:bidi w:val="0"/>
              <w:spacing w:after="0" w:line="240" w:lineRule="auto"/>
              <w:jc w:val="both"/>
              <w:rPr>
                <w:rFonts w:ascii="Times New Roman" w:hAnsi="Times New Roman" w:cs="Times New Roman"/>
                <w:b/>
                <w:bCs/>
                <w:color w:val="000000"/>
                <w:sz w:val="24"/>
                <w:szCs w:val="24"/>
              </w:rPr>
            </w:pPr>
          </w:p>
        </w:tc>
      </w:tr>
    </w:tbl>
    <w:p w14:paraId="0AE58758" w14:textId="77777777" w:rsidR="0071415F" w:rsidRDefault="0071415F" w:rsidP="0071415F">
      <w:pPr>
        <w:bidi w:val="0"/>
        <w:spacing w:after="0" w:line="240" w:lineRule="auto"/>
        <w:jc w:val="both"/>
      </w:pPr>
    </w:p>
    <w:p w14:paraId="2285F50A"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Introduction to the Goal</w:t>
      </w:r>
    </w:p>
    <w:p w14:paraId="081651B5"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Goal 14 </w:t>
      </w:r>
      <w:r w:rsidR="00D727C1">
        <w:rPr>
          <w:rFonts w:asciiTheme="majorBidi" w:hAnsiTheme="majorBidi" w:cstheme="majorBidi"/>
          <w:color w:val="000000" w:themeColor="text1"/>
          <w:sz w:val="24"/>
          <w:szCs w:val="24"/>
        </w:rPr>
        <w:t>t</w:t>
      </w:r>
      <w:r w:rsidRPr="00770C22">
        <w:rPr>
          <w:rFonts w:asciiTheme="majorBidi" w:hAnsiTheme="majorBidi" w:cstheme="majorBidi"/>
          <w:color w:val="000000" w:themeColor="text1"/>
          <w:sz w:val="24"/>
          <w:szCs w:val="24"/>
        </w:rPr>
        <w:t>argets conservation of the oceans, seas</w:t>
      </w:r>
      <w:r w:rsidR="00D727C1">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and marine resources, essential elements for health and the safeguard of the whole planet. The climate, the availability of fresh water and food, even the air we breathe are regulated by the sea. Healthy and productive oceans preserve marine and coastal ecosystems, ensuring that countries and populations on the sea have a thriving economy. The p</w:t>
      </w:r>
      <w:r w:rsidR="00783F0E">
        <w:rPr>
          <w:rFonts w:asciiTheme="majorBidi" w:hAnsiTheme="majorBidi" w:cstheme="majorBidi"/>
          <w:color w:val="000000" w:themeColor="text1"/>
          <w:sz w:val="24"/>
          <w:szCs w:val="24"/>
        </w:rPr>
        <w:t>P</w:t>
      </w:r>
      <w:r w:rsidRPr="00770C22">
        <w:rPr>
          <w:rFonts w:asciiTheme="majorBidi" w:hAnsiTheme="majorBidi" w:cstheme="majorBidi"/>
          <w:color w:val="000000" w:themeColor="text1"/>
          <w:sz w:val="24"/>
          <w:szCs w:val="24"/>
        </w:rPr>
        <w:t>rotection of the sea is based on the conservation, recovery</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and restoration of ecosystems by combating the negative effects of the acidification processes, marine pollution caused by activities on land and destructive fishing activities. Human activity, if not regulated, causes depletion of fish reserves and the loss of natural habitat along the coasts. Sustainable management policies for fishing, aquaculture and tourism need hereforeto be adopted. Conservation of marine biodiversity also ensures livelihood for developing countries</w:t>
      </w:r>
      <w:r w:rsidRPr="00770C22">
        <w:rPr>
          <w:rFonts w:asciiTheme="majorBidi" w:hAnsiTheme="majorBidi" w:cstheme="majorBidi"/>
          <w:color w:val="000000" w:themeColor="text1"/>
          <w:sz w:val="24"/>
          <w:szCs w:val="24"/>
          <w:rtl/>
        </w:rPr>
        <w:t>.</w:t>
      </w:r>
    </w:p>
    <w:p w14:paraId="5B4954C2"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274585AC"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b/>
          <w:bCs/>
          <w:color w:val="000000" w:themeColor="text1"/>
          <w:sz w:val="24"/>
          <w:szCs w:val="24"/>
        </w:rPr>
        <w:t>Targets</w:t>
      </w:r>
    </w:p>
    <w:p w14:paraId="3125E03E"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Goal 14 is broken down into ten </w:t>
      </w:r>
      <w:r w:rsidR="00783F0E">
        <w:rPr>
          <w:rFonts w:asciiTheme="majorBidi" w:hAnsiTheme="majorBidi" w:cstheme="majorBidi"/>
          <w:color w:val="000000" w:themeColor="text1"/>
          <w:sz w:val="24"/>
          <w:szCs w:val="24"/>
        </w:rPr>
        <w:t>t</w:t>
      </w:r>
      <w:r w:rsidRPr="00770C22">
        <w:rPr>
          <w:rFonts w:asciiTheme="majorBidi" w:hAnsiTheme="majorBidi" w:cstheme="majorBidi"/>
          <w:color w:val="000000" w:themeColor="text1"/>
          <w:sz w:val="24"/>
          <w:szCs w:val="24"/>
        </w:rPr>
        <w:t>argets; the last three refer to means of implementation:</w:t>
      </w:r>
    </w:p>
    <w:p w14:paraId="15186C50"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b/>
          <w:bCs/>
          <w:color w:val="000000" w:themeColor="text1"/>
          <w:sz w:val="24"/>
          <w:szCs w:val="24"/>
        </w:rPr>
        <w:t>14.1</w:t>
      </w:r>
    </w:p>
    <w:p w14:paraId="64FFFEF8"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By 2025, prevent and significantly reduce marine pollution, in particular from land-based activities including marine debris and nutrient pollution</w:t>
      </w:r>
      <w:r w:rsidR="00783F0E">
        <w:rPr>
          <w:rFonts w:asciiTheme="majorBidi" w:hAnsiTheme="majorBidi" w:cstheme="majorBidi"/>
          <w:color w:val="000000" w:themeColor="text1"/>
          <w:sz w:val="24"/>
          <w:szCs w:val="24"/>
        </w:rPr>
        <w:t>.</w:t>
      </w:r>
    </w:p>
    <w:p w14:paraId="4BE55BFD"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3906E854"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14.2  </w:t>
      </w:r>
    </w:p>
    <w:p w14:paraId="590BBC2D"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By 2020, sustainably manage and protect marine and coastal ecosystems to avoid significant adverse impacts including by strengthening their resilience, and take action for their restoration in order to achieve healthy and productive oceans</w:t>
      </w:r>
      <w:r w:rsidR="00783F0E">
        <w:rPr>
          <w:rFonts w:asciiTheme="majorBidi" w:hAnsiTheme="majorBidi" w:cstheme="majorBidi"/>
          <w:color w:val="000000" w:themeColor="text1"/>
          <w:sz w:val="24"/>
          <w:szCs w:val="24"/>
        </w:rPr>
        <w:t>.</w:t>
      </w:r>
    </w:p>
    <w:p w14:paraId="323EE623"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320F93BF"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14.3  </w:t>
      </w:r>
    </w:p>
    <w:p w14:paraId="1AA3E7B9"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Minimize and address the impact of ocean acidification including through enhanced scientific cooperation at all levels</w:t>
      </w:r>
      <w:r w:rsidR="00783F0E">
        <w:rPr>
          <w:rFonts w:asciiTheme="majorBidi" w:hAnsiTheme="majorBidi" w:cstheme="majorBidi"/>
          <w:color w:val="000000" w:themeColor="text1"/>
          <w:sz w:val="24"/>
          <w:szCs w:val="24"/>
        </w:rPr>
        <w:t>.</w:t>
      </w:r>
    </w:p>
    <w:p w14:paraId="1CFD55D0"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3DD1C97B"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14.4  </w:t>
      </w:r>
    </w:p>
    <w:p w14:paraId="342B4103"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By 2020, effectively regulate harvesting and end overfishing, illegal, unreported</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and unregulated fishing and destructive fishing practices and implement science-based management plans in order to restore fish stocks in the shortest time feasible, at least to levels that can produce maximum sustainable yield as determined by their biological characteristics</w:t>
      </w:r>
      <w:r w:rsidR="00783F0E">
        <w:rPr>
          <w:rFonts w:asciiTheme="majorBidi" w:hAnsiTheme="majorBidi" w:cstheme="majorBidi"/>
          <w:color w:val="000000" w:themeColor="text1"/>
          <w:sz w:val="24"/>
          <w:szCs w:val="24"/>
        </w:rPr>
        <w:t>.</w:t>
      </w:r>
    </w:p>
    <w:p w14:paraId="7A69D4F2"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491B4558"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14.5  </w:t>
      </w:r>
    </w:p>
    <w:p w14:paraId="36401D82"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By 2020, conserve at least 10 </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of coastal and marine areas, consistent with national and international law and based on the best available scientific information</w:t>
      </w:r>
      <w:r w:rsidR="00783F0E">
        <w:rPr>
          <w:rFonts w:asciiTheme="majorBidi" w:hAnsiTheme="majorBidi" w:cstheme="majorBidi"/>
          <w:color w:val="000000" w:themeColor="text1"/>
          <w:sz w:val="24"/>
          <w:szCs w:val="24"/>
        </w:rPr>
        <w:t>.</w:t>
      </w:r>
    </w:p>
    <w:p w14:paraId="54B8C437"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4F4C5077"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b/>
          <w:bCs/>
          <w:color w:val="000000" w:themeColor="text1"/>
          <w:sz w:val="24"/>
          <w:szCs w:val="24"/>
        </w:rPr>
        <w:t>14.6</w:t>
      </w:r>
    </w:p>
    <w:p w14:paraId="3DB7C0F1"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By 2020, prohibit certain forms of fisheries subsidies which contribute to overcapacity and overfishing, eliminate subsidies that contribute to illegal, unreported and unregulated fishing and refrain from introducing new such subsidies, recognizing that appropriate and effective </w:t>
      </w:r>
      <w:r w:rsidRPr="00770C22">
        <w:rPr>
          <w:rFonts w:asciiTheme="majorBidi" w:hAnsiTheme="majorBidi" w:cstheme="majorBidi"/>
          <w:color w:val="000000" w:themeColor="text1"/>
          <w:sz w:val="24"/>
          <w:szCs w:val="24"/>
        </w:rPr>
        <w:lastRenderedPageBreak/>
        <w:t>special and differential treatment for developing and least developed countries should be an integral part of the World Trade Organization fisheries subsidies negotiation</w:t>
      </w:r>
      <w:r w:rsidR="00783F0E">
        <w:rPr>
          <w:rFonts w:asciiTheme="majorBidi" w:hAnsiTheme="majorBidi" w:cstheme="majorBidi"/>
          <w:color w:val="000000" w:themeColor="text1"/>
          <w:sz w:val="24"/>
          <w:szCs w:val="24"/>
        </w:rPr>
        <w:t>.</w:t>
      </w:r>
    </w:p>
    <w:p w14:paraId="4D71C3FA"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20783347"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14.7  </w:t>
      </w:r>
    </w:p>
    <w:p w14:paraId="3E53DC05"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By 2030, increase the economic benefits to </w:t>
      </w:r>
      <w:r w:rsidR="00783F0E">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mall </w:t>
      </w:r>
      <w:r w:rsidR="00783F0E">
        <w:rPr>
          <w:rFonts w:asciiTheme="majorBidi" w:hAnsiTheme="majorBidi" w:cstheme="majorBidi"/>
          <w:color w:val="000000" w:themeColor="text1"/>
          <w:sz w:val="24"/>
          <w:szCs w:val="24"/>
        </w:rPr>
        <w:t>I</w:t>
      </w:r>
      <w:r w:rsidRPr="00770C22">
        <w:rPr>
          <w:rFonts w:asciiTheme="majorBidi" w:hAnsiTheme="majorBidi" w:cstheme="majorBidi"/>
          <w:color w:val="000000" w:themeColor="text1"/>
          <w:sz w:val="24"/>
          <w:szCs w:val="24"/>
        </w:rPr>
        <w:t xml:space="preserve">sland </w:t>
      </w:r>
      <w:r w:rsidR="00783F0E">
        <w:rPr>
          <w:rFonts w:asciiTheme="majorBidi" w:hAnsiTheme="majorBidi" w:cstheme="majorBidi"/>
          <w:color w:val="000000" w:themeColor="text1"/>
          <w:sz w:val="24"/>
          <w:szCs w:val="24"/>
        </w:rPr>
        <w:t>D</w:t>
      </w:r>
      <w:r w:rsidRPr="00770C22">
        <w:rPr>
          <w:rFonts w:asciiTheme="majorBidi" w:hAnsiTheme="majorBidi" w:cstheme="majorBidi"/>
          <w:color w:val="000000" w:themeColor="text1"/>
          <w:sz w:val="24"/>
          <w:szCs w:val="24"/>
        </w:rPr>
        <w:t>eveloping States and least developed countries from the sustainable use of marine resources including through sustainable management of fisheries, aquaculture and tourism</w:t>
      </w:r>
      <w:r w:rsidR="00783F0E">
        <w:rPr>
          <w:rFonts w:asciiTheme="majorBidi" w:hAnsiTheme="majorBidi" w:cstheme="majorBidi"/>
          <w:color w:val="000000" w:themeColor="text1"/>
          <w:sz w:val="24"/>
          <w:szCs w:val="24"/>
        </w:rPr>
        <w:t>.</w:t>
      </w:r>
    </w:p>
    <w:p w14:paraId="322C929F"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p>
    <w:p w14:paraId="73019954"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14.a</w:t>
      </w:r>
    </w:p>
    <w:p w14:paraId="1F6414DE"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Increase scientific knowledge, develop research capacity and transfer marine technology, taking into account the Intergovernmental Oceanographic Commission Criteria and Guidelines on the Transfer of Marine Technology in order to improve ocean health and to enhance the contribution of marine biodiversity to the development of developing countries, in particular </w:t>
      </w:r>
      <w:r w:rsidR="00783F0E">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mall </w:t>
      </w:r>
      <w:r w:rsidR="00783F0E">
        <w:rPr>
          <w:rFonts w:asciiTheme="majorBidi" w:hAnsiTheme="majorBidi" w:cstheme="majorBidi"/>
          <w:color w:val="000000" w:themeColor="text1"/>
          <w:sz w:val="24"/>
          <w:szCs w:val="24"/>
        </w:rPr>
        <w:t>I</w:t>
      </w:r>
      <w:r w:rsidRPr="00770C22">
        <w:rPr>
          <w:rFonts w:asciiTheme="majorBidi" w:hAnsiTheme="majorBidi" w:cstheme="majorBidi"/>
          <w:color w:val="000000" w:themeColor="text1"/>
          <w:sz w:val="24"/>
          <w:szCs w:val="24"/>
        </w:rPr>
        <w:t xml:space="preserve">sland </w:t>
      </w:r>
      <w:r w:rsidR="00783F0E">
        <w:rPr>
          <w:rFonts w:asciiTheme="majorBidi" w:hAnsiTheme="majorBidi" w:cstheme="majorBidi"/>
          <w:color w:val="000000" w:themeColor="text1"/>
          <w:sz w:val="24"/>
          <w:szCs w:val="24"/>
        </w:rPr>
        <w:t>D</w:t>
      </w:r>
      <w:r w:rsidRPr="00770C22">
        <w:rPr>
          <w:rFonts w:asciiTheme="majorBidi" w:hAnsiTheme="majorBidi" w:cstheme="majorBidi"/>
          <w:color w:val="000000" w:themeColor="text1"/>
          <w:sz w:val="24"/>
          <w:szCs w:val="24"/>
        </w:rPr>
        <w:t>eveloping States and least developed countries</w:t>
      </w:r>
      <w:r w:rsidR="00783F0E">
        <w:rPr>
          <w:rFonts w:asciiTheme="majorBidi" w:hAnsiTheme="majorBidi" w:cstheme="majorBidi"/>
          <w:color w:val="000000" w:themeColor="text1"/>
          <w:sz w:val="24"/>
          <w:szCs w:val="24"/>
        </w:rPr>
        <w:t>.</w:t>
      </w:r>
    </w:p>
    <w:p w14:paraId="5D814B1C"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442B4F6F"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14.b</w:t>
      </w:r>
    </w:p>
    <w:p w14:paraId="4C931C22"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Provide access for small-scale artisanal fishers to marine resources and markets</w:t>
      </w:r>
      <w:r w:rsidR="00783F0E">
        <w:rPr>
          <w:rFonts w:asciiTheme="majorBidi" w:hAnsiTheme="majorBidi" w:cstheme="majorBidi"/>
          <w:color w:val="000000" w:themeColor="text1"/>
          <w:sz w:val="24"/>
          <w:szCs w:val="24"/>
        </w:rPr>
        <w:t>.</w:t>
      </w:r>
    </w:p>
    <w:p w14:paraId="42AB10C7"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37AF869F"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14.c</w:t>
      </w:r>
    </w:p>
    <w:p w14:paraId="63CC63EA"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Enhance the conservation and sustainable use of oceans and their resources by implementing international law as reflected in the United Nations Convention on the Law of the Sea, which provides the legal framework for the conservation and sustainable use of oceans and their resources. </w:t>
      </w:r>
    </w:p>
    <w:p w14:paraId="33220643"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3B5714A7" w14:textId="77777777" w:rsidR="0071415F" w:rsidRPr="00770C22" w:rsidRDefault="0071415F" w:rsidP="00FB1314">
      <w:pPr>
        <w:pStyle w:val="ListParagraph"/>
        <w:numPr>
          <w:ilvl w:val="0"/>
          <w:numId w:val="18"/>
        </w:numPr>
        <w:autoSpaceDE w:val="0"/>
        <w:autoSpaceDN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lang w:eastAsia="en-US"/>
        </w:rPr>
        <w:t xml:space="preserve">Reported </w:t>
      </w:r>
      <w:r w:rsidR="00783F0E">
        <w:rPr>
          <w:rFonts w:asciiTheme="majorBidi" w:hAnsiTheme="majorBidi" w:cstheme="majorBidi"/>
          <w:b/>
          <w:bCs/>
          <w:color w:val="000000" w:themeColor="text1"/>
          <w:sz w:val="24"/>
          <w:szCs w:val="24"/>
          <w:lang w:eastAsia="en-US"/>
        </w:rPr>
        <w:t>i</w:t>
      </w:r>
      <w:r w:rsidRPr="00770C22">
        <w:rPr>
          <w:rFonts w:asciiTheme="majorBidi" w:hAnsiTheme="majorBidi" w:cstheme="majorBidi"/>
          <w:b/>
          <w:bCs/>
          <w:color w:val="000000" w:themeColor="text1"/>
          <w:sz w:val="24"/>
          <w:szCs w:val="24"/>
          <w:lang w:eastAsia="en-US"/>
        </w:rPr>
        <w:t xml:space="preserve">ndicators by </w:t>
      </w:r>
      <w:r w:rsidR="00783F0E">
        <w:rPr>
          <w:rFonts w:asciiTheme="majorBidi" w:hAnsiTheme="majorBidi" w:cstheme="majorBidi"/>
          <w:b/>
          <w:bCs/>
          <w:color w:val="000000" w:themeColor="text1"/>
          <w:sz w:val="24"/>
          <w:szCs w:val="24"/>
          <w:lang w:eastAsia="en-US"/>
        </w:rPr>
        <w:t>o</w:t>
      </w:r>
      <w:r w:rsidRPr="00770C22">
        <w:rPr>
          <w:rFonts w:asciiTheme="majorBidi" w:hAnsiTheme="majorBidi" w:cstheme="majorBidi"/>
          <w:b/>
          <w:bCs/>
          <w:color w:val="000000" w:themeColor="text1"/>
          <w:sz w:val="24"/>
          <w:szCs w:val="24"/>
          <w:lang w:eastAsia="en-US"/>
        </w:rPr>
        <w:t xml:space="preserve">ther </w:t>
      </w:r>
      <w:r w:rsidR="00783F0E">
        <w:rPr>
          <w:rFonts w:asciiTheme="majorBidi" w:hAnsiTheme="majorBidi" w:cstheme="majorBidi"/>
          <w:b/>
          <w:bCs/>
          <w:color w:val="000000" w:themeColor="text1"/>
          <w:sz w:val="24"/>
          <w:szCs w:val="24"/>
          <w:lang w:eastAsia="en-US"/>
        </w:rPr>
        <w:t>s</w:t>
      </w:r>
      <w:r w:rsidRPr="00770C22">
        <w:rPr>
          <w:rFonts w:asciiTheme="majorBidi" w:hAnsiTheme="majorBidi" w:cstheme="majorBidi"/>
          <w:b/>
          <w:bCs/>
          <w:color w:val="000000" w:themeColor="text1"/>
          <w:sz w:val="24"/>
          <w:szCs w:val="24"/>
          <w:lang w:eastAsia="en-US"/>
        </w:rPr>
        <w:t>ources</w:t>
      </w:r>
    </w:p>
    <w:p w14:paraId="16C01C1E"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There </w:t>
      </w:r>
      <w:r w:rsidR="00783F0E">
        <w:rPr>
          <w:rFonts w:asciiTheme="majorBidi" w:hAnsiTheme="majorBidi" w:cstheme="majorBidi"/>
          <w:color w:val="000000" w:themeColor="text1"/>
          <w:sz w:val="24"/>
          <w:szCs w:val="24"/>
        </w:rPr>
        <w:t>are two</w:t>
      </w:r>
      <w:r w:rsidRPr="00770C22">
        <w:rPr>
          <w:rFonts w:asciiTheme="majorBidi" w:hAnsiTheme="majorBidi" w:cstheme="majorBidi"/>
          <w:color w:val="000000" w:themeColor="text1"/>
          <w:sz w:val="24"/>
          <w:szCs w:val="24"/>
        </w:rPr>
        <w:t>indicator</w:t>
      </w:r>
      <w:r w:rsidR="00783F0E">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available on</w:t>
      </w:r>
      <w:r w:rsidR="00783F0E">
        <w:rPr>
          <w:rFonts w:asciiTheme="majorBidi" w:hAnsiTheme="majorBidi" w:cstheme="majorBidi"/>
          <w:color w:val="000000" w:themeColor="text1"/>
          <w:sz w:val="24"/>
          <w:szCs w:val="24"/>
        </w:rPr>
        <w:t xml:space="preserve">the </w:t>
      </w:r>
      <w:r w:rsidRPr="00770C22">
        <w:rPr>
          <w:rFonts w:asciiTheme="majorBidi" w:hAnsiTheme="majorBidi" w:cstheme="majorBidi"/>
          <w:color w:val="000000" w:themeColor="text1"/>
          <w:sz w:val="24"/>
          <w:szCs w:val="24"/>
        </w:rPr>
        <w:t>UNSD-Databaseand Arab Development Portal for Goal 14, represent</w:t>
      </w:r>
      <w:r w:rsidR="00783F0E">
        <w:rPr>
          <w:rFonts w:asciiTheme="majorBidi" w:hAnsiTheme="majorBidi" w:cstheme="majorBidi"/>
          <w:color w:val="000000" w:themeColor="text1"/>
          <w:sz w:val="24"/>
          <w:szCs w:val="24"/>
        </w:rPr>
        <w:t>ingtwo</w:t>
      </w:r>
      <w:r w:rsidRPr="00770C22">
        <w:rPr>
          <w:rFonts w:asciiTheme="majorBidi" w:hAnsiTheme="majorBidi" w:cstheme="majorBidi"/>
          <w:color w:val="000000" w:themeColor="text1"/>
          <w:sz w:val="24"/>
          <w:szCs w:val="24"/>
        </w:rPr>
        <w:t xml:space="preserve"> data point</w:t>
      </w:r>
      <w:r w:rsidR="00783F0E">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 referring to </w:t>
      </w:r>
      <w:r w:rsidR="003A33EF">
        <w:rPr>
          <w:rFonts w:asciiTheme="majorBidi" w:hAnsiTheme="majorBidi" w:cstheme="majorBidi"/>
          <w:color w:val="000000" w:themeColor="text1"/>
          <w:sz w:val="24"/>
          <w:szCs w:val="24"/>
        </w:rPr>
        <w:t>two</w:t>
      </w:r>
      <w:r w:rsidRPr="00770C22">
        <w:rPr>
          <w:rFonts w:asciiTheme="majorBidi" w:hAnsiTheme="majorBidi" w:cstheme="majorBidi"/>
          <w:color w:val="000000" w:themeColor="text1"/>
          <w:sz w:val="24"/>
          <w:szCs w:val="24"/>
        </w:rPr>
        <w:t xml:space="preserve"> of the 10 targets</w:t>
      </w:r>
      <w:r w:rsidR="003A33EF">
        <w:rPr>
          <w:rFonts w:asciiTheme="majorBidi" w:hAnsiTheme="majorBidi" w:cstheme="majorBidi"/>
          <w:color w:val="000000" w:themeColor="text1"/>
          <w:sz w:val="24"/>
          <w:szCs w:val="24"/>
        </w:rPr>
        <w:t>;</w:t>
      </w:r>
      <w:r w:rsidR="003A33EF">
        <w:rPr>
          <w:rFonts w:asciiTheme="majorBidi" w:hAnsiTheme="majorBidi" w:cstheme="majorBidi"/>
          <w:sz w:val="24"/>
          <w:szCs w:val="24"/>
        </w:rPr>
        <w:t>t</w:t>
      </w:r>
      <w:r w:rsidRPr="00770C22">
        <w:rPr>
          <w:rFonts w:asciiTheme="majorBidi" w:hAnsiTheme="majorBidi" w:cstheme="majorBidi"/>
          <w:sz w:val="24"/>
          <w:szCs w:val="24"/>
        </w:rPr>
        <w:t xml:space="preserve">herefore, </w:t>
      </w:r>
      <w:r w:rsidRPr="00770C22">
        <w:rPr>
          <w:rFonts w:asciiTheme="majorBidi" w:hAnsiTheme="majorBidi" w:cstheme="majorBidi"/>
          <w:sz w:val="24"/>
          <w:szCs w:val="24"/>
          <w:rtl/>
        </w:rPr>
        <w:t>20.0</w:t>
      </w:r>
      <w:r w:rsidRPr="00770C22">
        <w:rPr>
          <w:rFonts w:asciiTheme="majorBidi" w:hAnsiTheme="majorBidi" w:cstheme="majorBidi"/>
          <w:sz w:val="24"/>
          <w:szCs w:val="24"/>
        </w:rPr>
        <w:t xml:space="preserve">% of the goal targets (twoout of ten) </w:t>
      </w:r>
      <w:r w:rsidR="003A33EF">
        <w:rPr>
          <w:rFonts w:asciiTheme="majorBidi" w:hAnsiTheme="majorBidi" w:cstheme="majorBidi"/>
          <w:sz w:val="24"/>
          <w:szCs w:val="24"/>
        </w:rPr>
        <w:t xml:space="preserve">have </w:t>
      </w:r>
      <w:r w:rsidRPr="00770C22">
        <w:rPr>
          <w:rFonts w:asciiTheme="majorBidi" w:hAnsiTheme="majorBidi" w:cstheme="majorBidi"/>
          <w:sz w:val="24"/>
          <w:szCs w:val="24"/>
        </w:rPr>
        <w:t>been either fully or partially</w:t>
      </w:r>
      <w:r w:rsidR="003A33EF">
        <w:rPr>
          <w:rFonts w:asciiTheme="majorBidi" w:hAnsiTheme="majorBidi" w:cstheme="majorBidi"/>
          <w:sz w:val="24"/>
          <w:szCs w:val="24"/>
        </w:rPr>
        <w:t xml:space="preserve"> covered.</w:t>
      </w:r>
    </w:p>
    <w:p w14:paraId="63036F62" w14:textId="77777777" w:rsidR="0071415F" w:rsidRDefault="0071415F" w:rsidP="0071415F">
      <w:pPr>
        <w:bidi w:val="0"/>
        <w:spacing w:after="0" w:line="240" w:lineRule="auto"/>
        <w:rPr>
          <w:rFonts w:ascii="Times New Roman" w:hAnsi="Times New Roman" w:cs="Times New Roman"/>
          <w:color w:val="000000" w:themeColor="text1"/>
          <w:sz w:val="24"/>
          <w:szCs w:val="24"/>
        </w:rPr>
      </w:pPr>
    </w:p>
    <w:p w14:paraId="15D4DD31" w14:textId="77777777" w:rsidR="0071415F" w:rsidRPr="00770C22" w:rsidRDefault="0071415F" w:rsidP="006C213A">
      <w:pPr>
        <w:bidi w:val="0"/>
        <w:spacing w:after="0" w:line="240" w:lineRule="auto"/>
        <w:jc w:val="center"/>
        <w:rPr>
          <w:rFonts w:asciiTheme="minorBidi" w:hAnsiTheme="minorBidi" w:cstheme="minorBidi"/>
          <w:b/>
          <w:bCs/>
          <w:lang w:eastAsia="ar-SA"/>
        </w:rPr>
      </w:pPr>
      <w:r w:rsidRPr="00770C22">
        <w:rPr>
          <w:rFonts w:asciiTheme="minorBidi" w:hAnsiTheme="minorBidi" w:cstheme="minorBidi"/>
          <w:b/>
          <w:bCs/>
          <w:color w:val="000000" w:themeColor="text1"/>
        </w:rPr>
        <w:t>Table 14.</w:t>
      </w:r>
      <w:r w:rsidR="006C213A" w:rsidRPr="00770C22">
        <w:rPr>
          <w:rFonts w:asciiTheme="minorBidi" w:hAnsiTheme="minorBidi" w:cstheme="minorBidi"/>
          <w:b/>
          <w:bCs/>
          <w:color w:val="000000" w:themeColor="text1"/>
          <w:rtl/>
        </w:rPr>
        <w:t>1</w:t>
      </w:r>
      <w:r w:rsidRPr="00770C22">
        <w:rPr>
          <w:rFonts w:asciiTheme="minorBidi" w:hAnsiTheme="minorBidi" w:cstheme="minorBidi"/>
          <w:b/>
          <w:bCs/>
          <w:color w:val="000000" w:themeColor="text1"/>
        </w:rPr>
        <w:t xml:space="preserve">: </w:t>
      </w:r>
      <w:r w:rsidRPr="00770C22">
        <w:rPr>
          <w:rFonts w:asciiTheme="minorBidi" w:hAnsiTheme="minorBidi" w:cstheme="minorBidi"/>
          <w:b/>
          <w:bCs/>
          <w:lang w:eastAsia="ar-SA"/>
        </w:rPr>
        <w:t xml:space="preserve">List of SDGs </w:t>
      </w:r>
      <w:r w:rsidR="003A33EF">
        <w:rPr>
          <w:rFonts w:asciiTheme="minorBidi" w:hAnsiTheme="minorBidi" w:cstheme="minorBidi"/>
          <w:b/>
          <w:bCs/>
          <w:lang w:eastAsia="ar-SA"/>
        </w:rPr>
        <w:t>I</w:t>
      </w:r>
      <w:r w:rsidRPr="00770C22">
        <w:rPr>
          <w:rFonts w:asciiTheme="minorBidi" w:hAnsiTheme="minorBidi" w:cstheme="minorBidi"/>
          <w:b/>
          <w:bCs/>
          <w:lang w:eastAsia="ar-SA"/>
        </w:rPr>
        <w:t xml:space="preserve">ndicators </w:t>
      </w:r>
      <w:r w:rsidR="003A33EF">
        <w:rPr>
          <w:rFonts w:asciiTheme="minorBidi" w:hAnsiTheme="minorBidi" w:cstheme="minorBidi"/>
          <w:b/>
          <w:bCs/>
          <w:lang w:eastAsia="ar-SA"/>
        </w:rPr>
        <w:t>R</w:t>
      </w:r>
      <w:r w:rsidRPr="00770C22">
        <w:rPr>
          <w:rFonts w:asciiTheme="minorBidi" w:hAnsiTheme="minorBidi" w:cstheme="minorBidi"/>
          <w:b/>
          <w:bCs/>
          <w:lang w:eastAsia="ar-SA"/>
        </w:rPr>
        <w:t xml:space="preserve">eleased by </w:t>
      </w:r>
      <w:r w:rsidRPr="00770C22">
        <w:rPr>
          <w:rFonts w:asciiTheme="minorBidi" w:hAnsiTheme="minorBidi" w:cstheme="minorBidi"/>
          <w:b/>
          <w:bCs/>
        </w:rPr>
        <w:t>Other Sources</w:t>
      </w:r>
    </w:p>
    <w:p w14:paraId="22366B6E" w14:textId="77777777" w:rsidR="0071415F" w:rsidRPr="00080517" w:rsidRDefault="0071415F" w:rsidP="0071415F">
      <w:pPr>
        <w:bidi w:val="0"/>
        <w:spacing w:after="0" w:line="240" w:lineRule="auto"/>
        <w:jc w:val="center"/>
        <w:rPr>
          <w:rStyle w:val="Bodytext8pt"/>
          <w:bCs w:val="0"/>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0D2E4D" w14:paraId="38B627A4" w14:textId="77777777" w:rsidTr="0071415F">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43181"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2DABF3D6" w14:textId="77777777" w:rsidR="0071415F" w:rsidRPr="00372F68" w:rsidRDefault="0071415F" w:rsidP="0071415F">
            <w:pPr>
              <w:bidi w:val="0"/>
              <w:spacing w:after="0" w:line="240" w:lineRule="auto"/>
              <w:jc w:val="center"/>
            </w:pPr>
            <w:r w:rsidRPr="00372F68">
              <w:rPr>
                <w:rFonts w:ascii="Arial" w:hAnsi="Arial"/>
                <w:b/>
                <w:bCs/>
                <w:sz w:val="18"/>
                <w:szCs w:val="18"/>
              </w:rPr>
              <w:t>Most Recent Year</w:t>
            </w:r>
          </w:p>
        </w:tc>
      </w:tr>
      <w:tr w:rsidR="0071415F" w:rsidRPr="000D2E4D" w14:paraId="1489E2E9"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BA2AF" w14:textId="77777777" w:rsidR="0071415F" w:rsidRPr="00537CB3" w:rsidRDefault="0071415F" w:rsidP="007E3BBF">
            <w:pPr>
              <w:tabs>
                <w:tab w:val="left" w:pos="9072"/>
              </w:tabs>
              <w:bidi w:val="0"/>
              <w:spacing w:after="0" w:line="240" w:lineRule="auto"/>
              <w:rPr>
                <w:rFonts w:ascii="Arial" w:hAnsi="Arial"/>
                <w:bCs/>
                <w:color w:val="000000" w:themeColor="text1"/>
                <w:sz w:val="18"/>
                <w:szCs w:val="18"/>
              </w:rPr>
            </w:pPr>
            <w:r w:rsidRPr="00537CB3">
              <w:rPr>
                <w:rFonts w:ascii="Arial" w:hAnsi="Arial"/>
                <w:b/>
                <w:color w:val="000000" w:themeColor="text1"/>
                <w:sz w:val="18"/>
                <w:szCs w:val="18"/>
              </w:rPr>
              <w:t>Indicator</w:t>
            </w:r>
            <w:r w:rsidR="007E3BBF" w:rsidRPr="00537CB3">
              <w:rPr>
                <w:rFonts w:ascii="Arial" w:hAnsi="Arial" w:hint="cs"/>
                <w:b/>
                <w:color w:val="000000" w:themeColor="text1"/>
                <w:sz w:val="18"/>
                <w:szCs w:val="18"/>
                <w:rtl/>
              </w:rPr>
              <w:t xml:space="preserve"> </w:t>
            </w:r>
            <w:r w:rsidRPr="00537CB3">
              <w:rPr>
                <w:rFonts w:ascii="Arial" w:hAnsi="Arial"/>
                <w:b/>
                <w:color w:val="000000" w:themeColor="text1"/>
                <w:sz w:val="18"/>
                <w:szCs w:val="18"/>
              </w:rPr>
              <w:t>14.1.1</w:t>
            </w:r>
            <w:r w:rsidR="007E3BBF" w:rsidRPr="00537CB3">
              <w:rPr>
                <w:rFonts w:ascii="Arial" w:hAnsi="Arial" w:hint="cs"/>
                <w:b/>
                <w:color w:val="000000" w:themeColor="text1"/>
                <w:sz w:val="18"/>
                <w:szCs w:val="18"/>
                <w:rtl/>
              </w:rPr>
              <w:t xml:space="preserve">  </w:t>
            </w:r>
            <w:r w:rsidR="003A33EF" w:rsidRPr="00537CB3">
              <w:rPr>
                <w:rFonts w:ascii="Arial" w:hAnsi="Arial"/>
                <w:bCs/>
                <w:color w:val="000000" w:themeColor="text1"/>
                <w:sz w:val="18"/>
                <w:szCs w:val="18"/>
              </w:rPr>
              <w:t>P</w:t>
            </w:r>
            <w:r w:rsidRPr="00537CB3">
              <w:rPr>
                <w:rFonts w:ascii="Arial" w:hAnsi="Arial"/>
                <w:bCs/>
                <w:color w:val="000000" w:themeColor="text1"/>
                <w:sz w:val="18"/>
                <w:szCs w:val="18"/>
              </w:rPr>
              <w:t>lastic debris density</w:t>
            </w:r>
          </w:p>
        </w:tc>
        <w:tc>
          <w:tcPr>
            <w:tcW w:w="2234" w:type="dxa"/>
            <w:tcBorders>
              <w:top w:val="single" w:sz="4" w:space="0" w:color="auto"/>
              <w:left w:val="nil"/>
              <w:bottom w:val="single" w:sz="4" w:space="0" w:color="auto"/>
              <w:right w:val="single" w:sz="4" w:space="0" w:color="auto"/>
            </w:tcBorders>
            <w:vAlign w:val="bottom"/>
          </w:tcPr>
          <w:p w14:paraId="223CE0D4" w14:textId="77777777" w:rsidR="0071415F" w:rsidRPr="00080517" w:rsidRDefault="0071415F" w:rsidP="0071415F">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r w:rsidR="0071415F" w:rsidRPr="000D2E4D" w14:paraId="104A7240"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2B979" w14:textId="77777777" w:rsidR="0071415F" w:rsidRPr="00537CB3" w:rsidRDefault="0071415F" w:rsidP="0071415F">
            <w:pPr>
              <w:tabs>
                <w:tab w:val="left" w:pos="9072"/>
              </w:tabs>
              <w:bidi w:val="0"/>
              <w:spacing w:after="0" w:line="240" w:lineRule="auto"/>
              <w:rPr>
                <w:rFonts w:ascii="Arial" w:hAnsi="Arial"/>
                <w:b/>
                <w:color w:val="000000" w:themeColor="text1"/>
                <w:sz w:val="18"/>
                <w:szCs w:val="18"/>
              </w:rPr>
            </w:pPr>
            <w:r w:rsidRPr="00537CB3">
              <w:rPr>
                <w:rFonts w:ascii="Arial" w:hAnsi="Arial"/>
                <w:b/>
                <w:color w:val="000000" w:themeColor="text1"/>
                <w:sz w:val="18"/>
                <w:szCs w:val="18"/>
              </w:rPr>
              <w:t xml:space="preserve">Indicator 14.4.1 </w:t>
            </w:r>
            <w:r w:rsidRPr="00537CB3">
              <w:rPr>
                <w:rFonts w:ascii="Arial" w:hAnsi="Arial"/>
                <w:bCs/>
                <w:color w:val="000000" w:themeColor="text1"/>
                <w:sz w:val="18"/>
                <w:szCs w:val="18"/>
              </w:rPr>
              <w:t>Proportion of fish stocks within biologically sustainable levels</w:t>
            </w:r>
          </w:p>
        </w:tc>
        <w:tc>
          <w:tcPr>
            <w:tcW w:w="2234" w:type="dxa"/>
            <w:tcBorders>
              <w:top w:val="single" w:sz="4" w:space="0" w:color="auto"/>
              <w:left w:val="nil"/>
              <w:bottom w:val="single" w:sz="4" w:space="0" w:color="auto"/>
              <w:right w:val="single" w:sz="4" w:space="0" w:color="auto"/>
            </w:tcBorders>
            <w:vAlign w:val="bottom"/>
          </w:tcPr>
          <w:p w14:paraId="17220C9C" w14:textId="77777777" w:rsidR="0071415F" w:rsidRDefault="0071415F" w:rsidP="0071415F">
            <w:pPr>
              <w:spacing w:after="0" w:line="240" w:lineRule="auto"/>
              <w:ind w:right="57"/>
              <w:jc w:val="center"/>
              <w:rPr>
                <w:rFonts w:ascii="Arial" w:hAnsi="Arial"/>
                <w:color w:val="000000"/>
                <w:sz w:val="18"/>
                <w:szCs w:val="18"/>
                <w:rtl/>
              </w:rPr>
            </w:pPr>
            <w:r>
              <w:rPr>
                <w:rFonts w:ascii="Arial" w:hAnsi="Arial" w:hint="cs"/>
                <w:color w:val="000000"/>
                <w:sz w:val="18"/>
                <w:szCs w:val="18"/>
                <w:rtl/>
              </w:rPr>
              <w:t>2018</w:t>
            </w:r>
          </w:p>
        </w:tc>
      </w:tr>
    </w:tbl>
    <w:p w14:paraId="130DAFDC" w14:textId="77777777" w:rsidR="0071415F" w:rsidRPr="00496228" w:rsidRDefault="0071415F" w:rsidP="0071415F">
      <w:pPr>
        <w:tabs>
          <w:tab w:val="left" w:pos="9072"/>
        </w:tabs>
        <w:bidi w:val="0"/>
        <w:spacing w:after="0" w:line="240" w:lineRule="auto"/>
        <w:jc w:val="center"/>
        <w:rPr>
          <w:rFonts w:ascii="Arial" w:hAnsi="Arial"/>
          <w:b/>
          <w:bCs/>
          <w:color w:val="000000" w:themeColor="text1"/>
        </w:rPr>
      </w:pPr>
    </w:p>
    <w:p w14:paraId="0F203DA7" w14:textId="77777777" w:rsidR="0071415F" w:rsidRPr="0075468D" w:rsidRDefault="0071415F" w:rsidP="0071415F">
      <w:pPr>
        <w:tabs>
          <w:tab w:val="left" w:pos="9072"/>
        </w:tabs>
        <w:bidi w:val="0"/>
        <w:spacing w:after="0" w:line="240" w:lineRule="auto"/>
        <w:jc w:val="center"/>
        <w:rPr>
          <w:rFonts w:ascii="Arial" w:hAnsi="Arial"/>
          <w:b/>
          <w:bCs/>
          <w:color w:val="FF0000"/>
          <w:sz w:val="12"/>
          <w:szCs w:val="12"/>
        </w:rPr>
      </w:pPr>
    </w:p>
    <w:p w14:paraId="62E9E205" w14:textId="77777777" w:rsidR="0071415F" w:rsidRPr="00496228" w:rsidRDefault="0071415F" w:rsidP="0071415F">
      <w:pPr>
        <w:bidi w:val="0"/>
        <w:spacing w:after="0" w:line="240" w:lineRule="auto"/>
        <w:jc w:val="both"/>
        <w:rPr>
          <w:rFonts w:ascii="Times New Roman" w:hAnsi="Times New Roman" w:cs="Times New Roman"/>
          <w:color w:val="000000" w:themeColor="text1"/>
          <w:sz w:val="16"/>
          <w:szCs w:val="16"/>
        </w:rPr>
      </w:pPr>
    </w:p>
    <w:p w14:paraId="4190B60E" w14:textId="77777777" w:rsidR="0071415F" w:rsidRDefault="0071415F" w:rsidP="0071415F">
      <w:pPr>
        <w:tabs>
          <w:tab w:val="left" w:pos="9072"/>
        </w:tabs>
        <w:bidi w:val="0"/>
        <w:spacing w:after="0" w:line="240" w:lineRule="auto"/>
        <w:rPr>
          <w:rFonts w:ascii="Arial" w:hAnsi="Arial"/>
          <w:b/>
          <w:bCs/>
          <w:color w:val="000000" w:themeColor="text1"/>
        </w:rPr>
      </w:pPr>
    </w:p>
    <w:p w14:paraId="67A50190" w14:textId="77777777" w:rsidR="0071415F" w:rsidRPr="00496228" w:rsidRDefault="0071415F" w:rsidP="0071415F">
      <w:pPr>
        <w:bidi w:val="0"/>
        <w:spacing w:after="0" w:line="240" w:lineRule="auto"/>
        <w:rPr>
          <w:rFonts w:ascii="Times New Roman" w:hAnsi="Times New Roman" w:cs="Times New Roman"/>
          <w:color w:val="000000" w:themeColor="text1"/>
          <w:sz w:val="24"/>
          <w:szCs w:val="24"/>
        </w:rPr>
      </w:pPr>
    </w:p>
    <w:p w14:paraId="4039E048" w14:textId="77777777" w:rsidR="0071415F" w:rsidRPr="00496228" w:rsidRDefault="0071415F" w:rsidP="0071415F">
      <w:pPr>
        <w:bidi w:val="0"/>
        <w:spacing w:after="0" w:line="240" w:lineRule="auto"/>
        <w:rPr>
          <w:rFonts w:ascii="Times New Roman" w:hAnsi="Times New Roman" w:cs="Times New Roman"/>
          <w:color w:val="000000" w:themeColor="text1"/>
          <w:sz w:val="24"/>
          <w:szCs w:val="24"/>
        </w:rPr>
      </w:pPr>
    </w:p>
    <w:p w14:paraId="075E0460" w14:textId="77777777" w:rsidR="0071415F" w:rsidRDefault="0071415F" w:rsidP="0071415F">
      <w:pPr>
        <w:bidi w:val="0"/>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tbl>
      <w:tblPr>
        <w:tblW w:w="0" w:type="auto"/>
        <w:tblBorders>
          <w:top w:val="thinThickSmallGap" w:sz="24" w:space="0" w:color="4CA33E"/>
          <w:left w:val="thinThickSmallGap" w:sz="24" w:space="0" w:color="4CA33E"/>
          <w:bottom w:val="thinThickSmallGap" w:sz="24" w:space="0" w:color="4CA33E"/>
          <w:right w:val="thinThickSmallGap" w:sz="24" w:space="0" w:color="4CA33E"/>
        </w:tblBorders>
        <w:tblLook w:val="04A0" w:firstRow="1" w:lastRow="0" w:firstColumn="1" w:lastColumn="0" w:noHBand="0" w:noVBand="1"/>
      </w:tblPr>
      <w:tblGrid>
        <w:gridCol w:w="2078"/>
        <w:gridCol w:w="6902"/>
      </w:tblGrid>
      <w:tr w:rsidR="0071415F" w:rsidRPr="000D2E4D" w14:paraId="3DCD1898" w14:textId="77777777" w:rsidTr="0071415F">
        <w:tc>
          <w:tcPr>
            <w:tcW w:w="2078" w:type="dxa"/>
            <w:shd w:val="clear" w:color="auto" w:fill="auto"/>
            <w:vAlign w:val="center"/>
          </w:tcPr>
          <w:p w14:paraId="3CDA7EAA" w14:textId="77777777" w:rsidR="0071415F" w:rsidRPr="000D2E4D" w:rsidRDefault="0071415F" w:rsidP="0071415F">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030C9CDA" wp14:editId="15EA159D">
                  <wp:extent cx="1081405" cy="1081405"/>
                  <wp:effectExtent l="19050" t="0" r="4445" b="0"/>
                  <wp:docPr id="25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8"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6902" w:type="dxa"/>
            <w:shd w:val="clear" w:color="auto" w:fill="auto"/>
            <w:vAlign w:val="center"/>
          </w:tcPr>
          <w:p w14:paraId="253A048B" w14:textId="77777777" w:rsidR="0071415F" w:rsidRPr="0071415F" w:rsidRDefault="0071415F" w:rsidP="0071415F">
            <w:pPr>
              <w:pStyle w:val="Header"/>
              <w:tabs>
                <w:tab w:val="left" w:pos="720"/>
              </w:tabs>
              <w:bidi w:val="0"/>
              <w:rPr>
                <w:rFonts w:ascii="Times New Roman" w:hAnsi="Times New Roman" w:cs="Times New Roman"/>
                <w:b/>
                <w:bCs/>
                <w:color w:val="000000"/>
                <w:sz w:val="24"/>
                <w:szCs w:val="24"/>
              </w:rPr>
            </w:pPr>
            <w:r w:rsidRPr="0071415F">
              <w:rPr>
                <w:rFonts w:ascii="Times New Roman" w:hAnsi="Times New Roman" w:cs="Times New Roman"/>
                <w:b/>
                <w:color w:val="000000"/>
                <w:sz w:val="28"/>
                <w:szCs w:val="28"/>
              </w:rPr>
              <w:t xml:space="preserve">GOAL 15 – </w:t>
            </w:r>
            <w:r w:rsidRPr="0071415F">
              <w:rPr>
                <w:rFonts w:ascii="Times New Roman" w:hAnsi="Times New Roman" w:cs="Times New Roman"/>
                <w:b/>
                <w:sz w:val="28"/>
                <w:szCs w:val="28"/>
              </w:rPr>
              <w:t xml:space="preserve">Protect, Restore </w:t>
            </w:r>
            <w:r w:rsidR="003A33EF">
              <w:rPr>
                <w:rFonts w:ascii="Times New Roman" w:hAnsi="Times New Roman" w:cs="Times New Roman"/>
                <w:b/>
                <w:sz w:val="28"/>
                <w:szCs w:val="28"/>
              </w:rPr>
              <w:t>a</w:t>
            </w:r>
            <w:r w:rsidRPr="0071415F">
              <w:rPr>
                <w:rFonts w:ascii="Times New Roman" w:hAnsi="Times New Roman" w:cs="Times New Roman"/>
                <w:b/>
                <w:sz w:val="28"/>
                <w:szCs w:val="28"/>
              </w:rPr>
              <w:t xml:space="preserve">nd Promote Sustainable Use Of Terrestrial Ecosystems, Sustainably Manage Forests, Combat  Desertification, </w:t>
            </w:r>
            <w:r w:rsidR="003A33EF">
              <w:rPr>
                <w:rFonts w:ascii="Times New Roman" w:hAnsi="Times New Roman" w:cs="Times New Roman"/>
                <w:b/>
                <w:sz w:val="28"/>
                <w:szCs w:val="28"/>
              </w:rPr>
              <w:t>a</w:t>
            </w:r>
            <w:r w:rsidRPr="0071415F">
              <w:rPr>
                <w:rFonts w:ascii="Times New Roman" w:hAnsi="Times New Roman" w:cs="Times New Roman"/>
                <w:b/>
                <w:sz w:val="28"/>
                <w:szCs w:val="28"/>
              </w:rPr>
              <w:t xml:space="preserve">nd Halt </w:t>
            </w:r>
            <w:r w:rsidR="003A33EF">
              <w:rPr>
                <w:rFonts w:ascii="Times New Roman" w:hAnsi="Times New Roman" w:cs="Times New Roman"/>
                <w:b/>
                <w:sz w:val="28"/>
                <w:szCs w:val="28"/>
              </w:rPr>
              <w:t>a</w:t>
            </w:r>
            <w:r w:rsidRPr="0071415F">
              <w:rPr>
                <w:rFonts w:ascii="Times New Roman" w:hAnsi="Times New Roman" w:cs="Times New Roman"/>
                <w:b/>
                <w:sz w:val="28"/>
                <w:szCs w:val="28"/>
              </w:rPr>
              <w:t xml:space="preserve">nd Reverse Land Degradation </w:t>
            </w:r>
            <w:r w:rsidR="003A33EF">
              <w:rPr>
                <w:rFonts w:ascii="Times New Roman" w:hAnsi="Times New Roman" w:cs="Times New Roman"/>
                <w:b/>
                <w:sz w:val="28"/>
                <w:szCs w:val="28"/>
              </w:rPr>
              <w:t>a</w:t>
            </w:r>
            <w:r w:rsidRPr="0071415F">
              <w:rPr>
                <w:rFonts w:ascii="Times New Roman" w:hAnsi="Times New Roman" w:cs="Times New Roman"/>
                <w:b/>
                <w:sz w:val="28"/>
                <w:szCs w:val="28"/>
              </w:rPr>
              <w:t>nd Halt Biodiversity Loss</w:t>
            </w:r>
          </w:p>
        </w:tc>
      </w:tr>
    </w:tbl>
    <w:p w14:paraId="00355FBB" w14:textId="77777777" w:rsidR="0071415F" w:rsidRPr="00E044EE" w:rsidRDefault="0071415F" w:rsidP="0071415F">
      <w:pPr>
        <w:autoSpaceDE w:val="0"/>
        <w:autoSpaceDN w:val="0"/>
        <w:bidi w:val="0"/>
        <w:adjustRightInd w:val="0"/>
        <w:spacing w:after="0" w:line="240" w:lineRule="auto"/>
        <w:jc w:val="both"/>
        <w:rPr>
          <w:b/>
          <w:bCs/>
        </w:rPr>
      </w:pPr>
    </w:p>
    <w:p w14:paraId="1AA63A9D"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Introduction to the Goal</w:t>
      </w:r>
    </w:p>
    <w:p w14:paraId="76235CEB"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Goal 15 is aimed at safeguarding terrestrial ecosystems and their biodiversity. The strategy is not limited to the surviving natural environments or large reserves of the biosphere, but it involves the entire planet, of which every part is undergoing forms of environmental and land degradation. Particular emphasis is placed on the problems of deforestation and desertification: macro-phenomena related to human activities and climate change, which puts at risk the means of support of millions of people fighting poverty in developing countries. The other key element is the loss of biodiversity, to be halted through environmental conservation and restoration policies, the promotion of sustainable and shared use of genetic resources and the fight against the extinction of endangered species.</w:t>
      </w:r>
    </w:p>
    <w:p w14:paraId="45B0A14F"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24291C02"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Targets</w:t>
      </w:r>
    </w:p>
    <w:p w14:paraId="58243711"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 xml:space="preserve">Goal 15 is broken down into 12 </w:t>
      </w:r>
      <w:r w:rsidR="003A33EF">
        <w:rPr>
          <w:rFonts w:ascii="Times New Roman" w:hAnsi="Times New Roman" w:cs="Times New Roman"/>
          <w:sz w:val="24"/>
          <w:szCs w:val="24"/>
        </w:rPr>
        <w:t>t</w:t>
      </w:r>
      <w:r w:rsidRPr="00E044EE">
        <w:rPr>
          <w:rFonts w:ascii="Times New Roman" w:hAnsi="Times New Roman" w:cs="Times New Roman"/>
          <w:sz w:val="24"/>
          <w:szCs w:val="24"/>
        </w:rPr>
        <w:t xml:space="preserve">argets, of which the last </w:t>
      </w:r>
      <w:r w:rsidR="003A33EF">
        <w:rPr>
          <w:rFonts w:ascii="Times New Roman" w:hAnsi="Times New Roman" w:cs="Times New Roman"/>
          <w:sz w:val="24"/>
          <w:szCs w:val="24"/>
        </w:rPr>
        <w:t>three</w:t>
      </w:r>
      <w:r w:rsidRPr="00E044EE">
        <w:rPr>
          <w:rFonts w:ascii="Times New Roman" w:hAnsi="Times New Roman" w:cs="Times New Roman"/>
          <w:sz w:val="24"/>
          <w:szCs w:val="24"/>
        </w:rPr>
        <w:t xml:space="preserve"> refer to means of implementation:</w:t>
      </w:r>
    </w:p>
    <w:p w14:paraId="006165D0"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15.1 </w:t>
      </w:r>
    </w:p>
    <w:p w14:paraId="338B9FD9"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2020, ensure the conservation, restoration and sustainable use of terrestrial and inland freshwater ecosystems and their services, in particular forests, wetlands, mountains and drylands, in line with obligations under international agreements</w:t>
      </w:r>
      <w:r w:rsidR="003A33EF">
        <w:rPr>
          <w:rFonts w:ascii="Times New Roman" w:hAnsi="Times New Roman" w:cs="Times New Roman"/>
          <w:sz w:val="24"/>
          <w:szCs w:val="24"/>
        </w:rPr>
        <w:t>.</w:t>
      </w:r>
    </w:p>
    <w:p w14:paraId="0E802606"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53F5C0A"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15.2 </w:t>
      </w:r>
    </w:p>
    <w:p w14:paraId="4ABADDC0"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2020, promote the implementation of sustainable management of all types of forests, halt deforestation, restore degraded forests and substantially increase afforestation and reforestation globally</w:t>
      </w:r>
      <w:r w:rsidR="003A33EF">
        <w:rPr>
          <w:rFonts w:ascii="Times New Roman" w:hAnsi="Times New Roman" w:cs="Times New Roman"/>
          <w:sz w:val="24"/>
          <w:szCs w:val="24"/>
        </w:rPr>
        <w:t>.</w:t>
      </w:r>
    </w:p>
    <w:p w14:paraId="7DD9DAB9"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9A8F274"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15.3 </w:t>
      </w:r>
    </w:p>
    <w:p w14:paraId="516A20BC"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2030, combat desertification, restore degraded land and soil, including land affected by desertification, drought and floods, and strive to achieve a land degradation-neutral world</w:t>
      </w:r>
      <w:r w:rsidR="003A33EF">
        <w:rPr>
          <w:rFonts w:ascii="Times New Roman" w:hAnsi="Times New Roman" w:cs="Times New Roman"/>
          <w:sz w:val="24"/>
          <w:szCs w:val="24"/>
        </w:rPr>
        <w:t>.</w:t>
      </w:r>
    </w:p>
    <w:p w14:paraId="6F76A8E8"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63AB99A"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15.4 </w:t>
      </w:r>
    </w:p>
    <w:p w14:paraId="05EF2363"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2030, ensure the conservation of mountain ecosystems, including their biodiversity, in order to enhance their capacity to provide benefits that are essential for sustainable development</w:t>
      </w:r>
      <w:r w:rsidR="0034455A">
        <w:rPr>
          <w:rFonts w:ascii="Times New Roman" w:hAnsi="Times New Roman" w:cs="Times New Roman"/>
          <w:sz w:val="24"/>
          <w:szCs w:val="24"/>
        </w:rPr>
        <w:t>.</w:t>
      </w:r>
    </w:p>
    <w:p w14:paraId="422D49A8"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E6F90D0"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15.5 </w:t>
      </w:r>
    </w:p>
    <w:p w14:paraId="79137325"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Take urgent and significant action to reduce the degradation of natural habitats, halt the loss of biodiversity, by 2020, protect, and prevent the extinction of threatened species</w:t>
      </w:r>
      <w:r w:rsidR="003A33EF">
        <w:rPr>
          <w:rFonts w:ascii="Times New Roman" w:hAnsi="Times New Roman" w:cs="Times New Roman"/>
          <w:sz w:val="24"/>
          <w:szCs w:val="24"/>
        </w:rPr>
        <w:t>.</w:t>
      </w:r>
    </w:p>
    <w:p w14:paraId="7A354EBF"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6A1ADC69"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15.6 </w:t>
      </w:r>
    </w:p>
    <w:p w14:paraId="23869F0F"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Promote fair and equitable sharing of the benefits arising from the utilization of genetic resources and promote appropriate access to such resources, as internationally agreed</w:t>
      </w:r>
      <w:r w:rsidR="003A33EF">
        <w:rPr>
          <w:rFonts w:ascii="Times New Roman" w:hAnsi="Times New Roman" w:cs="Times New Roman"/>
          <w:sz w:val="24"/>
          <w:szCs w:val="24"/>
        </w:rPr>
        <w:t>.</w:t>
      </w:r>
    </w:p>
    <w:p w14:paraId="7E90C009"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2242550"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15.7 </w:t>
      </w:r>
    </w:p>
    <w:p w14:paraId="0FB83446"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E044EE">
        <w:rPr>
          <w:rFonts w:ascii="Times New Roman" w:hAnsi="Times New Roman" w:cs="Times New Roman"/>
          <w:sz w:val="24"/>
          <w:szCs w:val="24"/>
        </w:rPr>
        <w:t>Take</w:t>
      </w:r>
      <w:r w:rsidRPr="000D2E4D">
        <w:rPr>
          <w:rFonts w:ascii="Times New Roman" w:hAnsi="Times New Roman" w:cs="Times New Roman"/>
          <w:color w:val="000000"/>
          <w:sz w:val="24"/>
          <w:szCs w:val="24"/>
        </w:rPr>
        <w:t xml:space="preserve"> urgent action to end poaching and trafficking of protected species of flora and fauna and address both demand and supply of illegal wildlife products</w:t>
      </w:r>
      <w:r w:rsidR="003A33EF">
        <w:rPr>
          <w:rFonts w:ascii="Times New Roman" w:hAnsi="Times New Roman" w:cs="Times New Roman"/>
          <w:color w:val="000000"/>
          <w:sz w:val="24"/>
          <w:szCs w:val="24"/>
        </w:rPr>
        <w:t>.</w:t>
      </w:r>
    </w:p>
    <w:p w14:paraId="28BA1C7A" w14:textId="77777777" w:rsidR="0071415F" w:rsidRPr="00D42F51"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6E32CE5"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15.8 </w:t>
      </w:r>
    </w:p>
    <w:p w14:paraId="543E05FC"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By 2020, introduce measures to prevent the introduction and significantly reduce the impact of invasive alien species on land and water ecosystems and control or eradicate the priority species</w:t>
      </w:r>
    </w:p>
    <w:p w14:paraId="6A78889C"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D1DB060"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lastRenderedPageBreak/>
        <w:t xml:space="preserve">15.9 </w:t>
      </w:r>
    </w:p>
    <w:p w14:paraId="67041556"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E044EE">
        <w:rPr>
          <w:rFonts w:ascii="Times New Roman" w:hAnsi="Times New Roman" w:cs="Times New Roman"/>
          <w:sz w:val="24"/>
          <w:szCs w:val="24"/>
        </w:rPr>
        <w:t>By</w:t>
      </w:r>
      <w:r w:rsidRPr="000D2E4D">
        <w:rPr>
          <w:rFonts w:ascii="Times New Roman" w:hAnsi="Times New Roman" w:cs="Times New Roman"/>
          <w:color w:val="000000"/>
          <w:sz w:val="24"/>
          <w:szCs w:val="24"/>
        </w:rPr>
        <w:t xml:space="preserve"> 2020, integrate ecosystem and biodiversity values into national and local planning, development processes, poverty reduction strategies</w:t>
      </w:r>
      <w:r w:rsidR="003A33EF">
        <w:rPr>
          <w:rFonts w:ascii="Times New Roman" w:hAnsi="Times New Roman" w:cs="Times New Roman"/>
          <w:color w:val="000000"/>
          <w:sz w:val="24"/>
          <w:szCs w:val="24"/>
        </w:rPr>
        <w:t>,</w:t>
      </w:r>
      <w:r w:rsidRPr="000D2E4D">
        <w:rPr>
          <w:rFonts w:ascii="Times New Roman" w:hAnsi="Times New Roman" w:cs="Times New Roman"/>
          <w:color w:val="000000"/>
          <w:sz w:val="24"/>
          <w:szCs w:val="24"/>
        </w:rPr>
        <w:t xml:space="preserve"> and accounts</w:t>
      </w:r>
      <w:r w:rsidR="003A33EF">
        <w:rPr>
          <w:rFonts w:ascii="Times New Roman" w:hAnsi="Times New Roman" w:cs="Times New Roman"/>
          <w:color w:val="000000"/>
          <w:sz w:val="24"/>
          <w:szCs w:val="24"/>
        </w:rPr>
        <w:t>.</w:t>
      </w:r>
    </w:p>
    <w:p w14:paraId="22B36281"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6D6B5AB"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15.a</w:t>
      </w:r>
    </w:p>
    <w:p w14:paraId="060453EA"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Mobilize and significantly increase financial resources from all sources to conserve and sustainably use biodiversity and ecosystems</w:t>
      </w:r>
      <w:r w:rsidR="003A33EF">
        <w:rPr>
          <w:rFonts w:ascii="Times New Roman" w:hAnsi="Times New Roman" w:cs="Times New Roman"/>
          <w:sz w:val="24"/>
          <w:szCs w:val="24"/>
        </w:rPr>
        <w:t>.</w:t>
      </w:r>
    </w:p>
    <w:p w14:paraId="6F13F5F9"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BD0339C"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15.b</w:t>
      </w:r>
    </w:p>
    <w:p w14:paraId="2D58E614"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9964E9">
        <w:rPr>
          <w:rFonts w:ascii="Times New Roman" w:hAnsi="Times New Roman" w:cs="Times New Roman"/>
          <w:sz w:val="24"/>
          <w:szCs w:val="24"/>
        </w:rPr>
        <w:t>Mobilize significant resources from all sources and at all levels to finance sustainable forest management and provide adequate incentives to developing countries to advance such management</w:t>
      </w:r>
      <w:r w:rsidRPr="000D2E4D">
        <w:rPr>
          <w:rFonts w:ascii="Times New Roman" w:hAnsi="Times New Roman" w:cs="Times New Roman"/>
          <w:color w:val="000000"/>
          <w:sz w:val="24"/>
          <w:szCs w:val="24"/>
        </w:rPr>
        <w:t xml:space="preserve"> including for conservation and reforestation</w:t>
      </w:r>
      <w:r w:rsidR="003A33EF">
        <w:rPr>
          <w:rFonts w:ascii="Times New Roman" w:hAnsi="Times New Roman" w:cs="Times New Roman"/>
          <w:color w:val="000000"/>
          <w:sz w:val="24"/>
          <w:szCs w:val="24"/>
        </w:rPr>
        <w:t>.</w:t>
      </w:r>
    </w:p>
    <w:p w14:paraId="467F513A"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D5BEE3F"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15.c</w:t>
      </w:r>
    </w:p>
    <w:p w14:paraId="6ACFA7FF"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9964E9">
        <w:rPr>
          <w:rFonts w:ascii="Times New Roman" w:hAnsi="Times New Roman" w:cs="Times New Roman"/>
          <w:sz w:val="24"/>
          <w:szCs w:val="24"/>
        </w:rPr>
        <w:t>Enhance</w:t>
      </w:r>
      <w:r w:rsidRPr="000D2E4D">
        <w:rPr>
          <w:rFonts w:ascii="Times New Roman" w:hAnsi="Times New Roman" w:cs="Times New Roman"/>
          <w:color w:val="000000"/>
          <w:sz w:val="24"/>
          <w:szCs w:val="24"/>
        </w:rPr>
        <w:t xml:space="preserve"> global support for efforts to combat poaching and trafficking of protected species including by increasing the capacity of local communities to pursue sustainable livelihood opportunities</w:t>
      </w:r>
      <w:r w:rsidR="003A33EF">
        <w:rPr>
          <w:rFonts w:ascii="Times New Roman" w:hAnsi="Times New Roman" w:cs="Times New Roman"/>
          <w:color w:val="000000"/>
          <w:sz w:val="24"/>
          <w:szCs w:val="24"/>
        </w:rPr>
        <w:t>.</w:t>
      </w:r>
    </w:p>
    <w:p w14:paraId="3B6CDBEC" w14:textId="77777777" w:rsidR="0071415F" w:rsidRPr="00520EAF" w:rsidRDefault="0071415F" w:rsidP="0071415F">
      <w:pPr>
        <w:bidi w:val="0"/>
        <w:spacing w:after="0" w:line="240" w:lineRule="auto"/>
        <w:jc w:val="both"/>
        <w:rPr>
          <w:rFonts w:ascii="Times New Roman" w:hAnsi="Times New Roman" w:cs="Times New Roman"/>
          <w:sz w:val="24"/>
          <w:szCs w:val="24"/>
        </w:rPr>
      </w:pPr>
    </w:p>
    <w:p w14:paraId="5A3DB0FE" w14:textId="77777777" w:rsidR="0071415F" w:rsidRPr="00A6200E" w:rsidRDefault="0071415F" w:rsidP="00FB1314">
      <w:pPr>
        <w:pStyle w:val="ListParagraph"/>
        <w:numPr>
          <w:ilvl w:val="0"/>
          <w:numId w:val="19"/>
        </w:numPr>
        <w:autoSpaceDE w:val="0"/>
        <w:autoSpaceDN w:val="0"/>
        <w:adjustRightInd w:val="0"/>
        <w:spacing w:after="0" w:line="240" w:lineRule="auto"/>
        <w:jc w:val="both"/>
        <w:rPr>
          <w:rFonts w:ascii="Times New Roman" w:hAnsi="Times New Roman" w:cs="Times New Roman"/>
          <w:b/>
          <w:bCs/>
          <w:sz w:val="24"/>
          <w:szCs w:val="24"/>
        </w:rPr>
      </w:pPr>
      <w:r w:rsidRPr="00A6200E">
        <w:rPr>
          <w:rFonts w:ascii="Times New Roman" w:hAnsi="Times New Roman" w:cs="Times New Roman"/>
          <w:b/>
          <w:bCs/>
          <w:sz w:val="24"/>
          <w:szCs w:val="24"/>
        </w:rPr>
        <w:t>Indicators released by PCBS</w:t>
      </w:r>
    </w:p>
    <w:p w14:paraId="0BBBEC53" w14:textId="77777777"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There are </w:t>
      </w:r>
      <w:r w:rsidR="003A33EF">
        <w:rPr>
          <w:rFonts w:ascii="Times New Roman" w:hAnsi="Times New Roman" w:cs="Times New Roman"/>
          <w:color w:val="000000" w:themeColor="text1"/>
          <w:sz w:val="24"/>
          <w:szCs w:val="24"/>
        </w:rPr>
        <w:t>seven</w:t>
      </w:r>
      <w:r w:rsidRPr="006B7F41">
        <w:rPr>
          <w:rFonts w:ascii="Times New Roman" w:hAnsi="Times New Roman" w:cs="Times New Roman"/>
          <w:color w:val="000000" w:themeColor="text1"/>
          <w:sz w:val="24"/>
          <w:szCs w:val="24"/>
        </w:rPr>
        <w:t xml:space="preserve"> indicators released by PCBS for Goal 15, represent</w:t>
      </w:r>
      <w:r w:rsidR="003A33EF">
        <w:rPr>
          <w:rFonts w:ascii="Times New Roman" w:hAnsi="Times New Roman" w:cs="Times New Roman"/>
          <w:color w:val="000000" w:themeColor="text1"/>
          <w:sz w:val="24"/>
          <w:szCs w:val="24"/>
        </w:rPr>
        <w:t>ing eight</w:t>
      </w:r>
      <w:r w:rsidRPr="006B7F41">
        <w:rPr>
          <w:rFonts w:ascii="Times New Roman" w:hAnsi="Times New Roman" w:cs="Times New Roman"/>
          <w:color w:val="000000" w:themeColor="text1"/>
          <w:sz w:val="24"/>
          <w:szCs w:val="24"/>
        </w:rPr>
        <w:t xml:space="preserve"> data point</w:t>
      </w:r>
      <w:r w:rsidR="00304E2A">
        <w:rPr>
          <w:rFonts w:ascii="Times New Roman" w:hAnsi="Times New Roman" w:cs="Times New Roman"/>
          <w:color w:val="000000" w:themeColor="text1"/>
          <w:sz w:val="24"/>
          <w:szCs w:val="24"/>
        </w:rPr>
        <w:t>s</w:t>
      </w:r>
      <w:r w:rsidRPr="006B7F41">
        <w:rPr>
          <w:rFonts w:ascii="Times New Roman" w:hAnsi="Times New Roman" w:cs="Times New Roman"/>
          <w:color w:val="000000" w:themeColor="text1"/>
          <w:sz w:val="24"/>
          <w:szCs w:val="24"/>
        </w:rPr>
        <w:t xml:space="preserve">, referring to </w:t>
      </w:r>
      <w:r w:rsidR="003A33EF">
        <w:rPr>
          <w:rFonts w:ascii="Times New Roman" w:hAnsi="Times New Roman" w:cs="Times New Roman"/>
          <w:color w:val="000000" w:themeColor="text1"/>
          <w:sz w:val="24"/>
          <w:szCs w:val="24"/>
        </w:rPr>
        <w:t>five</w:t>
      </w:r>
      <w:r w:rsidRPr="006B7F41">
        <w:rPr>
          <w:rFonts w:ascii="Times New Roman" w:hAnsi="Times New Roman" w:cs="Times New Roman"/>
          <w:color w:val="000000" w:themeColor="text1"/>
          <w:sz w:val="24"/>
          <w:szCs w:val="24"/>
        </w:rPr>
        <w:t xml:space="preserve"> of the 12 targets.</w:t>
      </w:r>
    </w:p>
    <w:p w14:paraId="4365DCC8"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35D3BA13"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Table 15.1</w:t>
      </w:r>
      <w:r>
        <w:rPr>
          <w:rFonts w:ascii="Arial" w:hAnsi="Arial"/>
          <w:b/>
          <w:bCs/>
        </w:rPr>
        <w:t xml:space="preserve">: </w:t>
      </w:r>
      <w:r w:rsidRPr="00422BE3">
        <w:rPr>
          <w:rFonts w:ascii="Arial" w:hAnsi="Arial"/>
          <w:b/>
          <w:bCs/>
        </w:rPr>
        <w:t>List of SDG Indicators Released by PCBS</w:t>
      </w:r>
    </w:p>
    <w:p w14:paraId="16964771" w14:textId="77777777" w:rsidR="0071415F" w:rsidRPr="009964E9" w:rsidRDefault="0071415F" w:rsidP="0071415F">
      <w:pPr>
        <w:tabs>
          <w:tab w:val="left" w:pos="9072"/>
        </w:tabs>
        <w:bidi w:val="0"/>
        <w:spacing w:after="0" w:line="240" w:lineRule="auto"/>
        <w:jc w:val="center"/>
        <w:rPr>
          <w:rFonts w:ascii="Arial" w:hAnsi="Arial"/>
          <w:b/>
          <w:bCs/>
          <w:sz w:val="12"/>
          <w:szCs w:val="12"/>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2"/>
        <w:gridCol w:w="1247"/>
        <w:gridCol w:w="1247"/>
        <w:gridCol w:w="1052"/>
        <w:gridCol w:w="1247"/>
      </w:tblGrid>
      <w:tr w:rsidR="0071415F" w:rsidRPr="00770C22" w14:paraId="65FB245C" w14:textId="77777777" w:rsidTr="0071415F">
        <w:trPr>
          <w:trHeight w:val="360"/>
          <w:tblHeader/>
          <w:jc w:val="center"/>
        </w:trPr>
        <w:tc>
          <w:tcPr>
            <w:tcW w:w="5102" w:type="dxa"/>
            <w:tcBorders>
              <w:bottom w:val="single" w:sz="4" w:space="0" w:color="auto"/>
            </w:tcBorders>
            <w:shd w:val="clear" w:color="auto" w:fill="auto"/>
            <w:noWrap/>
            <w:vAlign w:val="center"/>
            <w:hideMark/>
          </w:tcPr>
          <w:p w14:paraId="1E3F7A0B"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tl/>
              </w:rPr>
              <w:br w:type="page"/>
            </w:r>
            <w:r w:rsidRPr="00770C22">
              <w:rPr>
                <w:rFonts w:asciiTheme="minorBidi" w:hAnsiTheme="minorBidi" w:cstheme="minorBidi"/>
                <w:b/>
                <w:bCs/>
                <w:sz w:val="18"/>
                <w:szCs w:val="18"/>
              </w:rPr>
              <w:t>Indicators</w:t>
            </w:r>
          </w:p>
        </w:tc>
        <w:tc>
          <w:tcPr>
            <w:tcW w:w="1247" w:type="dxa"/>
            <w:tcBorders>
              <w:bottom w:val="single" w:sz="4" w:space="0" w:color="auto"/>
            </w:tcBorders>
            <w:shd w:val="clear" w:color="auto" w:fill="auto"/>
            <w:noWrap/>
            <w:vAlign w:val="center"/>
            <w:hideMark/>
          </w:tcPr>
          <w:p w14:paraId="0439B01F"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 xml:space="preserve">Referring to the SDG </w:t>
            </w:r>
            <w:r w:rsidR="003A33EF">
              <w:rPr>
                <w:rFonts w:asciiTheme="minorBidi" w:hAnsiTheme="minorBidi" w:cstheme="minorBidi"/>
                <w:b/>
                <w:bCs/>
                <w:sz w:val="18"/>
                <w:szCs w:val="18"/>
              </w:rPr>
              <w:t>i</w:t>
            </w:r>
            <w:r w:rsidRPr="00770C22">
              <w:rPr>
                <w:rFonts w:asciiTheme="minorBidi" w:hAnsiTheme="minorBidi" w:cstheme="minorBidi"/>
                <w:b/>
                <w:bCs/>
                <w:sz w:val="18"/>
                <w:szCs w:val="18"/>
              </w:rPr>
              <w:t>ndicator</w:t>
            </w:r>
          </w:p>
        </w:tc>
        <w:tc>
          <w:tcPr>
            <w:tcW w:w="1247" w:type="dxa"/>
            <w:tcBorders>
              <w:bottom w:val="single" w:sz="4" w:space="0" w:color="auto"/>
            </w:tcBorders>
            <w:shd w:val="clear" w:color="auto" w:fill="auto"/>
            <w:noWrap/>
            <w:vAlign w:val="center"/>
            <w:hideMark/>
          </w:tcPr>
          <w:p w14:paraId="34264A9D"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Previous data</w:t>
            </w:r>
          </w:p>
        </w:tc>
        <w:tc>
          <w:tcPr>
            <w:tcW w:w="1052" w:type="dxa"/>
            <w:tcBorders>
              <w:bottom w:val="single" w:sz="4" w:space="0" w:color="auto"/>
            </w:tcBorders>
          </w:tcPr>
          <w:p w14:paraId="3C092919"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 xml:space="preserve">Last </w:t>
            </w:r>
            <w:r w:rsidR="003A33EF">
              <w:rPr>
                <w:rFonts w:asciiTheme="minorBidi" w:hAnsiTheme="minorBidi" w:cstheme="minorBidi"/>
                <w:b/>
                <w:bCs/>
                <w:sz w:val="18"/>
                <w:szCs w:val="18"/>
              </w:rPr>
              <w:t>a</w:t>
            </w:r>
            <w:r w:rsidRPr="00770C22">
              <w:rPr>
                <w:rFonts w:asciiTheme="minorBidi" w:hAnsiTheme="minorBidi" w:cstheme="minorBidi"/>
                <w:b/>
                <w:bCs/>
                <w:sz w:val="18"/>
                <w:szCs w:val="18"/>
              </w:rPr>
              <w:t>vailable data</w:t>
            </w:r>
          </w:p>
        </w:tc>
        <w:tc>
          <w:tcPr>
            <w:tcW w:w="1247" w:type="dxa"/>
            <w:tcBorders>
              <w:bottom w:val="single" w:sz="4" w:space="0" w:color="auto"/>
            </w:tcBorders>
          </w:tcPr>
          <w:p w14:paraId="467A8989"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Compared to the previous data point</w:t>
            </w:r>
          </w:p>
        </w:tc>
      </w:tr>
      <w:tr w:rsidR="0071415F" w:rsidRPr="00770C22" w14:paraId="26A2590D" w14:textId="77777777" w:rsidTr="00611C35">
        <w:trPr>
          <w:trHeight w:val="360"/>
          <w:jc w:val="center"/>
        </w:trPr>
        <w:tc>
          <w:tcPr>
            <w:tcW w:w="5102" w:type="dxa"/>
            <w:tcBorders>
              <w:bottom w:val="nil"/>
              <w:right w:val="single" w:sz="4" w:space="0" w:color="auto"/>
            </w:tcBorders>
            <w:shd w:val="clear" w:color="auto" w:fill="auto"/>
            <w:noWrap/>
            <w:vAlign w:val="center"/>
            <w:hideMark/>
          </w:tcPr>
          <w:p w14:paraId="6EAEC439" w14:textId="77777777" w:rsidR="0071415F" w:rsidRPr="00770C22" w:rsidRDefault="0071415F" w:rsidP="00BE2EC0">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15.1.1</w:t>
            </w:r>
            <w:r w:rsidRPr="00770C22">
              <w:rPr>
                <w:rFonts w:asciiTheme="minorBidi" w:hAnsiTheme="minorBidi" w:cstheme="minorBidi"/>
                <w:color w:val="000000" w:themeColor="text1"/>
                <w:sz w:val="18"/>
                <w:szCs w:val="18"/>
              </w:rPr>
              <w:t xml:space="preserve"> Forest area as a percentage of total lan</w:t>
            </w:r>
            <w:r w:rsidR="00BE2EC0">
              <w:rPr>
                <w:rFonts w:asciiTheme="minorBidi" w:hAnsiTheme="minorBidi" w:cstheme="minorBidi"/>
                <w:color w:val="000000" w:themeColor="text1"/>
                <w:sz w:val="18"/>
                <w:szCs w:val="18"/>
              </w:rPr>
              <w:t xml:space="preserve">d area (UNSD, 2020, </w:t>
            </w:r>
            <w:r w:rsidR="00BA105D">
              <w:rPr>
                <w:rFonts w:asciiTheme="minorBidi" w:hAnsiTheme="minorBidi" w:cstheme="minorBidi"/>
                <w:color w:val="000000" w:themeColor="text1"/>
                <w:sz w:val="18"/>
                <w:szCs w:val="18"/>
              </w:rPr>
              <w:t>p</w:t>
            </w:r>
            <w:r w:rsidR="00BE2EC0">
              <w:rPr>
                <w:rFonts w:asciiTheme="minorBidi" w:hAnsiTheme="minorBidi" w:cstheme="minorBidi"/>
                <w:color w:val="000000" w:themeColor="text1"/>
                <w:sz w:val="18"/>
                <w:szCs w:val="18"/>
              </w:rPr>
              <w:t>ercentage)</w:t>
            </w:r>
          </w:p>
        </w:tc>
        <w:tc>
          <w:tcPr>
            <w:tcW w:w="1247" w:type="dxa"/>
            <w:tcBorders>
              <w:left w:val="single" w:sz="4" w:space="0" w:color="auto"/>
              <w:bottom w:val="nil"/>
              <w:right w:val="single" w:sz="4" w:space="0" w:color="auto"/>
            </w:tcBorders>
            <w:shd w:val="clear" w:color="auto" w:fill="auto"/>
            <w:noWrap/>
            <w:vAlign w:val="center"/>
          </w:tcPr>
          <w:p w14:paraId="41AAA0A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left w:val="single" w:sz="4" w:space="0" w:color="auto"/>
              <w:bottom w:val="nil"/>
            </w:tcBorders>
            <w:shd w:val="clear" w:color="auto" w:fill="auto"/>
            <w:noWrap/>
            <w:vAlign w:val="center"/>
          </w:tcPr>
          <w:p w14:paraId="49E176A3" w14:textId="77777777" w:rsidR="0071415F" w:rsidRPr="00770C22" w:rsidRDefault="0071415F" w:rsidP="0071415F">
            <w:pPr>
              <w:bidi w:val="0"/>
              <w:spacing w:after="0" w:line="240" w:lineRule="auto"/>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4.06 (2018)</w:t>
            </w:r>
          </w:p>
        </w:tc>
        <w:tc>
          <w:tcPr>
            <w:tcW w:w="1052" w:type="dxa"/>
            <w:tcBorders>
              <w:left w:val="single" w:sz="4" w:space="0" w:color="auto"/>
              <w:bottom w:val="nil"/>
            </w:tcBorders>
            <w:vAlign w:val="center"/>
          </w:tcPr>
          <w:p w14:paraId="69913ADB"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1.68</w:t>
            </w:r>
          </w:p>
        </w:tc>
        <w:tc>
          <w:tcPr>
            <w:tcW w:w="1247" w:type="dxa"/>
            <w:tcBorders>
              <w:left w:val="single" w:sz="4" w:space="0" w:color="auto"/>
              <w:bottom w:val="nil"/>
            </w:tcBorders>
            <w:vAlign w:val="center"/>
          </w:tcPr>
          <w:p w14:paraId="038BD621" w14:textId="77777777" w:rsidR="0071415F" w:rsidRPr="00770C22" w:rsidRDefault="0071415F" w:rsidP="003A27F2">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Decrease</w:t>
            </w:r>
          </w:p>
        </w:tc>
      </w:tr>
      <w:tr w:rsidR="0071415F" w:rsidRPr="00770C22" w14:paraId="0F0E1967" w14:textId="77777777" w:rsidTr="00BE2EC0">
        <w:trPr>
          <w:trHeight w:val="794"/>
          <w:jc w:val="center"/>
        </w:trPr>
        <w:tc>
          <w:tcPr>
            <w:tcW w:w="5102" w:type="dxa"/>
            <w:tcBorders>
              <w:top w:val="single" w:sz="4" w:space="0" w:color="auto"/>
              <w:left w:val="single" w:sz="4" w:space="0" w:color="auto"/>
              <w:bottom w:val="nil"/>
              <w:right w:val="single" w:sz="4" w:space="0" w:color="auto"/>
            </w:tcBorders>
            <w:shd w:val="clear" w:color="auto" w:fill="auto"/>
            <w:noWrap/>
            <w:vAlign w:val="center"/>
          </w:tcPr>
          <w:p w14:paraId="3D3F0FE1" w14:textId="77777777" w:rsidR="0071415F" w:rsidRPr="00770C22" w:rsidRDefault="0071415F" w:rsidP="0071415F">
            <w:pPr>
              <w:tabs>
                <w:tab w:val="left" w:pos="9072"/>
              </w:tabs>
              <w:bidi w:val="0"/>
              <w:spacing w:after="0" w:line="240" w:lineRule="auto"/>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15.1.2 </w:t>
            </w:r>
            <w:r w:rsidRPr="00770C22">
              <w:rPr>
                <w:rFonts w:asciiTheme="minorBidi" w:hAnsiTheme="minorBidi" w:cstheme="minorBidi"/>
                <w:sz w:val="18"/>
                <w:szCs w:val="18"/>
              </w:rPr>
              <w:t>Proportion of important sites for terrestrial and freshwater biodiversity that are covered by protected areas, by ecosystem type</w:t>
            </w:r>
          </w:p>
        </w:tc>
        <w:tc>
          <w:tcPr>
            <w:tcW w:w="1247" w:type="dxa"/>
            <w:tcBorders>
              <w:left w:val="single" w:sz="4" w:space="0" w:color="auto"/>
              <w:bottom w:val="nil"/>
              <w:right w:val="single" w:sz="4" w:space="0" w:color="auto"/>
            </w:tcBorders>
            <w:shd w:val="clear" w:color="auto" w:fill="auto"/>
            <w:noWrap/>
            <w:vAlign w:val="center"/>
          </w:tcPr>
          <w:p w14:paraId="37510182"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247" w:type="dxa"/>
            <w:tcBorders>
              <w:left w:val="single" w:sz="4" w:space="0" w:color="auto"/>
              <w:bottom w:val="nil"/>
            </w:tcBorders>
            <w:shd w:val="clear" w:color="auto" w:fill="auto"/>
            <w:noWrap/>
            <w:vAlign w:val="center"/>
          </w:tcPr>
          <w:p w14:paraId="39B398BE" w14:textId="77777777" w:rsidR="0071415F" w:rsidRPr="00770C22" w:rsidRDefault="0071415F" w:rsidP="0071415F">
            <w:pPr>
              <w:bidi w:val="0"/>
              <w:spacing w:after="0" w:line="240" w:lineRule="auto"/>
              <w:jc w:val="both"/>
              <w:rPr>
                <w:rFonts w:asciiTheme="minorBidi" w:hAnsiTheme="minorBidi" w:cstheme="minorBidi"/>
                <w:color w:val="000000" w:themeColor="text1"/>
                <w:sz w:val="18"/>
                <w:szCs w:val="18"/>
              </w:rPr>
            </w:pPr>
          </w:p>
        </w:tc>
        <w:tc>
          <w:tcPr>
            <w:tcW w:w="1052" w:type="dxa"/>
            <w:tcBorders>
              <w:left w:val="single" w:sz="4" w:space="0" w:color="auto"/>
              <w:bottom w:val="nil"/>
            </w:tcBorders>
            <w:vAlign w:val="center"/>
          </w:tcPr>
          <w:p w14:paraId="39F7738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247" w:type="dxa"/>
            <w:tcBorders>
              <w:left w:val="single" w:sz="4" w:space="0" w:color="auto"/>
              <w:bottom w:val="nil"/>
            </w:tcBorders>
            <w:vAlign w:val="center"/>
          </w:tcPr>
          <w:p w14:paraId="65191A2D" w14:textId="77777777" w:rsidR="0071415F" w:rsidRPr="00770C22" w:rsidRDefault="0071415F" w:rsidP="003A27F2">
            <w:pPr>
              <w:bidi w:val="0"/>
              <w:spacing w:after="0" w:line="240" w:lineRule="auto"/>
              <w:jc w:val="center"/>
              <w:rPr>
                <w:rFonts w:asciiTheme="minorBidi" w:hAnsiTheme="minorBidi" w:cstheme="minorBidi"/>
                <w:sz w:val="18"/>
                <w:szCs w:val="18"/>
              </w:rPr>
            </w:pPr>
          </w:p>
        </w:tc>
      </w:tr>
      <w:tr w:rsidR="0071415F" w:rsidRPr="00770C22" w14:paraId="20BF3C02" w14:textId="77777777" w:rsidTr="00611C35">
        <w:trPr>
          <w:trHeight w:val="360"/>
          <w:jc w:val="center"/>
        </w:trPr>
        <w:tc>
          <w:tcPr>
            <w:tcW w:w="5102" w:type="dxa"/>
            <w:tcBorders>
              <w:top w:val="nil"/>
              <w:left w:val="single" w:sz="4" w:space="0" w:color="auto"/>
              <w:bottom w:val="nil"/>
              <w:right w:val="single" w:sz="4" w:space="0" w:color="auto"/>
            </w:tcBorders>
            <w:shd w:val="clear" w:color="auto" w:fill="auto"/>
            <w:noWrap/>
            <w:vAlign w:val="center"/>
          </w:tcPr>
          <w:p w14:paraId="2AF12ADC" w14:textId="77777777" w:rsidR="0071415F" w:rsidRPr="00770C22" w:rsidRDefault="0071415F" w:rsidP="00BE2EC0">
            <w:pPr>
              <w:tabs>
                <w:tab w:val="left" w:pos="9072"/>
              </w:tabs>
              <w:bidi w:val="0"/>
              <w:spacing w:after="0" w:line="240" w:lineRule="auto"/>
              <w:ind w:left="447"/>
              <w:rPr>
                <w:rFonts w:asciiTheme="minorBidi" w:hAnsiTheme="minorBidi" w:cstheme="minorBidi"/>
                <w:sz w:val="18"/>
                <w:szCs w:val="18"/>
              </w:rPr>
            </w:pPr>
            <w:r w:rsidRPr="00770C22">
              <w:rPr>
                <w:rFonts w:asciiTheme="minorBidi" w:hAnsiTheme="minorBidi" w:cstheme="minorBidi"/>
                <w:sz w:val="18"/>
                <w:szCs w:val="18"/>
              </w:rPr>
              <w:t>Proportion of important sites for freshwater biodiversity that are covered by protected areas</w:t>
            </w:r>
            <w:r w:rsidR="00BA105D">
              <w:rPr>
                <w:rFonts w:asciiTheme="minorBidi" w:hAnsiTheme="minorBidi" w:cstheme="minorBidi"/>
                <w:sz w:val="18"/>
                <w:szCs w:val="18"/>
              </w:rPr>
              <w:t xml:space="preserve"> (</w:t>
            </w:r>
            <w:r w:rsidRPr="00770C22">
              <w:rPr>
                <w:rFonts w:asciiTheme="minorBidi" w:hAnsiTheme="minorBidi" w:cstheme="minorBidi"/>
                <w:sz w:val="18"/>
                <w:szCs w:val="18"/>
              </w:rPr>
              <w:t xml:space="preserve">UNSD, 2020, </w:t>
            </w:r>
            <w:r w:rsidR="00BA105D">
              <w:rPr>
                <w:rFonts w:asciiTheme="minorBidi" w:hAnsiTheme="minorBidi" w:cstheme="minorBidi"/>
                <w:sz w:val="18"/>
                <w:szCs w:val="18"/>
              </w:rPr>
              <w:t>p</w:t>
            </w:r>
            <w:r w:rsidRPr="00770C22">
              <w:rPr>
                <w:rFonts w:asciiTheme="minorBidi" w:hAnsiTheme="minorBidi" w:cstheme="minorBidi"/>
                <w:sz w:val="18"/>
                <w:szCs w:val="18"/>
              </w:rPr>
              <w:t>ercentage)</w:t>
            </w:r>
          </w:p>
        </w:tc>
        <w:tc>
          <w:tcPr>
            <w:tcW w:w="1247" w:type="dxa"/>
            <w:tcBorders>
              <w:top w:val="nil"/>
              <w:left w:val="single" w:sz="4" w:space="0" w:color="auto"/>
              <w:bottom w:val="nil"/>
              <w:right w:val="single" w:sz="4" w:space="0" w:color="auto"/>
            </w:tcBorders>
            <w:shd w:val="clear" w:color="auto" w:fill="auto"/>
            <w:noWrap/>
            <w:vAlign w:val="center"/>
          </w:tcPr>
          <w:p w14:paraId="0105F45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p w14:paraId="5C7C87B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nil"/>
              <w:left w:val="single" w:sz="4" w:space="0" w:color="auto"/>
              <w:bottom w:val="nil"/>
            </w:tcBorders>
            <w:shd w:val="clear" w:color="auto" w:fill="auto"/>
            <w:noWrap/>
            <w:vAlign w:val="center"/>
          </w:tcPr>
          <w:p w14:paraId="306EB7CB" w14:textId="77777777" w:rsidR="0071415F" w:rsidRPr="00770C22" w:rsidRDefault="0071415F" w:rsidP="00611C35">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4.27 (2019)</w:t>
            </w:r>
          </w:p>
        </w:tc>
        <w:tc>
          <w:tcPr>
            <w:tcW w:w="1052" w:type="dxa"/>
            <w:tcBorders>
              <w:top w:val="nil"/>
              <w:left w:val="single" w:sz="4" w:space="0" w:color="auto"/>
              <w:bottom w:val="nil"/>
            </w:tcBorders>
            <w:vAlign w:val="center"/>
          </w:tcPr>
          <w:p w14:paraId="228DBCEA" w14:textId="77777777" w:rsidR="0071415F" w:rsidRPr="00770C22" w:rsidRDefault="0071415F" w:rsidP="00611C35">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4.27</w:t>
            </w:r>
          </w:p>
        </w:tc>
        <w:tc>
          <w:tcPr>
            <w:tcW w:w="1247" w:type="dxa"/>
            <w:tcBorders>
              <w:top w:val="nil"/>
              <w:left w:val="single" w:sz="4" w:space="0" w:color="auto"/>
              <w:bottom w:val="nil"/>
            </w:tcBorders>
            <w:vAlign w:val="center"/>
          </w:tcPr>
          <w:p w14:paraId="32953281" w14:textId="77777777" w:rsidR="0071415F" w:rsidRPr="00770C22" w:rsidRDefault="0071415F" w:rsidP="003A27F2">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778E4A9F" w14:textId="77777777" w:rsidTr="00611C35">
        <w:trPr>
          <w:trHeight w:val="360"/>
          <w:jc w:val="center"/>
        </w:trPr>
        <w:tc>
          <w:tcPr>
            <w:tcW w:w="5102" w:type="dxa"/>
            <w:tcBorders>
              <w:top w:val="nil"/>
              <w:left w:val="single" w:sz="4" w:space="0" w:color="auto"/>
              <w:bottom w:val="single" w:sz="4" w:space="0" w:color="auto"/>
              <w:right w:val="single" w:sz="4" w:space="0" w:color="auto"/>
            </w:tcBorders>
            <w:shd w:val="clear" w:color="auto" w:fill="auto"/>
            <w:noWrap/>
            <w:vAlign w:val="center"/>
          </w:tcPr>
          <w:p w14:paraId="636DD498" w14:textId="77777777" w:rsidR="0071415F" w:rsidRPr="00770C22" w:rsidRDefault="0071415F" w:rsidP="00BE2EC0">
            <w:pPr>
              <w:tabs>
                <w:tab w:val="left" w:pos="9072"/>
              </w:tabs>
              <w:bidi w:val="0"/>
              <w:spacing w:after="0" w:line="240" w:lineRule="auto"/>
              <w:ind w:left="447"/>
              <w:rPr>
                <w:rFonts w:asciiTheme="minorBidi" w:hAnsiTheme="minorBidi" w:cstheme="minorBidi"/>
                <w:sz w:val="18"/>
                <w:szCs w:val="18"/>
              </w:rPr>
            </w:pPr>
            <w:r w:rsidRPr="00770C22">
              <w:rPr>
                <w:rFonts w:asciiTheme="minorBidi" w:hAnsiTheme="minorBidi" w:cstheme="minorBidi"/>
                <w:sz w:val="18"/>
                <w:szCs w:val="18"/>
              </w:rPr>
              <w:t>Proportion of important sites for terrestrial biodiversity that are covered by protected areas</w:t>
            </w:r>
            <w:r w:rsidRPr="00770C22">
              <w:rPr>
                <w:rFonts w:asciiTheme="minorBidi" w:hAnsiTheme="minorBidi" w:cstheme="minorBidi"/>
                <w:sz w:val="18"/>
                <w:szCs w:val="18"/>
                <w:rtl/>
              </w:rPr>
              <w:t xml:space="preserve"> ) </w:t>
            </w:r>
            <w:r w:rsidRPr="00770C22">
              <w:rPr>
                <w:rFonts w:asciiTheme="minorBidi" w:hAnsiTheme="minorBidi" w:cstheme="minorBidi"/>
                <w:sz w:val="18"/>
                <w:szCs w:val="18"/>
              </w:rPr>
              <w:t xml:space="preserve">UNSD, 2020, </w:t>
            </w:r>
            <w:r w:rsidR="00BA105D">
              <w:rPr>
                <w:rFonts w:asciiTheme="minorBidi" w:hAnsiTheme="minorBidi" w:cstheme="minorBidi"/>
                <w:sz w:val="18"/>
                <w:szCs w:val="18"/>
              </w:rPr>
              <w:t>p</w:t>
            </w:r>
            <w:r w:rsidRPr="00770C22">
              <w:rPr>
                <w:rFonts w:asciiTheme="minorBidi" w:hAnsiTheme="minorBidi" w:cstheme="minorBidi"/>
                <w:sz w:val="18"/>
                <w:szCs w:val="18"/>
              </w:rPr>
              <w:t>ercentage)</w:t>
            </w:r>
          </w:p>
        </w:tc>
        <w:tc>
          <w:tcPr>
            <w:tcW w:w="1247" w:type="dxa"/>
            <w:tcBorders>
              <w:top w:val="nil"/>
              <w:left w:val="single" w:sz="4" w:space="0" w:color="auto"/>
              <w:bottom w:val="single" w:sz="4" w:space="0" w:color="auto"/>
              <w:right w:val="single" w:sz="4" w:space="0" w:color="auto"/>
            </w:tcBorders>
            <w:shd w:val="clear" w:color="auto" w:fill="auto"/>
            <w:noWrap/>
            <w:vAlign w:val="center"/>
          </w:tcPr>
          <w:p w14:paraId="0781AA15"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p w14:paraId="1466997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nil"/>
              <w:left w:val="single" w:sz="4" w:space="0" w:color="auto"/>
              <w:bottom w:val="single" w:sz="4" w:space="0" w:color="auto"/>
            </w:tcBorders>
            <w:shd w:val="clear" w:color="auto" w:fill="auto"/>
            <w:noWrap/>
            <w:vAlign w:val="center"/>
          </w:tcPr>
          <w:p w14:paraId="3F19EF53" w14:textId="77777777" w:rsidR="0071415F" w:rsidRPr="00770C22" w:rsidRDefault="0071415F" w:rsidP="00611C35">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20.93 (2019)</w:t>
            </w:r>
          </w:p>
        </w:tc>
        <w:tc>
          <w:tcPr>
            <w:tcW w:w="1052" w:type="dxa"/>
            <w:tcBorders>
              <w:top w:val="nil"/>
              <w:left w:val="single" w:sz="4" w:space="0" w:color="auto"/>
              <w:bottom w:val="single" w:sz="4" w:space="0" w:color="auto"/>
            </w:tcBorders>
            <w:vAlign w:val="center"/>
          </w:tcPr>
          <w:p w14:paraId="60FF2A7A" w14:textId="77777777" w:rsidR="0071415F" w:rsidRPr="00770C22" w:rsidRDefault="0071415F" w:rsidP="00611C35">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20.93</w:t>
            </w:r>
          </w:p>
        </w:tc>
        <w:tc>
          <w:tcPr>
            <w:tcW w:w="1247" w:type="dxa"/>
            <w:tcBorders>
              <w:top w:val="nil"/>
              <w:left w:val="single" w:sz="4" w:space="0" w:color="auto"/>
              <w:bottom w:val="single" w:sz="4" w:space="0" w:color="auto"/>
            </w:tcBorders>
            <w:vAlign w:val="center"/>
          </w:tcPr>
          <w:p w14:paraId="380D76AB" w14:textId="77777777" w:rsidR="0071415F" w:rsidRPr="00770C22" w:rsidRDefault="0071415F" w:rsidP="003A27F2">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 xml:space="preserve">No change </w:t>
            </w:r>
          </w:p>
        </w:tc>
      </w:tr>
      <w:tr w:rsidR="0071415F" w:rsidRPr="00770C22" w14:paraId="2691E3C7" w14:textId="77777777" w:rsidTr="00611C35">
        <w:trPr>
          <w:trHeight w:val="360"/>
          <w:jc w:val="center"/>
        </w:trPr>
        <w:tc>
          <w:tcPr>
            <w:tcW w:w="5102" w:type="dxa"/>
            <w:tcBorders>
              <w:top w:val="single" w:sz="4" w:space="0" w:color="auto"/>
              <w:bottom w:val="nil"/>
              <w:right w:val="single" w:sz="4" w:space="0" w:color="auto"/>
            </w:tcBorders>
            <w:shd w:val="clear" w:color="auto" w:fill="auto"/>
            <w:noWrap/>
            <w:vAlign w:val="center"/>
            <w:hideMark/>
          </w:tcPr>
          <w:p w14:paraId="28D1A110" w14:textId="77777777" w:rsidR="0071415F" w:rsidRPr="00770C22" w:rsidRDefault="0071415F" w:rsidP="0071415F">
            <w:pPr>
              <w:tabs>
                <w:tab w:val="left" w:pos="9072"/>
              </w:tabs>
              <w:bidi w:val="0"/>
              <w:spacing w:after="0" w:line="240" w:lineRule="auto"/>
              <w:rPr>
                <w:rFonts w:asciiTheme="minorBidi" w:hAnsiTheme="minorBidi" w:cstheme="minorBidi"/>
                <w:b/>
                <w:bCs/>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15.4.1 </w:t>
            </w:r>
            <w:r w:rsidRPr="00770C22">
              <w:rPr>
                <w:rFonts w:asciiTheme="minorBidi" w:hAnsiTheme="minorBidi" w:cstheme="minorBidi"/>
                <w:color w:val="000000" w:themeColor="text1"/>
                <w:sz w:val="18"/>
                <w:szCs w:val="18"/>
              </w:rPr>
              <w:t>Coverage by protected areas of important sites for mountain biodiversity</w:t>
            </w:r>
            <w:r w:rsidRPr="00770C22">
              <w:rPr>
                <w:rFonts w:asciiTheme="minorBidi" w:hAnsiTheme="minorBidi" w:cstheme="minorBidi"/>
                <w:color w:val="000000" w:themeColor="text1"/>
                <w:sz w:val="18"/>
                <w:szCs w:val="18"/>
                <w:rtl/>
              </w:rPr>
              <w:t xml:space="preserve">) </w:t>
            </w:r>
            <w:r w:rsidRPr="00770C22">
              <w:rPr>
                <w:rFonts w:asciiTheme="minorBidi" w:hAnsiTheme="minorBidi" w:cstheme="minorBidi"/>
                <w:color w:val="000000" w:themeColor="text1"/>
                <w:sz w:val="18"/>
                <w:szCs w:val="18"/>
              </w:rPr>
              <w:t xml:space="preserve">UNSD, 2020, </w:t>
            </w:r>
            <w:r w:rsidR="00BA105D">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r w:rsidRPr="00770C22">
              <w:rPr>
                <w:rFonts w:asciiTheme="minorBidi" w:hAnsiTheme="minorBidi" w:cstheme="minorBidi"/>
                <w:color w:val="000000" w:themeColor="text1"/>
                <w:sz w:val="18"/>
                <w:szCs w:val="18"/>
                <w:rtl/>
              </w:rPr>
              <w:t>(</w:t>
            </w:r>
          </w:p>
        </w:tc>
        <w:tc>
          <w:tcPr>
            <w:tcW w:w="1247" w:type="dxa"/>
            <w:tcBorders>
              <w:top w:val="single" w:sz="4" w:space="0" w:color="auto"/>
              <w:left w:val="single" w:sz="4" w:space="0" w:color="auto"/>
              <w:bottom w:val="nil"/>
              <w:right w:val="single" w:sz="4" w:space="0" w:color="auto"/>
            </w:tcBorders>
            <w:shd w:val="clear" w:color="auto" w:fill="auto"/>
            <w:noWrap/>
            <w:hideMark/>
          </w:tcPr>
          <w:p w14:paraId="0D1C9A7D"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nil"/>
            </w:tcBorders>
            <w:shd w:val="clear" w:color="auto" w:fill="auto"/>
            <w:noWrap/>
            <w:hideMark/>
          </w:tcPr>
          <w:p w14:paraId="1D5F5F5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19.96 (2019)</w:t>
            </w:r>
          </w:p>
        </w:tc>
        <w:tc>
          <w:tcPr>
            <w:tcW w:w="1052" w:type="dxa"/>
            <w:tcBorders>
              <w:top w:val="single" w:sz="4" w:space="0" w:color="auto"/>
              <w:left w:val="single" w:sz="4" w:space="0" w:color="auto"/>
              <w:bottom w:val="nil"/>
            </w:tcBorders>
          </w:tcPr>
          <w:p w14:paraId="6ED858DA"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19.96</w:t>
            </w:r>
          </w:p>
        </w:tc>
        <w:tc>
          <w:tcPr>
            <w:tcW w:w="1247" w:type="dxa"/>
            <w:tcBorders>
              <w:top w:val="single" w:sz="4" w:space="0" w:color="auto"/>
              <w:left w:val="single" w:sz="4" w:space="0" w:color="auto"/>
              <w:bottom w:val="nil"/>
            </w:tcBorders>
          </w:tcPr>
          <w:p w14:paraId="7CD58666"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5D96E870" w14:textId="77777777" w:rsidTr="0071415F">
        <w:trPr>
          <w:trHeight w:val="360"/>
          <w:jc w:val="center"/>
        </w:trPr>
        <w:tc>
          <w:tcPr>
            <w:tcW w:w="5102" w:type="dxa"/>
            <w:tcBorders>
              <w:top w:val="single" w:sz="4" w:space="0" w:color="auto"/>
              <w:left w:val="single" w:sz="4" w:space="0" w:color="auto"/>
              <w:bottom w:val="nil"/>
              <w:right w:val="single" w:sz="4" w:space="0" w:color="auto"/>
            </w:tcBorders>
            <w:shd w:val="clear" w:color="auto" w:fill="auto"/>
            <w:noWrap/>
            <w:vAlign w:val="center"/>
            <w:hideMark/>
          </w:tcPr>
          <w:p w14:paraId="45DC1259"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15.4.2</w:t>
            </w:r>
            <w:r w:rsidRPr="00770C22">
              <w:rPr>
                <w:rFonts w:asciiTheme="minorBidi" w:hAnsiTheme="minorBidi" w:cstheme="minorBidi"/>
                <w:color w:val="000000" w:themeColor="text1"/>
                <w:sz w:val="18"/>
                <w:szCs w:val="18"/>
              </w:rPr>
              <w:t xml:space="preserve"> Mountain Green Cover Index (EQA, 2016, </w:t>
            </w:r>
            <w:r w:rsidR="00BA105D">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26B8BDF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185D951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52" w:type="dxa"/>
            <w:tcBorders>
              <w:top w:val="single" w:sz="4" w:space="0" w:color="auto"/>
              <w:left w:val="single" w:sz="4" w:space="0" w:color="auto"/>
              <w:bottom w:val="nil"/>
              <w:right w:val="single" w:sz="4" w:space="0" w:color="auto"/>
            </w:tcBorders>
            <w:vAlign w:val="center"/>
          </w:tcPr>
          <w:p w14:paraId="592C4DD8"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12.5</w:t>
            </w:r>
          </w:p>
        </w:tc>
        <w:tc>
          <w:tcPr>
            <w:tcW w:w="1247" w:type="dxa"/>
            <w:tcBorders>
              <w:top w:val="single" w:sz="4" w:space="0" w:color="auto"/>
              <w:left w:val="single" w:sz="4" w:space="0" w:color="auto"/>
              <w:bottom w:val="nil"/>
              <w:right w:val="single" w:sz="4" w:space="0" w:color="auto"/>
            </w:tcBorders>
            <w:vAlign w:val="center"/>
          </w:tcPr>
          <w:p w14:paraId="13B338CE"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4C8F6F78" w14:textId="77777777" w:rsidTr="0071415F">
        <w:trPr>
          <w:trHeight w:val="360"/>
          <w:jc w:val="center"/>
        </w:trPr>
        <w:tc>
          <w:tcPr>
            <w:tcW w:w="5102" w:type="dxa"/>
            <w:tcBorders>
              <w:top w:val="single" w:sz="4" w:space="0" w:color="auto"/>
              <w:bottom w:val="nil"/>
              <w:right w:val="single" w:sz="4" w:space="0" w:color="auto"/>
            </w:tcBorders>
            <w:shd w:val="clear" w:color="auto" w:fill="auto"/>
            <w:noWrap/>
            <w:vAlign w:val="center"/>
            <w:hideMark/>
          </w:tcPr>
          <w:p w14:paraId="015FF3F9"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15.5.1</w:t>
            </w:r>
            <w:r w:rsidRPr="00770C22">
              <w:rPr>
                <w:rFonts w:asciiTheme="minorBidi" w:hAnsiTheme="minorBidi" w:cstheme="minorBidi"/>
                <w:color w:val="000000" w:themeColor="text1"/>
                <w:sz w:val="18"/>
                <w:szCs w:val="18"/>
              </w:rPr>
              <w:t xml:space="preserve"> Red List Index (UNSD,2021, </w:t>
            </w:r>
            <w:r w:rsidR="00BA105D">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591F3E6B"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nil"/>
            </w:tcBorders>
            <w:shd w:val="clear" w:color="auto" w:fill="auto"/>
            <w:noWrap/>
            <w:vAlign w:val="center"/>
            <w:hideMark/>
          </w:tcPr>
          <w:p w14:paraId="1EAA7A1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0.89 (2020)</w:t>
            </w:r>
          </w:p>
        </w:tc>
        <w:tc>
          <w:tcPr>
            <w:tcW w:w="1052" w:type="dxa"/>
            <w:tcBorders>
              <w:top w:val="single" w:sz="4" w:space="0" w:color="auto"/>
              <w:left w:val="single" w:sz="4" w:space="0" w:color="auto"/>
              <w:bottom w:val="nil"/>
            </w:tcBorders>
            <w:vAlign w:val="center"/>
          </w:tcPr>
          <w:p w14:paraId="0D1ACD4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0.89</w:t>
            </w:r>
          </w:p>
        </w:tc>
        <w:tc>
          <w:tcPr>
            <w:tcW w:w="1247" w:type="dxa"/>
            <w:tcBorders>
              <w:top w:val="single" w:sz="4" w:space="0" w:color="auto"/>
              <w:left w:val="single" w:sz="4" w:space="0" w:color="auto"/>
              <w:bottom w:val="nil"/>
            </w:tcBorders>
            <w:vAlign w:val="center"/>
          </w:tcPr>
          <w:p w14:paraId="5840E49E"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565DFB5A" w14:textId="77777777" w:rsidTr="00611C35">
        <w:trPr>
          <w:trHeight w:val="360"/>
          <w:jc w:val="center"/>
        </w:trPr>
        <w:tc>
          <w:tcPr>
            <w:tcW w:w="5102" w:type="dxa"/>
            <w:tcBorders>
              <w:top w:val="single" w:sz="4" w:space="0" w:color="auto"/>
              <w:bottom w:val="single" w:sz="4" w:space="0" w:color="auto"/>
              <w:right w:val="single" w:sz="4" w:space="0" w:color="auto"/>
            </w:tcBorders>
            <w:shd w:val="clear" w:color="auto" w:fill="auto"/>
            <w:noWrap/>
            <w:vAlign w:val="center"/>
          </w:tcPr>
          <w:p w14:paraId="35B421EA"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bCs/>
                <w:color w:val="000000" w:themeColor="text1"/>
                <w:sz w:val="18"/>
                <w:szCs w:val="18"/>
              </w:rPr>
              <w:t>Indicator 15.a.1</w:t>
            </w:r>
            <w:r w:rsidRPr="00770C22">
              <w:rPr>
                <w:rFonts w:asciiTheme="minorBidi" w:hAnsiTheme="minorBidi" w:cstheme="minorBidi"/>
                <w:color w:val="000000" w:themeColor="text1"/>
                <w:sz w:val="18"/>
                <w:szCs w:val="18"/>
              </w:rPr>
              <w:t xml:space="preserve"> Official development assistance and public expenditure on conservation </w:t>
            </w:r>
            <w:r w:rsidRPr="00770C22">
              <w:rPr>
                <w:rFonts w:asciiTheme="minorBidi" w:hAnsiTheme="minorBidi" w:cstheme="minorBidi"/>
                <w:b/>
                <w:color w:val="000000" w:themeColor="text1"/>
                <w:sz w:val="18"/>
                <w:szCs w:val="18"/>
              </w:rPr>
              <w:t>and</w:t>
            </w:r>
            <w:r w:rsidRPr="00770C22">
              <w:rPr>
                <w:rFonts w:asciiTheme="minorBidi" w:hAnsiTheme="minorBidi" w:cstheme="minorBidi"/>
                <w:color w:val="000000" w:themeColor="text1"/>
                <w:sz w:val="18"/>
                <w:szCs w:val="18"/>
              </w:rPr>
              <w:t xml:space="preserve"> sustainable use of biodiversity and ecosystems  (UNSD, 2018, Million USD)</w:t>
            </w:r>
            <w:r w:rsidRPr="00770C22">
              <w:rPr>
                <w:rFonts w:asciiTheme="minorBidi" w:hAnsiTheme="minorBidi" w:cstheme="minorBidi"/>
                <w:b/>
                <w:bCs/>
                <w:color w:val="000000" w:themeColor="text1"/>
                <w:sz w:val="18"/>
                <w:szCs w:val="18"/>
              </w:rPr>
              <w:t xml:space="preserve"> (Repeated with indicator 15.b.1</w:t>
            </w:r>
            <w:r w:rsidRPr="00770C22">
              <w:rPr>
                <w:rFonts w:asciiTheme="minorBidi" w:hAnsiTheme="minorBidi" w:cstheme="minorBidi"/>
                <w:color w:val="000000" w:themeColor="text1"/>
                <w:sz w:val="18"/>
                <w:szCs w:val="18"/>
              </w:rPr>
              <w:t>)</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5E73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single" w:sz="4" w:space="0" w:color="auto"/>
            </w:tcBorders>
            <w:shd w:val="clear" w:color="auto" w:fill="auto"/>
            <w:noWrap/>
            <w:vAlign w:val="center"/>
          </w:tcPr>
          <w:p w14:paraId="5E054289"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16.90</w:t>
            </w:r>
          </w:p>
          <w:p w14:paraId="0AD67C22" w14:textId="77777777" w:rsidR="0071415F" w:rsidRPr="00770C22" w:rsidRDefault="00304E2A"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w:t>
            </w:r>
            <w:r w:rsidR="0071415F" w:rsidRPr="00770C22">
              <w:rPr>
                <w:rFonts w:asciiTheme="minorBidi" w:hAnsiTheme="minorBidi" w:cstheme="minorBidi"/>
                <w:color w:val="000000" w:themeColor="text1"/>
                <w:sz w:val="18"/>
                <w:szCs w:val="18"/>
              </w:rPr>
              <w:t>2017)</w:t>
            </w:r>
          </w:p>
        </w:tc>
        <w:tc>
          <w:tcPr>
            <w:tcW w:w="1052" w:type="dxa"/>
            <w:tcBorders>
              <w:top w:val="single" w:sz="4" w:space="0" w:color="auto"/>
              <w:left w:val="single" w:sz="4" w:space="0" w:color="auto"/>
              <w:bottom w:val="single" w:sz="4" w:space="0" w:color="auto"/>
            </w:tcBorders>
            <w:vAlign w:val="center"/>
          </w:tcPr>
          <w:p w14:paraId="6164C937"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54.05</w:t>
            </w:r>
          </w:p>
          <w:p w14:paraId="72882AE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247" w:type="dxa"/>
            <w:tcBorders>
              <w:top w:val="single" w:sz="4" w:space="0" w:color="auto"/>
              <w:left w:val="single" w:sz="4" w:space="0" w:color="auto"/>
              <w:bottom w:val="single" w:sz="4" w:space="0" w:color="auto"/>
            </w:tcBorders>
            <w:vAlign w:val="center"/>
          </w:tcPr>
          <w:p w14:paraId="6CE2DDA5"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Increase</w:t>
            </w:r>
          </w:p>
        </w:tc>
      </w:tr>
      <w:tr w:rsidR="0071415F" w:rsidRPr="00770C22" w14:paraId="7C170954" w14:textId="77777777" w:rsidTr="00611C35">
        <w:trPr>
          <w:trHeight w:val="360"/>
          <w:jc w:val="center"/>
        </w:trPr>
        <w:tc>
          <w:tcPr>
            <w:tcW w:w="5102" w:type="dxa"/>
            <w:tcBorders>
              <w:top w:val="single" w:sz="4" w:space="0" w:color="auto"/>
              <w:bottom w:val="single" w:sz="4" w:space="0" w:color="auto"/>
              <w:right w:val="single" w:sz="4" w:space="0" w:color="auto"/>
            </w:tcBorders>
            <w:shd w:val="clear" w:color="auto" w:fill="auto"/>
            <w:noWrap/>
            <w:vAlign w:val="center"/>
          </w:tcPr>
          <w:p w14:paraId="6E8081A3"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bCs/>
                <w:color w:val="000000" w:themeColor="text1"/>
                <w:sz w:val="18"/>
                <w:szCs w:val="18"/>
              </w:rPr>
              <w:t>Indicator 15.b.1</w:t>
            </w:r>
            <w:r w:rsidRPr="00770C22">
              <w:rPr>
                <w:rFonts w:asciiTheme="minorBidi" w:hAnsiTheme="minorBidi" w:cstheme="minorBidi"/>
                <w:color w:val="000000" w:themeColor="text1"/>
                <w:sz w:val="18"/>
                <w:szCs w:val="18"/>
              </w:rPr>
              <w:t xml:space="preserve"> Official development assistance and public expenditure on </w:t>
            </w:r>
            <w:r w:rsidRPr="00770C22">
              <w:rPr>
                <w:rFonts w:asciiTheme="minorBidi" w:hAnsiTheme="minorBidi" w:cstheme="minorBidi"/>
                <w:bCs/>
                <w:color w:val="000000" w:themeColor="text1"/>
                <w:sz w:val="18"/>
                <w:szCs w:val="18"/>
              </w:rPr>
              <w:t>conservation and</w:t>
            </w:r>
            <w:r w:rsidRPr="00770C22">
              <w:rPr>
                <w:rFonts w:asciiTheme="minorBidi" w:hAnsiTheme="minorBidi" w:cstheme="minorBidi"/>
                <w:color w:val="000000" w:themeColor="text1"/>
                <w:sz w:val="18"/>
                <w:szCs w:val="18"/>
              </w:rPr>
              <w:t xml:space="preserve"> sustainable use of biodiversity and ecosystems (UNSD, 2018, Million USD) </w:t>
            </w:r>
            <w:r w:rsidRPr="00770C22">
              <w:rPr>
                <w:rFonts w:asciiTheme="minorBidi" w:hAnsiTheme="minorBidi" w:cstheme="minorBidi"/>
                <w:b/>
                <w:bCs/>
                <w:color w:val="000000" w:themeColor="text1"/>
                <w:sz w:val="18"/>
                <w:szCs w:val="18"/>
              </w:rPr>
              <w:t>(Repeated with indicator 15.a.1)</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A312A"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single" w:sz="4" w:space="0" w:color="auto"/>
            </w:tcBorders>
            <w:shd w:val="clear" w:color="auto" w:fill="auto"/>
            <w:noWrap/>
            <w:vAlign w:val="center"/>
          </w:tcPr>
          <w:p w14:paraId="633D0846"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16.90</w:t>
            </w:r>
          </w:p>
          <w:p w14:paraId="3773547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(2017)</w:t>
            </w:r>
          </w:p>
        </w:tc>
        <w:tc>
          <w:tcPr>
            <w:tcW w:w="1052" w:type="dxa"/>
            <w:tcBorders>
              <w:top w:val="single" w:sz="4" w:space="0" w:color="auto"/>
              <w:left w:val="single" w:sz="4" w:space="0" w:color="auto"/>
              <w:bottom w:val="single" w:sz="4" w:space="0" w:color="auto"/>
            </w:tcBorders>
            <w:vAlign w:val="center"/>
          </w:tcPr>
          <w:p w14:paraId="5E7C872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54.</w:t>
            </w:r>
            <w:r w:rsidRPr="00770C22">
              <w:rPr>
                <w:rFonts w:asciiTheme="minorBidi" w:hAnsiTheme="minorBidi" w:cstheme="minorBidi"/>
                <w:color w:val="000000" w:themeColor="text1"/>
                <w:sz w:val="18"/>
                <w:szCs w:val="18"/>
                <w:rtl/>
              </w:rPr>
              <w:t>05</w:t>
            </w:r>
          </w:p>
        </w:tc>
        <w:tc>
          <w:tcPr>
            <w:tcW w:w="1247" w:type="dxa"/>
            <w:tcBorders>
              <w:top w:val="single" w:sz="4" w:space="0" w:color="auto"/>
              <w:left w:val="single" w:sz="4" w:space="0" w:color="auto"/>
              <w:bottom w:val="single" w:sz="4" w:space="0" w:color="auto"/>
            </w:tcBorders>
            <w:vAlign w:val="center"/>
          </w:tcPr>
          <w:p w14:paraId="6A593A1B"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Increase</w:t>
            </w:r>
          </w:p>
        </w:tc>
      </w:tr>
    </w:tbl>
    <w:p w14:paraId="1ACDCE75"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64762A8E" w14:textId="77777777" w:rsidR="0091560E" w:rsidRDefault="0091560E" w:rsidP="0091560E">
      <w:pPr>
        <w:autoSpaceDE w:val="0"/>
        <w:autoSpaceDN w:val="0"/>
        <w:bidi w:val="0"/>
        <w:adjustRightInd w:val="0"/>
        <w:spacing w:after="0" w:line="240" w:lineRule="auto"/>
        <w:jc w:val="both"/>
        <w:rPr>
          <w:rFonts w:ascii="Times New Roman" w:hAnsi="Times New Roman" w:cs="Times New Roman"/>
          <w:sz w:val="24"/>
          <w:szCs w:val="24"/>
        </w:rPr>
      </w:pPr>
    </w:p>
    <w:p w14:paraId="244B7170" w14:textId="77777777" w:rsidR="00537CB3" w:rsidRDefault="00537CB3" w:rsidP="00537CB3">
      <w:pPr>
        <w:autoSpaceDE w:val="0"/>
        <w:autoSpaceDN w:val="0"/>
        <w:bidi w:val="0"/>
        <w:adjustRightInd w:val="0"/>
        <w:spacing w:after="0" w:line="240" w:lineRule="auto"/>
        <w:jc w:val="both"/>
        <w:rPr>
          <w:rFonts w:ascii="Times New Roman" w:hAnsi="Times New Roman" w:cs="Times New Roman"/>
          <w:sz w:val="24"/>
          <w:szCs w:val="24"/>
        </w:rPr>
      </w:pPr>
    </w:p>
    <w:p w14:paraId="7D4BA615" w14:textId="77777777" w:rsidR="00537CB3" w:rsidRDefault="00537CB3" w:rsidP="00537CB3">
      <w:pPr>
        <w:autoSpaceDE w:val="0"/>
        <w:autoSpaceDN w:val="0"/>
        <w:bidi w:val="0"/>
        <w:adjustRightInd w:val="0"/>
        <w:spacing w:after="0" w:line="240" w:lineRule="auto"/>
        <w:jc w:val="both"/>
        <w:rPr>
          <w:rFonts w:ascii="Times New Roman" w:hAnsi="Times New Roman" w:cs="Times New Roman"/>
          <w:sz w:val="24"/>
          <w:szCs w:val="24"/>
        </w:rPr>
      </w:pPr>
    </w:p>
    <w:p w14:paraId="5A2F7002" w14:textId="77777777" w:rsidR="00537CB3" w:rsidRDefault="00537CB3" w:rsidP="00537CB3">
      <w:pPr>
        <w:autoSpaceDE w:val="0"/>
        <w:autoSpaceDN w:val="0"/>
        <w:bidi w:val="0"/>
        <w:adjustRightInd w:val="0"/>
        <w:spacing w:after="0" w:line="240" w:lineRule="auto"/>
        <w:jc w:val="both"/>
        <w:rPr>
          <w:rFonts w:ascii="Times New Roman" w:hAnsi="Times New Roman" w:cs="Times New Roman"/>
          <w:sz w:val="24"/>
          <w:szCs w:val="24"/>
        </w:rPr>
      </w:pPr>
    </w:p>
    <w:p w14:paraId="68E8EAA5" w14:textId="77777777" w:rsidR="0091560E" w:rsidRPr="009964E9" w:rsidRDefault="0091560E" w:rsidP="0091560E">
      <w:pPr>
        <w:autoSpaceDE w:val="0"/>
        <w:autoSpaceDN w:val="0"/>
        <w:bidi w:val="0"/>
        <w:adjustRightInd w:val="0"/>
        <w:spacing w:after="0" w:line="240" w:lineRule="auto"/>
        <w:jc w:val="both"/>
        <w:rPr>
          <w:rFonts w:ascii="Times New Roman" w:hAnsi="Times New Roman" w:cs="Times New Roman"/>
          <w:sz w:val="24"/>
          <w:szCs w:val="24"/>
        </w:rPr>
      </w:pPr>
    </w:p>
    <w:p w14:paraId="4A7EA7B0" w14:textId="77777777" w:rsidR="0071415F" w:rsidRPr="00BE4E83" w:rsidRDefault="0071415F" w:rsidP="00FB1314">
      <w:pPr>
        <w:pStyle w:val="ListParagraph"/>
        <w:numPr>
          <w:ilvl w:val="0"/>
          <w:numId w:val="19"/>
        </w:numPr>
        <w:autoSpaceDE w:val="0"/>
        <w:autoSpaceDN w:val="0"/>
        <w:adjustRightInd w:val="0"/>
        <w:spacing w:after="0" w:line="240" w:lineRule="auto"/>
        <w:jc w:val="both"/>
        <w:rPr>
          <w:rFonts w:ascii="Times New Roman" w:hAnsi="Times New Roman" w:cs="Times New Roman"/>
          <w:b/>
          <w:bCs/>
          <w:sz w:val="24"/>
          <w:szCs w:val="24"/>
        </w:rPr>
      </w:pPr>
      <w:r w:rsidRPr="00BE4E83">
        <w:rPr>
          <w:rFonts w:ascii="Times New Roman" w:hAnsi="Times New Roman" w:cs="Times New Roman"/>
          <w:b/>
          <w:bCs/>
          <w:sz w:val="24"/>
          <w:szCs w:val="24"/>
        </w:rPr>
        <w:lastRenderedPageBreak/>
        <w:t xml:space="preserve">Reported </w:t>
      </w:r>
      <w:r w:rsidR="00BA105D">
        <w:rPr>
          <w:rFonts w:ascii="Times New Roman" w:hAnsi="Times New Roman" w:cs="Times New Roman"/>
          <w:b/>
          <w:bCs/>
          <w:sz w:val="24"/>
          <w:szCs w:val="24"/>
        </w:rPr>
        <w:t>i</w:t>
      </w:r>
      <w:r w:rsidRPr="00BE4E83">
        <w:rPr>
          <w:rFonts w:ascii="Times New Roman" w:hAnsi="Times New Roman" w:cs="Times New Roman"/>
          <w:b/>
          <w:bCs/>
          <w:sz w:val="24"/>
          <w:szCs w:val="24"/>
        </w:rPr>
        <w:t xml:space="preserve">ndicators by </w:t>
      </w:r>
      <w:r w:rsidR="00BA105D">
        <w:rPr>
          <w:rFonts w:ascii="Times New Roman" w:hAnsi="Times New Roman" w:cs="Times New Roman"/>
          <w:b/>
          <w:bCs/>
          <w:sz w:val="24"/>
          <w:szCs w:val="24"/>
        </w:rPr>
        <w:t>o</w:t>
      </w:r>
      <w:r w:rsidRPr="00BE4E83">
        <w:rPr>
          <w:rFonts w:ascii="Times New Roman" w:hAnsi="Times New Roman" w:cs="Times New Roman"/>
          <w:b/>
          <w:bCs/>
          <w:sz w:val="24"/>
          <w:szCs w:val="24"/>
        </w:rPr>
        <w:t xml:space="preserve">ther </w:t>
      </w:r>
      <w:r w:rsidR="00BA105D">
        <w:rPr>
          <w:rFonts w:ascii="Times New Roman" w:hAnsi="Times New Roman" w:cs="Times New Roman"/>
          <w:b/>
          <w:bCs/>
          <w:sz w:val="24"/>
          <w:szCs w:val="24"/>
        </w:rPr>
        <w:t>s</w:t>
      </w:r>
      <w:r w:rsidRPr="00BE4E83">
        <w:rPr>
          <w:rFonts w:ascii="Times New Roman" w:hAnsi="Times New Roman" w:cs="Times New Roman"/>
          <w:b/>
          <w:bCs/>
          <w:sz w:val="24"/>
          <w:szCs w:val="24"/>
        </w:rPr>
        <w:t>ources</w:t>
      </w:r>
    </w:p>
    <w:p w14:paraId="77F3EC6B"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 are</w:t>
      </w:r>
      <w:r w:rsidR="00BA105D">
        <w:rPr>
          <w:rFonts w:ascii="Times New Roman" w:hAnsi="Times New Roman" w:cs="Times New Roman"/>
          <w:sz w:val="24"/>
          <w:szCs w:val="24"/>
        </w:rPr>
        <w:t xml:space="preserve">five </w:t>
      </w:r>
      <w:r>
        <w:rPr>
          <w:rFonts w:ascii="Times New Roman" w:hAnsi="Times New Roman" w:cs="Times New Roman"/>
          <w:sz w:val="24"/>
          <w:szCs w:val="24"/>
        </w:rPr>
        <w:t>additional</w:t>
      </w:r>
      <w:r w:rsidRPr="00C134AE">
        <w:rPr>
          <w:rFonts w:ascii="Times New Roman" w:hAnsi="Times New Roman" w:cs="Times New Roman"/>
          <w:sz w:val="24"/>
          <w:szCs w:val="24"/>
        </w:rPr>
        <w:t xml:space="preserve">indicators </w:t>
      </w:r>
      <w:r w:rsidR="00BA105D">
        <w:rPr>
          <w:rFonts w:ascii="Times New Roman" w:hAnsi="Times New Roman" w:cs="Times New Roman"/>
          <w:sz w:val="24"/>
          <w:szCs w:val="24"/>
        </w:rPr>
        <w:t xml:space="preserve">reported </w:t>
      </w:r>
      <w:r w:rsidRPr="00C134AE">
        <w:rPr>
          <w:rFonts w:ascii="Times New Roman" w:hAnsi="Times New Roman" w:cs="Times New Roman"/>
          <w:sz w:val="24"/>
          <w:szCs w:val="24"/>
        </w:rPr>
        <w:t>by</w:t>
      </w:r>
      <w:r>
        <w:rPr>
          <w:rFonts w:ascii="Times New Roman" w:hAnsi="Times New Roman" w:cs="Times New Roman"/>
          <w:sz w:val="24"/>
          <w:szCs w:val="24"/>
        </w:rPr>
        <w:t xml:space="preserve"> other sources that available on</w:t>
      </w:r>
      <w:r w:rsidR="00BA105D">
        <w:rPr>
          <w:rFonts w:ascii="Times New Roman" w:hAnsi="Times New Roman" w:cs="Times New Roman"/>
          <w:sz w:val="24"/>
          <w:szCs w:val="24"/>
        </w:rPr>
        <w:t xml:space="preserve">the </w:t>
      </w:r>
      <w:r w:rsidRPr="001D5BA6">
        <w:rPr>
          <w:rFonts w:ascii="Times New Roman" w:hAnsi="Times New Roman" w:cs="Times New Roman"/>
          <w:sz w:val="24"/>
          <w:szCs w:val="24"/>
        </w:rPr>
        <w:t>UNSD-Database</w:t>
      </w:r>
      <w:r>
        <w:rPr>
          <w:rFonts w:ascii="Times New Roman" w:hAnsi="Times New Roman" w:cs="Times New Roman"/>
          <w:sz w:val="24"/>
          <w:szCs w:val="24"/>
        </w:rPr>
        <w:t xml:space="preserve"> for Goal </w:t>
      </w:r>
      <w:r>
        <w:rPr>
          <w:rFonts w:ascii="Times New Roman" w:hAnsi="Times New Roman" w:cs="Times New Roman" w:hint="cs"/>
          <w:sz w:val="24"/>
          <w:szCs w:val="24"/>
          <w:rtl/>
        </w:rPr>
        <w:t>15</w:t>
      </w:r>
      <w:r w:rsidRPr="00C134AE">
        <w:rPr>
          <w:rFonts w:ascii="Times New Roman" w:hAnsi="Times New Roman" w:cs="Times New Roman"/>
          <w:sz w:val="24"/>
          <w:szCs w:val="24"/>
        </w:rPr>
        <w:t xml:space="preserve">referring to </w:t>
      </w:r>
      <w:r w:rsidR="00BA105D">
        <w:rPr>
          <w:rFonts w:ascii="Times New Roman" w:hAnsi="Times New Roman" w:cs="Times New Roman"/>
          <w:sz w:val="24"/>
          <w:szCs w:val="24"/>
        </w:rPr>
        <w:t>five</w:t>
      </w:r>
      <w:r>
        <w:rPr>
          <w:rFonts w:ascii="Times New Roman" w:hAnsi="Times New Roman" w:cs="Times New Roman"/>
          <w:sz w:val="24"/>
          <w:szCs w:val="24"/>
        </w:rPr>
        <w:t>of the 12targets</w:t>
      </w:r>
      <w:r w:rsidR="0034455A">
        <w:rPr>
          <w:rFonts w:ascii="Times New Roman" w:hAnsi="Times New Roman" w:cs="Times New Roman"/>
          <w:sz w:val="24"/>
          <w:szCs w:val="24"/>
        </w:rPr>
        <w:t>; t</w:t>
      </w:r>
      <w:r w:rsidRPr="001D5BA6">
        <w:rPr>
          <w:rFonts w:ascii="Times New Roman" w:hAnsi="Times New Roman" w:cs="Times New Roman"/>
          <w:sz w:val="24"/>
          <w:szCs w:val="24"/>
        </w:rPr>
        <w:t xml:space="preserve">herefore, </w:t>
      </w:r>
      <w:r>
        <w:rPr>
          <w:rFonts w:ascii="Times New Roman" w:hAnsi="Times New Roman" w:cs="Times New Roman"/>
          <w:sz w:val="24"/>
          <w:szCs w:val="24"/>
        </w:rPr>
        <w:t xml:space="preserve">83.3%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34455A">
        <w:rPr>
          <w:rFonts w:ascii="Times New Roman" w:hAnsi="Times New Roman" w:cs="Times New Roman"/>
          <w:sz w:val="24"/>
          <w:szCs w:val="24"/>
        </w:rPr>
        <w:t>10</w:t>
      </w:r>
      <w:r>
        <w:rPr>
          <w:rFonts w:ascii="Times New Roman" w:hAnsi="Times New Roman" w:cs="Times New Roman"/>
          <w:sz w:val="24"/>
          <w:szCs w:val="24"/>
        </w:rPr>
        <w:t xml:space="preserve"> out of </w:t>
      </w:r>
      <w:r w:rsidR="0034455A">
        <w:rPr>
          <w:rFonts w:ascii="Times New Roman" w:hAnsi="Times New Roman" w:cs="Times New Roman"/>
          <w:sz w:val="24"/>
          <w:szCs w:val="24"/>
        </w:rPr>
        <w:t>12</w:t>
      </w:r>
      <w:r>
        <w:rPr>
          <w:rFonts w:ascii="Times New Roman" w:hAnsi="Times New Roman" w:cs="Times New Roman"/>
          <w:sz w:val="24"/>
          <w:szCs w:val="24"/>
        </w:rPr>
        <w:t>)</w:t>
      </w:r>
      <w:r w:rsidR="0034455A">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BA105D">
        <w:rPr>
          <w:rFonts w:ascii="Times New Roman" w:hAnsi="Times New Roman" w:cs="Times New Roman"/>
          <w:sz w:val="24"/>
          <w:szCs w:val="24"/>
        </w:rPr>
        <w:t xml:space="preserve"> covered.</w:t>
      </w:r>
    </w:p>
    <w:p w14:paraId="63C1AAC6"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7C148F8" w14:textId="77777777" w:rsidR="0071415F" w:rsidRPr="007F4CA4"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6D19202B" w14:textId="77777777" w:rsidR="0071415F" w:rsidRPr="00770C22" w:rsidRDefault="0071415F" w:rsidP="0071415F">
      <w:pPr>
        <w:pStyle w:val="ListParagraph"/>
        <w:spacing w:after="0" w:line="240" w:lineRule="auto"/>
        <w:ind w:left="502"/>
        <w:jc w:val="center"/>
        <w:rPr>
          <w:rFonts w:asciiTheme="minorBidi" w:hAnsiTheme="minorBidi" w:cstheme="minorBidi"/>
          <w:b/>
          <w:bCs/>
          <w:lang w:eastAsia="ar-SA"/>
        </w:rPr>
      </w:pPr>
      <w:r w:rsidRPr="00770C22">
        <w:rPr>
          <w:rFonts w:asciiTheme="minorBidi" w:hAnsiTheme="minorBidi" w:cstheme="minorBidi"/>
          <w:b/>
          <w:bCs/>
          <w:lang w:eastAsia="ar-SA"/>
        </w:rPr>
        <w:t xml:space="preserve">Table 15.2: List of SDGs </w:t>
      </w:r>
      <w:r w:rsidR="00BA105D">
        <w:rPr>
          <w:rFonts w:asciiTheme="minorBidi" w:hAnsiTheme="minorBidi" w:cstheme="minorBidi"/>
          <w:b/>
          <w:bCs/>
          <w:lang w:eastAsia="ar-SA"/>
        </w:rPr>
        <w:t>I</w:t>
      </w:r>
      <w:r w:rsidRPr="00770C22">
        <w:rPr>
          <w:rFonts w:asciiTheme="minorBidi" w:hAnsiTheme="minorBidi" w:cstheme="minorBidi"/>
          <w:b/>
          <w:bCs/>
          <w:lang w:eastAsia="ar-SA"/>
        </w:rPr>
        <w:t xml:space="preserve">ndicators </w:t>
      </w:r>
      <w:r w:rsidR="00BA105D">
        <w:rPr>
          <w:rFonts w:asciiTheme="minorBidi" w:hAnsiTheme="minorBidi" w:cstheme="minorBidi"/>
          <w:b/>
          <w:bCs/>
          <w:lang w:eastAsia="ar-SA"/>
        </w:rPr>
        <w:t>R</w:t>
      </w:r>
      <w:r w:rsidRPr="00770C22">
        <w:rPr>
          <w:rFonts w:asciiTheme="minorBidi" w:hAnsiTheme="minorBidi" w:cstheme="minorBidi"/>
          <w:b/>
          <w:bCs/>
          <w:lang w:eastAsia="ar-SA"/>
        </w:rPr>
        <w:t xml:space="preserve">eleased by </w:t>
      </w:r>
      <w:r w:rsidRPr="00770C22">
        <w:rPr>
          <w:rFonts w:asciiTheme="minorBidi" w:hAnsiTheme="minorBidi" w:cstheme="minorBidi"/>
          <w:b/>
          <w:bCs/>
        </w:rPr>
        <w:t>Other Sources</w:t>
      </w:r>
    </w:p>
    <w:p w14:paraId="77F3F5CC"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0D2E4D" w14:paraId="0D938AA7" w14:textId="77777777" w:rsidTr="0071415F">
        <w:trPr>
          <w:trHeight w:val="504"/>
          <w:tblHeader/>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98DC4"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06307F62" w14:textId="77777777" w:rsidR="0071415F" w:rsidRPr="001D5BA6" w:rsidRDefault="0071415F" w:rsidP="0071415F">
            <w:pPr>
              <w:bidi w:val="0"/>
              <w:spacing w:after="0" w:line="240" w:lineRule="auto"/>
              <w:jc w:val="center"/>
            </w:pPr>
            <w:r w:rsidRPr="001D5BA6">
              <w:rPr>
                <w:rFonts w:ascii="Arial" w:hAnsi="Arial"/>
                <w:b/>
                <w:bCs/>
                <w:sz w:val="18"/>
                <w:szCs w:val="18"/>
              </w:rPr>
              <w:t>Most Recent Year</w:t>
            </w:r>
          </w:p>
        </w:tc>
      </w:tr>
      <w:tr w:rsidR="0071415F" w:rsidRPr="000D2E4D" w14:paraId="16799683"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3AD70C" w14:textId="77777777" w:rsidR="0071415F" w:rsidRPr="00080517" w:rsidRDefault="0071415F" w:rsidP="0071415F">
            <w:pPr>
              <w:tabs>
                <w:tab w:val="left" w:pos="9072"/>
              </w:tabs>
              <w:bidi w:val="0"/>
              <w:spacing w:after="0" w:line="240" w:lineRule="auto"/>
              <w:rPr>
                <w:rFonts w:ascii="Arial" w:hAnsi="Arial"/>
                <w:color w:val="000000"/>
                <w:sz w:val="18"/>
                <w:szCs w:val="18"/>
              </w:rPr>
            </w:pPr>
            <w:r>
              <w:rPr>
                <w:rFonts w:ascii="Arial" w:hAnsi="Arial"/>
                <w:b/>
                <w:sz w:val="18"/>
                <w:szCs w:val="18"/>
              </w:rPr>
              <w:t>Indicator</w:t>
            </w:r>
            <w:r w:rsidRPr="00BE4E83">
              <w:rPr>
                <w:rFonts w:ascii="Arial" w:hAnsi="Arial"/>
                <w:b/>
                <w:bCs/>
                <w:color w:val="000000" w:themeColor="text1"/>
                <w:sz w:val="18"/>
                <w:szCs w:val="18"/>
              </w:rPr>
              <w:t>15.2.1</w:t>
            </w:r>
            <w:r w:rsidRPr="00BE4E83">
              <w:rPr>
                <w:rFonts w:ascii="Arial" w:hAnsi="Arial"/>
                <w:color w:val="000000" w:themeColor="text1"/>
                <w:sz w:val="18"/>
                <w:szCs w:val="18"/>
              </w:rPr>
              <w:t xml:space="preserve"> Progress towards sustainable forest management</w:t>
            </w:r>
          </w:p>
        </w:tc>
        <w:tc>
          <w:tcPr>
            <w:tcW w:w="2234" w:type="dxa"/>
            <w:tcBorders>
              <w:top w:val="single" w:sz="4" w:space="0" w:color="auto"/>
              <w:left w:val="nil"/>
              <w:bottom w:val="single" w:sz="4" w:space="0" w:color="auto"/>
              <w:right w:val="single" w:sz="4" w:space="0" w:color="auto"/>
            </w:tcBorders>
            <w:vAlign w:val="bottom"/>
          </w:tcPr>
          <w:p w14:paraId="1C58D1E9" w14:textId="77777777" w:rsidR="0071415F" w:rsidRPr="00080517" w:rsidRDefault="0071415F" w:rsidP="0071415F">
            <w:pPr>
              <w:spacing w:after="0" w:line="240" w:lineRule="auto"/>
              <w:ind w:right="57"/>
              <w:jc w:val="center"/>
              <w:rPr>
                <w:rFonts w:ascii="Arial" w:hAnsi="Arial"/>
                <w:color w:val="000000"/>
                <w:sz w:val="18"/>
                <w:szCs w:val="18"/>
              </w:rPr>
            </w:pPr>
            <w:r>
              <w:rPr>
                <w:rFonts w:ascii="Arial" w:hAnsi="Arial"/>
                <w:color w:val="000000"/>
                <w:sz w:val="18"/>
                <w:szCs w:val="18"/>
              </w:rPr>
              <w:t>2020</w:t>
            </w:r>
          </w:p>
        </w:tc>
      </w:tr>
      <w:tr w:rsidR="0071415F" w:rsidRPr="000D2E4D" w14:paraId="4F19CA07"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FE246" w14:textId="77777777" w:rsidR="0071415F" w:rsidRDefault="0071415F" w:rsidP="0071415F">
            <w:pPr>
              <w:tabs>
                <w:tab w:val="left" w:pos="9072"/>
              </w:tabs>
              <w:bidi w:val="0"/>
              <w:spacing w:after="0" w:line="240" w:lineRule="auto"/>
              <w:rPr>
                <w:rFonts w:ascii="Arial" w:hAnsi="Arial"/>
                <w:b/>
                <w:sz w:val="18"/>
                <w:szCs w:val="18"/>
              </w:rPr>
            </w:pPr>
            <w:r>
              <w:rPr>
                <w:rFonts w:ascii="Arial" w:hAnsi="Arial"/>
                <w:b/>
                <w:sz w:val="18"/>
                <w:szCs w:val="18"/>
              </w:rPr>
              <w:t xml:space="preserve">Indicator  </w:t>
            </w:r>
            <w:r w:rsidRPr="001E6942">
              <w:rPr>
                <w:rFonts w:ascii="Arial" w:hAnsi="Arial"/>
                <w:b/>
                <w:bCs/>
                <w:color w:val="000000" w:themeColor="text1"/>
                <w:sz w:val="18"/>
                <w:szCs w:val="18"/>
              </w:rPr>
              <w:t>15.3.1</w:t>
            </w:r>
            <w:r w:rsidRPr="00BE4E83">
              <w:rPr>
                <w:rFonts w:ascii="Arial" w:hAnsi="Arial"/>
                <w:color w:val="000000" w:themeColor="text1"/>
                <w:sz w:val="18"/>
                <w:szCs w:val="18"/>
              </w:rPr>
              <w:t xml:space="preserve"> Proportion of land that is degraded over total land area</w:t>
            </w:r>
          </w:p>
        </w:tc>
        <w:tc>
          <w:tcPr>
            <w:tcW w:w="2234" w:type="dxa"/>
            <w:tcBorders>
              <w:top w:val="single" w:sz="4" w:space="0" w:color="auto"/>
              <w:left w:val="nil"/>
              <w:bottom w:val="single" w:sz="4" w:space="0" w:color="auto"/>
              <w:right w:val="single" w:sz="4" w:space="0" w:color="auto"/>
            </w:tcBorders>
            <w:vAlign w:val="bottom"/>
          </w:tcPr>
          <w:p w14:paraId="17E88A99" w14:textId="77777777" w:rsidR="0071415F" w:rsidRDefault="0071415F" w:rsidP="0071415F">
            <w:pPr>
              <w:spacing w:after="0" w:line="240" w:lineRule="auto"/>
              <w:ind w:right="57"/>
              <w:jc w:val="center"/>
              <w:rPr>
                <w:rFonts w:ascii="Arial" w:hAnsi="Arial"/>
                <w:color w:val="000000"/>
                <w:sz w:val="18"/>
                <w:szCs w:val="18"/>
              </w:rPr>
            </w:pPr>
            <w:r>
              <w:rPr>
                <w:rFonts w:ascii="Arial" w:hAnsi="Arial" w:hint="cs"/>
                <w:color w:val="000000"/>
                <w:sz w:val="18"/>
                <w:szCs w:val="18"/>
                <w:rtl/>
              </w:rPr>
              <w:t>2015</w:t>
            </w:r>
          </w:p>
        </w:tc>
      </w:tr>
      <w:tr w:rsidR="0071415F" w:rsidRPr="000D2E4D" w14:paraId="2E27E5C0"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683C18" w14:textId="77777777" w:rsidR="0071415F" w:rsidRDefault="0071415F" w:rsidP="0071415F">
            <w:pPr>
              <w:tabs>
                <w:tab w:val="left" w:pos="9072"/>
              </w:tabs>
              <w:bidi w:val="0"/>
              <w:spacing w:after="0" w:line="240" w:lineRule="auto"/>
              <w:rPr>
                <w:rFonts w:ascii="Arial" w:hAnsi="Arial"/>
                <w:b/>
                <w:sz w:val="18"/>
                <w:szCs w:val="18"/>
              </w:rPr>
            </w:pPr>
            <w:r>
              <w:rPr>
                <w:rFonts w:ascii="Arial" w:hAnsi="Arial"/>
                <w:b/>
                <w:sz w:val="18"/>
                <w:szCs w:val="18"/>
              </w:rPr>
              <w:t>Indicator</w:t>
            </w:r>
            <w:r w:rsidRPr="00BE4E83">
              <w:rPr>
                <w:rFonts w:ascii="Arial" w:hAnsi="Arial"/>
                <w:b/>
                <w:bCs/>
                <w:color w:val="000000" w:themeColor="text1"/>
                <w:sz w:val="18"/>
                <w:szCs w:val="18"/>
              </w:rPr>
              <w:t>15.6.1</w:t>
            </w:r>
            <w:r w:rsidRPr="00BE4E83">
              <w:rPr>
                <w:rFonts w:ascii="Arial" w:hAnsi="Arial"/>
                <w:color w:val="000000" w:themeColor="text1"/>
                <w:sz w:val="18"/>
                <w:szCs w:val="18"/>
              </w:rPr>
              <w:t xml:space="preserve"> Number of countries that have adopted legislative, administrative and policy frameworks to ensure fair and equitable sharing of benefits</w:t>
            </w:r>
          </w:p>
        </w:tc>
        <w:tc>
          <w:tcPr>
            <w:tcW w:w="2234" w:type="dxa"/>
            <w:tcBorders>
              <w:top w:val="single" w:sz="4" w:space="0" w:color="auto"/>
              <w:left w:val="nil"/>
              <w:bottom w:val="single" w:sz="4" w:space="0" w:color="auto"/>
              <w:right w:val="single" w:sz="4" w:space="0" w:color="auto"/>
            </w:tcBorders>
            <w:vAlign w:val="bottom"/>
          </w:tcPr>
          <w:p w14:paraId="58D63E7B" w14:textId="77777777" w:rsidR="0071415F" w:rsidRDefault="0071415F" w:rsidP="0071415F">
            <w:pPr>
              <w:spacing w:after="0" w:line="240" w:lineRule="auto"/>
              <w:ind w:right="57"/>
              <w:jc w:val="center"/>
              <w:rPr>
                <w:rFonts w:ascii="Arial" w:hAnsi="Arial"/>
                <w:color w:val="000000"/>
                <w:sz w:val="18"/>
                <w:szCs w:val="18"/>
              </w:rPr>
            </w:pPr>
            <w:r>
              <w:rPr>
                <w:rFonts w:ascii="Arial" w:hAnsi="Arial" w:hint="cs"/>
                <w:color w:val="000000"/>
                <w:sz w:val="18"/>
                <w:szCs w:val="18"/>
                <w:rtl/>
              </w:rPr>
              <w:t>2021</w:t>
            </w:r>
          </w:p>
        </w:tc>
      </w:tr>
      <w:tr w:rsidR="0071415F" w:rsidRPr="000D2E4D" w14:paraId="55281313"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A5D443" w14:textId="77777777" w:rsidR="0071415F" w:rsidRDefault="0071415F" w:rsidP="0071415F">
            <w:pPr>
              <w:tabs>
                <w:tab w:val="left" w:pos="9072"/>
              </w:tabs>
              <w:bidi w:val="0"/>
              <w:spacing w:after="0" w:line="240" w:lineRule="auto"/>
              <w:rPr>
                <w:rFonts w:ascii="Arial" w:hAnsi="Arial"/>
                <w:b/>
                <w:sz w:val="18"/>
                <w:szCs w:val="18"/>
              </w:rPr>
            </w:pPr>
            <w:r>
              <w:rPr>
                <w:rFonts w:ascii="Arial" w:hAnsi="Arial"/>
                <w:b/>
                <w:sz w:val="18"/>
                <w:szCs w:val="18"/>
              </w:rPr>
              <w:t>Indicator</w:t>
            </w:r>
            <w:r w:rsidRPr="00BE4E83">
              <w:rPr>
                <w:rFonts w:ascii="Arial" w:hAnsi="Arial"/>
                <w:b/>
                <w:bCs/>
                <w:color w:val="000000" w:themeColor="text1"/>
                <w:sz w:val="18"/>
                <w:szCs w:val="18"/>
              </w:rPr>
              <w:t>15.8.1</w:t>
            </w:r>
            <w:r w:rsidRPr="00BE4E83">
              <w:rPr>
                <w:rFonts w:ascii="Arial" w:hAnsi="Arial"/>
                <w:color w:val="000000" w:themeColor="text1"/>
                <w:sz w:val="18"/>
                <w:szCs w:val="18"/>
              </w:rPr>
              <w:t xml:space="preserve"> Proportion of countries adopting relevant national legislation and adequately resourcing the prevention or control of invasive alien species</w:t>
            </w:r>
          </w:p>
        </w:tc>
        <w:tc>
          <w:tcPr>
            <w:tcW w:w="2234" w:type="dxa"/>
            <w:tcBorders>
              <w:top w:val="single" w:sz="4" w:space="0" w:color="auto"/>
              <w:left w:val="nil"/>
              <w:bottom w:val="single" w:sz="4" w:space="0" w:color="auto"/>
              <w:right w:val="single" w:sz="4" w:space="0" w:color="auto"/>
            </w:tcBorders>
            <w:vAlign w:val="bottom"/>
          </w:tcPr>
          <w:p w14:paraId="33CCDC31" w14:textId="77777777" w:rsidR="0071415F" w:rsidRDefault="0071415F" w:rsidP="0071415F">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r w:rsidR="0071415F" w:rsidRPr="000D2E4D" w14:paraId="2441C337" w14:textId="77777777" w:rsidTr="00235995">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0A07B" w14:textId="77777777" w:rsidR="0071415F" w:rsidRDefault="0071415F" w:rsidP="0071415F">
            <w:pPr>
              <w:tabs>
                <w:tab w:val="left" w:pos="9072"/>
              </w:tabs>
              <w:bidi w:val="0"/>
              <w:spacing w:after="0" w:line="240" w:lineRule="auto"/>
              <w:rPr>
                <w:rFonts w:ascii="Arial" w:hAnsi="Arial"/>
                <w:b/>
                <w:sz w:val="18"/>
                <w:szCs w:val="18"/>
              </w:rPr>
            </w:pPr>
            <w:r>
              <w:rPr>
                <w:rFonts w:ascii="Arial" w:hAnsi="Arial"/>
                <w:b/>
                <w:sz w:val="18"/>
                <w:szCs w:val="18"/>
              </w:rPr>
              <w:t>Indicator</w:t>
            </w:r>
            <w:r w:rsidRPr="00BE4E83">
              <w:rPr>
                <w:rFonts w:ascii="Arial" w:hAnsi="Arial"/>
                <w:b/>
                <w:bCs/>
                <w:color w:val="000000" w:themeColor="text1"/>
                <w:sz w:val="18"/>
                <w:szCs w:val="18"/>
              </w:rPr>
              <w:t>15.9.1</w:t>
            </w:r>
            <w:r w:rsidRPr="00BE4E83">
              <w:rPr>
                <w:rFonts w:ascii="Arial" w:hAnsi="Arial"/>
                <w:color w:val="000000" w:themeColor="text1"/>
                <w:sz w:val="18"/>
                <w:szCs w:val="18"/>
              </w:rPr>
              <w:t xml:space="preserve"> Number of countries that have established national targets in accordance with or similar to Aichi Biodiversity Target 2 of the Strategic Plan for Biodiversity 2011–2020 in their national biodiversity strategy and action plans and the progress reported towards these targets</w:t>
            </w:r>
            <w:r w:rsidR="00304E2A" w:rsidRPr="00FD7A5E">
              <w:rPr>
                <w:rFonts w:ascii="Arial" w:hAnsi="Arial"/>
                <w:color w:val="000000" w:themeColor="text1"/>
                <w:sz w:val="18"/>
                <w:szCs w:val="18"/>
              </w:rPr>
              <w:t>, (b) integration of biodiversity into national accounting and reporting systems, defined as implementation of the System of Environmental-Economic Accounting</w:t>
            </w:r>
          </w:p>
        </w:tc>
        <w:tc>
          <w:tcPr>
            <w:tcW w:w="2234" w:type="dxa"/>
            <w:tcBorders>
              <w:top w:val="single" w:sz="4" w:space="0" w:color="auto"/>
              <w:left w:val="nil"/>
              <w:bottom w:val="single" w:sz="4" w:space="0" w:color="auto"/>
              <w:right w:val="single" w:sz="4" w:space="0" w:color="auto"/>
            </w:tcBorders>
            <w:vAlign w:val="center"/>
          </w:tcPr>
          <w:p w14:paraId="64C9940E" w14:textId="77777777" w:rsidR="0071415F" w:rsidRDefault="0071415F" w:rsidP="00235995">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bl>
    <w:p w14:paraId="09EADE90"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268FC07"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rPr>
        <w:t xml:space="preserve"> 15.1.1 Forest area as a percentage of total land area</w:t>
      </w:r>
    </w:p>
    <w:p w14:paraId="6099577B"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rPr>
      </w:pPr>
    </w:p>
    <w:p w14:paraId="75BDF9B3" w14:textId="77777777"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The proportion of forests area from the land area in Palestine in 2020 </w:t>
      </w:r>
      <w:r w:rsidR="00BA105D">
        <w:rPr>
          <w:rFonts w:ascii="Times New Roman" w:hAnsi="Times New Roman" w:cs="Times New Roman"/>
          <w:color w:val="000000" w:themeColor="text1"/>
          <w:sz w:val="24"/>
          <w:szCs w:val="24"/>
        </w:rPr>
        <w:t>reached</w:t>
      </w:r>
      <w:r w:rsidRPr="006B7F41">
        <w:rPr>
          <w:rFonts w:ascii="Times New Roman" w:hAnsi="Times New Roman" w:cs="Times New Roman"/>
          <w:color w:val="000000" w:themeColor="text1"/>
          <w:sz w:val="24"/>
          <w:szCs w:val="24"/>
        </w:rPr>
        <w:t xml:space="preserve"> 1.68%</w:t>
      </w:r>
      <w:r>
        <w:rPr>
          <w:rFonts w:ascii="Times New Roman" w:hAnsi="Times New Roman" w:cs="Times New Roman"/>
          <w:color w:val="000000" w:themeColor="text1"/>
          <w:sz w:val="24"/>
          <w:szCs w:val="24"/>
        </w:rPr>
        <w:t xml:space="preserve">, decreasing from </w:t>
      </w:r>
      <w:r w:rsidRPr="00F75E5C">
        <w:rPr>
          <w:rFonts w:ascii="Times New Roman" w:hAnsi="Times New Roman" w:cs="Times New Roman"/>
          <w:color w:val="000000" w:themeColor="text1"/>
          <w:sz w:val="24"/>
          <w:szCs w:val="24"/>
        </w:rPr>
        <w:t>4.06</w:t>
      </w:r>
      <w:r w:rsidR="00BA105D">
        <w:rPr>
          <w:rFonts w:ascii="Times New Roman" w:hAnsi="Times New Roman" w:cs="Times New Roman"/>
          <w:color w:val="000000" w:themeColor="text1"/>
          <w:sz w:val="24"/>
          <w:szCs w:val="24"/>
        </w:rPr>
        <w:t>%</w:t>
      </w:r>
      <w:r w:rsidRPr="00F75E5C">
        <w:rPr>
          <w:rFonts w:ascii="Times New Roman" w:hAnsi="Times New Roman" w:cs="Times New Roman"/>
          <w:color w:val="000000" w:themeColor="text1"/>
          <w:sz w:val="24"/>
          <w:szCs w:val="24"/>
        </w:rPr>
        <w:t xml:space="preserve"> in 2018</w:t>
      </w:r>
      <w:r w:rsidR="00BA105D">
        <w:rPr>
          <w:rFonts w:ascii="Times New Roman" w:hAnsi="Times New Roman" w:cs="Times New Roman"/>
          <w:color w:val="000000" w:themeColor="text1"/>
          <w:sz w:val="24"/>
          <w:szCs w:val="24"/>
        </w:rPr>
        <w:t>.</w:t>
      </w:r>
    </w:p>
    <w:p w14:paraId="14213713" w14:textId="77777777" w:rsidR="0071415F" w:rsidRPr="007F4CA4"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594A8EDF"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shd w:val="clear" w:color="auto" w:fill="FFFFFF"/>
        </w:rPr>
        <w:t xml:space="preserve"> 15.1.2 Proportion of important sites for terrestrial and freshwater biodiversity that are covered by protected areas</w:t>
      </w:r>
      <w:r w:rsidR="00BA105D">
        <w:rPr>
          <w:rFonts w:ascii="Times New Roman" w:hAnsi="Times New Roman" w:cs="Times New Roman"/>
          <w:b/>
          <w:i/>
          <w:color w:val="000000" w:themeColor="text1"/>
          <w:sz w:val="24"/>
          <w:szCs w:val="24"/>
          <w:shd w:val="clear" w:color="auto" w:fill="FFFFFF"/>
        </w:rPr>
        <w:t xml:space="preserve"> and</w:t>
      </w:r>
      <w:r w:rsidRPr="006B7F41">
        <w:rPr>
          <w:rFonts w:ascii="Times New Roman" w:hAnsi="Times New Roman" w:cs="Times New Roman"/>
          <w:b/>
          <w:i/>
          <w:color w:val="000000" w:themeColor="text1"/>
          <w:sz w:val="24"/>
          <w:szCs w:val="24"/>
          <w:shd w:val="clear" w:color="auto" w:fill="FFFFFF"/>
        </w:rPr>
        <w:t xml:space="preserve"> ecosystem type</w:t>
      </w:r>
    </w:p>
    <w:p w14:paraId="1C57D8FB"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712BD219" w14:textId="77777777"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shd w:val="clear" w:color="auto" w:fill="FFFFFF"/>
        </w:rPr>
      </w:pPr>
      <w:r w:rsidRPr="006B7F41">
        <w:rPr>
          <w:rFonts w:ascii="Times New Roman" w:hAnsi="Times New Roman" w:cs="Times New Roman"/>
          <w:color w:val="000000" w:themeColor="text1"/>
          <w:sz w:val="24"/>
          <w:szCs w:val="24"/>
          <w:shd w:val="clear" w:color="auto" w:fill="FFFFFF"/>
        </w:rPr>
        <w:t xml:space="preserve">The proportion of important sites for freshwater biodiversity that are covered by protected areas in Palestine </w:t>
      </w:r>
      <w:r w:rsidR="00C469B7">
        <w:rPr>
          <w:rFonts w:ascii="Times New Roman" w:hAnsi="Times New Roman" w:cs="Times New Roman"/>
          <w:color w:val="000000" w:themeColor="text1"/>
          <w:sz w:val="24"/>
          <w:szCs w:val="24"/>
          <w:shd w:val="clear" w:color="auto" w:fill="FFFFFF"/>
        </w:rPr>
        <w:t>reached</w:t>
      </w:r>
      <w:r w:rsidRPr="006B7F41">
        <w:rPr>
          <w:rFonts w:ascii="Times New Roman" w:hAnsi="Times New Roman" w:cs="Times New Roman"/>
          <w:color w:val="000000" w:themeColor="text1"/>
          <w:sz w:val="24"/>
          <w:szCs w:val="24"/>
          <w:shd w:val="clear" w:color="auto" w:fill="FFFFFF"/>
        </w:rPr>
        <w:t xml:space="preserve"> 4.27%in 2020, while the proportion of important sites for terrestrial  biodiversity that are covered by protected areas </w:t>
      </w:r>
      <w:r w:rsidR="00C469B7">
        <w:rPr>
          <w:rFonts w:ascii="Times New Roman" w:hAnsi="Times New Roman" w:cs="Times New Roman"/>
          <w:color w:val="000000" w:themeColor="text1"/>
          <w:sz w:val="24"/>
          <w:szCs w:val="24"/>
          <w:shd w:val="clear" w:color="auto" w:fill="FFFFFF"/>
        </w:rPr>
        <w:t>reached</w:t>
      </w:r>
      <w:r w:rsidRPr="006B7F41">
        <w:rPr>
          <w:rFonts w:ascii="Times New Roman" w:hAnsi="Times New Roman" w:cs="Times New Roman"/>
          <w:color w:val="000000" w:themeColor="text1"/>
          <w:sz w:val="24"/>
          <w:szCs w:val="24"/>
          <w:shd w:val="clear" w:color="auto" w:fill="FFFFFF"/>
        </w:rPr>
        <w:t xml:space="preserve"> 20.93%.</w:t>
      </w:r>
    </w:p>
    <w:p w14:paraId="3927FCC6" w14:textId="77777777" w:rsidR="0071415F" w:rsidRPr="00E6392C" w:rsidRDefault="0071415F" w:rsidP="0071415F">
      <w:pPr>
        <w:autoSpaceDE w:val="0"/>
        <w:autoSpaceDN w:val="0"/>
        <w:bidi w:val="0"/>
        <w:adjustRightInd w:val="0"/>
        <w:spacing w:after="0" w:line="240" w:lineRule="auto"/>
        <w:jc w:val="both"/>
        <w:rPr>
          <w:rFonts w:ascii="Times New Roman" w:hAnsi="Times New Roman"/>
          <w:color w:val="000000" w:themeColor="text1"/>
          <w:sz w:val="16"/>
        </w:rPr>
      </w:pPr>
    </w:p>
    <w:p w14:paraId="4E18FCC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shd w:val="clear" w:color="auto" w:fill="FFFFFF"/>
        </w:rPr>
        <w:t xml:space="preserve"> 15.4.1 Coverage by protected areas of important sites for mountain biodiversity</w:t>
      </w:r>
    </w:p>
    <w:p w14:paraId="2FA6A873"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2799202A" w14:textId="77777777"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shd w:val="clear" w:color="auto" w:fill="FFFFFF"/>
        </w:rPr>
      </w:pPr>
      <w:r w:rsidRPr="006B7F41">
        <w:rPr>
          <w:rFonts w:ascii="Times New Roman" w:hAnsi="Times New Roman" w:cs="Times New Roman"/>
          <w:color w:val="000000" w:themeColor="text1"/>
          <w:sz w:val="24"/>
          <w:szCs w:val="24"/>
        </w:rPr>
        <w:t>The</w:t>
      </w:r>
      <w:r w:rsidRPr="006B7F41">
        <w:rPr>
          <w:rFonts w:ascii="Times New Roman" w:hAnsi="Times New Roman" w:cs="Times New Roman"/>
          <w:color w:val="000000" w:themeColor="text1"/>
          <w:sz w:val="24"/>
          <w:szCs w:val="24"/>
          <w:shd w:val="clear" w:color="auto" w:fill="FFFFFF"/>
        </w:rPr>
        <w:t xml:space="preserve"> percentage of protected areas of important sites for mountain biodiversity in Palestine </w:t>
      </w:r>
      <w:r w:rsidR="00C469B7">
        <w:rPr>
          <w:rFonts w:ascii="Times New Roman" w:hAnsi="Times New Roman" w:cs="Times New Roman"/>
          <w:color w:val="000000" w:themeColor="text1"/>
          <w:sz w:val="24"/>
          <w:szCs w:val="24"/>
          <w:shd w:val="clear" w:color="auto" w:fill="FFFFFF"/>
        </w:rPr>
        <w:t>reached</w:t>
      </w:r>
      <w:r w:rsidRPr="006B7F41">
        <w:rPr>
          <w:rFonts w:ascii="Times New Roman" w:hAnsi="Times New Roman" w:cs="Times New Roman"/>
          <w:color w:val="000000" w:themeColor="text1"/>
          <w:sz w:val="24"/>
          <w:szCs w:val="24"/>
          <w:shd w:val="clear" w:color="auto" w:fill="FFFFFF"/>
        </w:rPr>
        <w:t xml:space="preserve"> 19.96% </w:t>
      </w:r>
      <w:r w:rsidR="00C469B7">
        <w:rPr>
          <w:rFonts w:ascii="Times New Roman" w:hAnsi="Times New Roman" w:cs="Times New Roman"/>
          <w:color w:val="000000" w:themeColor="text1"/>
          <w:sz w:val="24"/>
          <w:szCs w:val="24"/>
          <w:shd w:val="clear" w:color="auto" w:fill="FFFFFF"/>
        </w:rPr>
        <w:t>in</w:t>
      </w:r>
      <w:r w:rsidRPr="006B7F41">
        <w:rPr>
          <w:rFonts w:ascii="Times New Roman" w:hAnsi="Times New Roman" w:cs="Times New Roman"/>
          <w:color w:val="000000" w:themeColor="text1"/>
          <w:sz w:val="24"/>
          <w:szCs w:val="24"/>
          <w:shd w:val="clear" w:color="auto" w:fill="FFFFFF"/>
        </w:rPr>
        <w:t xml:space="preserve"> all Palestinian lands in 2020.</w:t>
      </w:r>
    </w:p>
    <w:p w14:paraId="3873C3AD" w14:textId="77777777" w:rsidR="0071415F" w:rsidRPr="007F4CA4"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4"/>
          <w:szCs w:val="14"/>
        </w:rPr>
      </w:pPr>
    </w:p>
    <w:p w14:paraId="4C268436"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shd w:val="clear" w:color="auto" w:fill="FFFFFF"/>
        </w:rPr>
        <w:t xml:space="preserve"> 15.4.2 Mountain Green Cover Index</w:t>
      </w:r>
    </w:p>
    <w:p w14:paraId="7CAAE694"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435CA93C" w14:textId="77777777"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Protected and biodiversity areas in Palestine </w:t>
      </w:r>
      <w:r w:rsidR="00C469B7">
        <w:rPr>
          <w:rFonts w:ascii="Times New Roman" w:hAnsi="Times New Roman" w:cs="Times New Roman"/>
          <w:color w:val="000000" w:themeColor="text1"/>
          <w:sz w:val="24"/>
          <w:szCs w:val="24"/>
        </w:rPr>
        <w:t>reached</w:t>
      </w:r>
      <w:r w:rsidRPr="006B7F41">
        <w:rPr>
          <w:rFonts w:ascii="Times New Roman" w:hAnsi="Times New Roman" w:cs="Times New Roman"/>
          <w:color w:val="000000" w:themeColor="text1"/>
          <w:sz w:val="24"/>
          <w:szCs w:val="24"/>
        </w:rPr>
        <w:t xml:space="preserve"> 12.5% in 2016</w:t>
      </w:r>
      <w:r>
        <w:rPr>
          <w:rFonts w:ascii="Times New Roman" w:hAnsi="Times New Roman" w:cs="Times New Roman"/>
          <w:color w:val="000000" w:themeColor="text1"/>
          <w:sz w:val="24"/>
          <w:szCs w:val="24"/>
        </w:rPr>
        <w:t>.</w:t>
      </w:r>
    </w:p>
    <w:p w14:paraId="54D54B2C" w14:textId="77777777" w:rsidR="0071415F" w:rsidRPr="007F4CA4"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15B1B1CD"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shd w:val="clear" w:color="auto" w:fill="FFFFFF"/>
        </w:rPr>
        <w:t xml:space="preserve"> 15.5.1 Red List Index (RLI)</w:t>
      </w:r>
    </w:p>
    <w:p w14:paraId="5CFEBEA4"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33E48A1F" w14:textId="77777777"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6B7F41">
        <w:rPr>
          <w:rFonts w:ascii="Times New Roman" w:hAnsi="Times New Roman" w:cs="Times New Roman"/>
          <w:color w:val="000000" w:themeColor="text1"/>
          <w:sz w:val="24"/>
          <w:szCs w:val="24"/>
        </w:rPr>
        <w:t xml:space="preserve">The Red List Index of species survival in Palestine </w:t>
      </w:r>
      <w:r w:rsidR="00C469B7">
        <w:rPr>
          <w:rFonts w:ascii="Times New Roman" w:hAnsi="Times New Roman" w:cs="Times New Roman"/>
          <w:color w:val="000000" w:themeColor="text1"/>
          <w:sz w:val="24"/>
          <w:szCs w:val="24"/>
        </w:rPr>
        <w:t>reached</w:t>
      </w:r>
      <w:r w:rsidRPr="006B7F41">
        <w:rPr>
          <w:rFonts w:ascii="Times New Roman" w:hAnsi="Times New Roman" w:cs="Times New Roman"/>
          <w:color w:val="000000" w:themeColor="text1"/>
          <w:sz w:val="24"/>
          <w:szCs w:val="24"/>
        </w:rPr>
        <w:t xml:space="preserve"> 0.89</w:t>
      </w:r>
      <w:r w:rsidR="00C469B7">
        <w:rPr>
          <w:rFonts w:ascii="Times New Roman" w:hAnsi="Times New Roman" w:cs="Times New Roman"/>
          <w:color w:val="000000" w:themeColor="text1"/>
          <w:sz w:val="24"/>
          <w:szCs w:val="24"/>
        </w:rPr>
        <w:t>%</w:t>
      </w:r>
      <w:r w:rsidRPr="006B7F41">
        <w:rPr>
          <w:rFonts w:ascii="Times New Roman" w:hAnsi="Times New Roman" w:cs="Times New Roman"/>
          <w:color w:val="000000" w:themeColor="text1"/>
          <w:sz w:val="24"/>
          <w:szCs w:val="24"/>
        </w:rPr>
        <w:t xml:space="preserve"> in 2021.  An RLI value of 1.0 equates to all species qualifying as </w:t>
      </w:r>
      <w:r w:rsidR="00C469B7">
        <w:rPr>
          <w:rFonts w:ascii="Times New Roman" w:hAnsi="Times New Roman" w:cs="Times New Roman"/>
          <w:color w:val="000000" w:themeColor="text1"/>
          <w:sz w:val="24"/>
          <w:szCs w:val="24"/>
        </w:rPr>
        <w:t>l</w:t>
      </w:r>
      <w:r w:rsidRPr="006B7F41">
        <w:rPr>
          <w:rFonts w:ascii="Times New Roman" w:hAnsi="Times New Roman" w:cs="Times New Roman"/>
          <w:color w:val="000000" w:themeColor="text1"/>
          <w:sz w:val="24"/>
          <w:szCs w:val="24"/>
        </w:rPr>
        <w:t xml:space="preserve">east </w:t>
      </w:r>
      <w:r w:rsidR="00C469B7">
        <w:rPr>
          <w:rFonts w:ascii="Times New Roman" w:hAnsi="Times New Roman" w:cs="Times New Roman"/>
          <w:color w:val="000000" w:themeColor="text1"/>
          <w:sz w:val="24"/>
          <w:szCs w:val="24"/>
        </w:rPr>
        <w:t>c</w:t>
      </w:r>
      <w:r w:rsidRPr="006B7F41">
        <w:rPr>
          <w:rFonts w:ascii="Times New Roman" w:hAnsi="Times New Roman" w:cs="Times New Roman"/>
          <w:color w:val="000000" w:themeColor="text1"/>
          <w:sz w:val="24"/>
          <w:szCs w:val="24"/>
        </w:rPr>
        <w:t>oncern (i.e</w:t>
      </w:r>
      <w:r w:rsidR="00C469B7">
        <w:rPr>
          <w:rFonts w:ascii="Times New Roman" w:hAnsi="Times New Roman" w:cs="Times New Roman"/>
          <w:color w:val="000000" w:themeColor="text1"/>
          <w:sz w:val="24"/>
          <w:szCs w:val="24"/>
        </w:rPr>
        <w:t>.</w:t>
      </w:r>
      <w:r w:rsidRPr="006B7F41">
        <w:rPr>
          <w:rFonts w:ascii="Times New Roman" w:hAnsi="Times New Roman" w:cs="Times New Roman"/>
          <w:color w:val="000000" w:themeColor="text1"/>
          <w:sz w:val="24"/>
          <w:szCs w:val="24"/>
        </w:rPr>
        <w:t xml:space="preserve"> not expected to become </w:t>
      </w:r>
      <w:r w:rsidR="00C469B7">
        <w:rPr>
          <w:rFonts w:ascii="Times New Roman" w:hAnsi="Times New Roman" w:cs="Times New Roman"/>
          <w:color w:val="000000" w:themeColor="text1"/>
          <w:sz w:val="24"/>
          <w:szCs w:val="24"/>
        </w:rPr>
        <w:t>e</w:t>
      </w:r>
      <w:r w:rsidRPr="006B7F41">
        <w:rPr>
          <w:rFonts w:ascii="Times New Roman" w:hAnsi="Times New Roman" w:cs="Times New Roman"/>
          <w:color w:val="000000" w:themeColor="text1"/>
          <w:sz w:val="24"/>
          <w:szCs w:val="24"/>
        </w:rPr>
        <w:t xml:space="preserve">xtinct in the near future. An RLI value of 0 equates to all species </w:t>
      </w:r>
      <w:r w:rsidR="00C469B7">
        <w:rPr>
          <w:rFonts w:ascii="Times New Roman" w:hAnsi="Times New Roman" w:cs="Times New Roman"/>
          <w:color w:val="000000" w:themeColor="text1"/>
          <w:sz w:val="24"/>
          <w:szCs w:val="24"/>
        </w:rPr>
        <w:t xml:space="preserve">that </w:t>
      </w:r>
      <w:r w:rsidRPr="006B7F41">
        <w:rPr>
          <w:rFonts w:ascii="Times New Roman" w:hAnsi="Times New Roman" w:cs="Times New Roman"/>
          <w:color w:val="000000" w:themeColor="text1"/>
          <w:sz w:val="24"/>
          <w:szCs w:val="24"/>
        </w:rPr>
        <w:t>hav</w:t>
      </w:r>
      <w:r w:rsidR="00C469B7">
        <w:rPr>
          <w:rFonts w:ascii="Times New Roman" w:hAnsi="Times New Roman" w:cs="Times New Roman"/>
          <w:color w:val="000000" w:themeColor="text1"/>
          <w:sz w:val="24"/>
          <w:szCs w:val="24"/>
        </w:rPr>
        <w:t>ebecomee</w:t>
      </w:r>
      <w:r w:rsidRPr="006B7F41">
        <w:rPr>
          <w:rFonts w:ascii="Times New Roman" w:hAnsi="Times New Roman" w:cs="Times New Roman"/>
          <w:color w:val="000000" w:themeColor="text1"/>
          <w:sz w:val="24"/>
          <w:szCs w:val="24"/>
        </w:rPr>
        <w:t xml:space="preserve">xtinct). </w:t>
      </w:r>
    </w:p>
    <w:p w14:paraId="61939A5B" w14:textId="77777777" w:rsidR="0071415F" w:rsidRDefault="0071415F" w:rsidP="0071415F">
      <w:pPr>
        <w:autoSpaceDE w:val="0"/>
        <w:autoSpaceDN w:val="0"/>
        <w:bidi w:val="0"/>
        <w:adjustRightInd w:val="0"/>
        <w:spacing w:after="0" w:line="240" w:lineRule="auto"/>
        <w:jc w:val="both"/>
        <w:rPr>
          <w:rFonts w:ascii="Times New Roman" w:hAnsi="Times New Roman"/>
          <w:color w:val="000000" w:themeColor="text1"/>
          <w:sz w:val="24"/>
        </w:rPr>
      </w:pPr>
    </w:p>
    <w:p w14:paraId="76957FC1" w14:textId="77777777" w:rsidR="00B10C76" w:rsidRDefault="00B10C76" w:rsidP="00B10C76">
      <w:pPr>
        <w:autoSpaceDE w:val="0"/>
        <w:autoSpaceDN w:val="0"/>
        <w:bidi w:val="0"/>
        <w:adjustRightInd w:val="0"/>
        <w:spacing w:after="0" w:line="240" w:lineRule="auto"/>
        <w:jc w:val="both"/>
        <w:rPr>
          <w:rFonts w:ascii="Times New Roman" w:hAnsi="Times New Roman"/>
          <w:color w:val="000000" w:themeColor="text1"/>
          <w:sz w:val="24"/>
        </w:rPr>
      </w:pPr>
    </w:p>
    <w:p w14:paraId="60530220" w14:textId="77777777" w:rsidR="00B10C76" w:rsidRDefault="00B10C76" w:rsidP="00B10C76">
      <w:pPr>
        <w:autoSpaceDE w:val="0"/>
        <w:autoSpaceDN w:val="0"/>
        <w:bidi w:val="0"/>
        <w:adjustRightInd w:val="0"/>
        <w:spacing w:after="0" w:line="240" w:lineRule="auto"/>
        <w:jc w:val="both"/>
        <w:rPr>
          <w:rFonts w:ascii="Times New Roman" w:hAnsi="Times New Roman"/>
          <w:color w:val="000000" w:themeColor="text1"/>
          <w:sz w:val="24"/>
        </w:rPr>
      </w:pPr>
    </w:p>
    <w:p w14:paraId="6B857EEE" w14:textId="77777777" w:rsidR="00B10C76" w:rsidRPr="00E6392C" w:rsidRDefault="00B10C76" w:rsidP="00B10C76">
      <w:pPr>
        <w:autoSpaceDE w:val="0"/>
        <w:autoSpaceDN w:val="0"/>
        <w:bidi w:val="0"/>
        <w:adjustRightInd w:val="0"/>
        <w:spacing w:after="0" w:line="240" w:lineRule="auto"/>
        <w:jc w:val="both"/>
        <w:rPr>
          <w:rFonts w:ascii="Times New Roman" w:hAnsi="Times New Roman"/>
          <w:color w:val="000000" w:themeColor="text1"/>
          <w:sz w:val="24"/>
        </w:rPr>
      </w:pPr>
    </w:p>
    <w:p w14:paraId="7B637395"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lastRenderedPageBreak/>
        <w:t>Indicator</w:t>
      </w:r>
      <w:r w:rsidRPr="006B7F41">
        <w:rPr>
          <w:rFonts w:ascii="Times New Roman" w:hAnsi="Times New Roman" w:cs="Times New Roman"/>
          <w:b/>
          <w:i/>
          <w:color w:val="000000" w:themeColor="text1"/>
          <w:sz w:val="24"/>
          <w:szCs w:val="24"/>
          <w:shd w:val="clear" w:color="auto" w:fill="FFFFFF"/>
        </w:rPr>
        <w:t xml:space="preserve"> 15.a.1 (Repeated with 15.b.1) Official development assistance and public expenditure on conservation and sustainable use of biodiversity and ecosystems</w:t>
      </w:r>
    </w:p>
    <w:p w14:paraId="31561689"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4EAB65E7" w14:textId="77777777" w:rsidR="0071415F" w:rsidRDefault="0071415F" w:rsidP="00E67BA8">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The total </w:t>
      </w:r>
      <w:r w:rsidR="00C469B7">
        <w:rPr>
          <w:rFonts w:ascii="Times New Roman" w:hAnsi="Times New Roman" w:cs="Times New Roman"/>
          <w:color w:val="000000" w:themeColor="text1"/>
          <w:sz w:val="24"/>
          <w:szCs w:val="24"/>
        </w:rPr>
        <w:t>o</w:t>
      </w:r>
      <w:r w:rsidRPr="006B7F41">
        <w:rPr>
          <w:rFonts w:ascii="Times New Roman" w:hAnsi="Times New Roman" w:cs="Times New Roman"/>
          <w:color w:val="000000" w:themeColor="text1"/>
          <w:sz w:val="24"/>
          <w:szCs w:val="24"/>
        </w:rPr>
        <w:t>fficial development assistance for biodiversity was 54.</w:t>
      </w:r>
      <w:r w:rsidR="00304E2A">
        <w:rPr>
          <w:rFonts w:ascii="Times New Roman" w:hAnsi="Times New Roman" w:cs="Times New Roman"/>
          <w:color w:val="000000" w:themeColor="text1"/>
          <w:sz w:val="24"/>
          <w:szCs w:val="24"/>
        </w:rPr>
        <w:t>05</w:t>
      </w:r>
      <w:r w:rsidRPr="006B7F41">
        <w:rPr>
          <w:rFonts w:ascii="Times New Roman" w:hAnsi="Times New Roman" w:cs="Times New Roman"/>
          <w:color w:val="000000" w:themeColor="text1"/>
          <w:sz w:val="24"/>
          <w:szCs w:val="24"/>
        </w:rPr>
        <w:t xml:space="preserve"> USD million in 2018 in Palestine, while it </w:t>
      </w:r>
      <w:r w:rsidR="00C469B7">
        <w:rPr>
          <w:rFonts w:ascii="Times New Roman" w:hAnsi="Times New Roman" w:cs="Times New Roman"/>
          <w:color w:val="000000" w:themeColor="text1"/>
          <w:sz w:val="24"/>
          <w:szCs w:val="24"/>
        </w:rPr>
        <w:t>reported</w:t>
      </w:r>
      <w:r w:rsidR="00E67BA8">
        <w:rPr>
          <w:rFonts w:ascii="Times New Roman" w:hAnsi="Times New Roman" w:cs="Times New Roman" w:hint="cs"/>
          <w:color w:val="000000" w:themeColor="text1"/>
          <w:sz w:val="24"/>
          <w:szCs w:val="24"/>
          <w:rtl/>
        </w:rPr>
        <w:t>21</w:t>
      </w:r>
      <w:r w:rsidRPr="006B7F41">
        <w:rPr>
          <w:rFonts w:ascii="Times New Roman" w:hAnsi="Times New Roman" w:cs="Times New Roman"/>
          <w:color w:val="000000" w:themeColor="text1"/>
          <w:sz w:val="24"/>
          <w:szCs w:val="24"/>
        </w:rPr>
        <w:t>.</w:t>
      </w:r>
      <w:r w:rsidR="00E67BA8">
        <w:rPr>
          <w:rFonts w:ascii="Times New Roman" w:hAnsi="Times New Roman" w:cs="Times New Roman" w:hint="cs"/>
          <w:color w:val="000000" w:themeColor="text1"/>
          <w:sz w:val="24"/>
          <w:szCs w:val="24"/>
          <w:rtl/>
        </w:rPr>
        <w:t>0</w:t>
      </w:r>
      <w:r w:rsidRPr="006B7F41">
        <w:rPr>
          <w:rFonts w:ascii="Times New Roman" w:hAnsi="Times New Roman" w:cs="Times New Roman"/>
          <w:color w:val="000000" w:themeColor="text1"/>
          <w:sz w:val="24"/>
          <w:szCs w:val="24"/>
        </w:rPr>
        <w:t xml:space="preserve"> USD million in </w:t>
      </w:r>
      <w:r w:rsidR="00E67BA8">
        <w:rPr>
          <w:rFonts w:ascii="Times New Roman" w:hAnsi="Times New Roman" w:cs="Times New Roman" w:hint="cs"/>
          <w:color w:val="000000" w:themeColor="text1"/>
          <w:sz w:val="24"/>
          <w:szCs w:val="24"/>
          <w:rtl/>
        </w:rPr>
        <w:t>2015</w:t>
      </w:r>
      <w:r w:rsidRPr="006B7F41">
        <w:rPr>
          <w:rFonts w:ascii="Times New Roman" w:hAnsi="Times New Roman" w:cs="Times New Roman"/>
          <w:color w:val="000000" w:themeColor="text1"/>
          <w:sz w:val="24"/>
          <w:szCs w:val="24"/>
        </w:rPr>
        <w:t>.</w:t>
      </w:r>
    </w:p>
    <w:p w14:paraId="20712A7C" w14:textId="77777777" w:rsidR="000A2501" w:rsidRPr="006B7F41" w:rsidRDefault="000A2501" w:rsidP="000A2501">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077892D" w14:textId="77777777" w:rsidR="0071415F" w:rsidRDefault="0071415F" w:rsidP="0071415F">
      <w:pPr>
        <w:tabs>
          <w:tab w:val="left" w:pos="9072"/>
        </w:tabs>
        <w:bidi w:val="0"/>
        <w:spacing w:after="0" w:line="240" w:lineRule="auto"/>
        <w:jc w:val="center"/>
        <w:rPr>
          <w:rFonts w:ascii="Arial" w:hAnsi="Arial"/>
          <w:b/>
          <w:bCs/>
          <w:color w:val="000000" w:themeColor="text1"/>
        </w:rPr>
      </w:pPr>
    </w:p>
    <w:p w14:paraId="74D64AAD" w14:textId="77777777" w:rsidR="00BE2EC0" w:rsidRPr="006B7F41" w:rsidRDefault="00BE2EC0" w:rsidP="00BE2EC0">
      <w:pPr>
        <w:tabs>
          <w:tab w:val="left" w:pos="9072"/>
        </w:tabs>
        <w:bidi w:val="0"/>
        <w:spacing w:after="0" w:line="240" w:lineRule="auto"/>
        <w:jc w:val="center"/>
        <w:rPr>
          <w:rFonts w:ascii="Arial" w:hAnsi="Arial"/>
          <w:b/>
          <w:bCs/>
          <w:color w:val="000000" w:themeColor="text1"/>
        </w:rPr>
      </w:pPr>
    </w:p>
    <w:p w14:paraId="5BFBCC0D" w14:textId="77777777" w:rsidR="0071415F" w:rsidRPr="006B7F41" w:rsidRDefault="0071415F" w:rsidP="0071415F">
      <w:pPr>
        <w:tabs>
          <w:tab w:val="left" w:pos="9072"/>
        </w:tabs>
        <w:bidi w:val="0"/>
        <w:spacing w:after="0" w:line="240" w:lineRule="auto"/>
        <w:jc w:val="center"/>
        <w:rPr>
          <w:rFonts w:ascii="Arial" w:hAnsi="Arial"/>
          <w:b/>
          <w:bCs/>
          <w:color w:val="000000" w:themeColor="text1"/>
        </w:rPr>
      </w:pPr>
      <w:r w:rsidRPr="006B7F41">
        <w:rPr>
          <w:rFonts w:ascii="Arial" w:hAnsi="Arial"/>
          <w:b/>
          <w:bCs/>
          <w:color w:val="000000" w:themeColor="text1"/>
        </w:rPr>
        <w:t>Total Official Development Assistance and Public Expenditure on Conservation and Sustainable use of Biodiversity and Ecosystems in Palestine for Selected Years at Constant Prices (USD Million)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71C0B52" w14:textId="77777777" w:rsidTr="00E6392C">
        <w:tc>
          <w:tcPr>
            <w:tcW w:w="9060" w:type="dxa"/>
            <w:shd w:val="clear" w:color="auto" w:fill="auto"/>
          </w:tcPr>
          <w:p w14:paraId="65CFFCA4"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Arial" w:hAnsi="Arial"/>
                <w:b/>
                <w:bCs/>
                <w:noProof/>
                <w:sz w:val="24"/>
                <w:szCs w:val="24"/>
              </w:rPr>
              <w:drawing>
                <wp:inline distT="0" distB="0" distL="0" distR="0" wp14:anchorId="504BE747" wp14:editId="0AF464F7">
                  <wp:extent cx="5764530" cy="2115185"/>
                  <wp:effectExtent l="0" t="0" r="0" b="0"/>
                  <wp:docPr id="9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tc>
      </w:tr>
    </w:tbl>
    <w:p w14:paraId="09EB50A3" w14:textId="77777777" w:rsidR="00CC2173" w:rsidRPr="00C06ADB" w:rsidRDefault="00CC2173" w:rsidP="00CC2173">
      <w:pPr>
        <w:autoSpaceDE w:val="0"/>
        <w:autoSpaceDN w:val="0"/>
        <w:bidi w:val="0"/>
        <w:adjustRightInd w:val="0"/>
        <w:spacing w:after="0" w:line="240" w:lineRule="auto"/>
        <w:jc w:val="both"/>
        <w:rPr>
          <w:rStyle w:val="Hyperlink"/>
          <w:rFonts w:asciiTheme="minorBidi" w:hAnsiTheme="minorBidi" w:cstheme="minorBidi"/>
          <w:b/>
          <w:color w:val="auto"/>
          <w:sz w:val="18"/>
          <w:szCs w:val="18"/>
        </w:rPr>
      </w:pPr>
      <w:r w:rsidRPr="00C06ADB">
        <w:rPr>
          <w:rFonts w:asciiTheme="minorBidi" w:hAnsiTheme="minorBidi" w:cstheme="minorBidi"/>
          <w:b/>
          <w:sz w:val="18"/>
          <w:szCs w:val="18"/>
        </w:rPr>
        <w:t xml:space="preserve">Source: </w:t>
      </w:r>
      <w:hyperlink r:id="rId157" w:history="1">
        <w:r w:rsidRPr="00C06ADB">
          <w:rPr>
            <w:rStyle w:val="Hyperlink"/>
            <w:rFonts w:asciiTheme="minorBidi" w:hAnsiTheme="minorBidi" w:cstheme="minorBidi"/>
            <w:b/>
            <w:color w:val="auto"/>
            <w:sz w:val="18"/>
            <w:szCs w:val="18"/>
          </w:rPr>
          <w:t>https://unstats.un.org/sdgs/indicators/database</w:t>
        </w:r>
      </w:hyperlink>
    </w:p>
    <w:p w14:paraId="23813CD5"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30077306" w14:textId="77777777" w:rsidR="0071415F" w:rsidRPr="006B7F41" w:rsidRDefault="0071415F" w:rsidP="0071415F">
      <w:pPr>
        <w:autoSpaceDE w:val="0"/>
        <w:autoSpaceDN w:val="0"/>
        <w:bidi w:val="0"/>
        <w:adjustRightInd w:val="0"/>
        <w:spacing w:after="0" w:line="240" w:lineRule="auto"/>
        <w:jc w:val="both"/>
        <w:rPr>
          <w:rFonts w:ascii="Times New Roman" w:hAnsi="Times New Roman" w:cs="Times New Roman"/>
          <w:b/>
          <w:color w:val="000000" w:themeColor="text1"/>
          <w:sz w:val="24"/>
          <w:szCs w:val="24"/>
        </w:rPr>
      </w:pPr>
      <w:r w:rsidRPr="006B7F41">
        <w:rPr>
          <w:rFonts w:ascii="Times New Roman" w:hAnsi="Times New Roman" w:cs="Times New Roman"/>
          <w:b/>
          <w:bCs/>
          <w:color w:val="000000" w:themeColor="text1"/>
          <w:sz w:val="24"/>
          <w:szCs w:val="24"/>
        </w:rPr>
        <w:t>Summary</w:t>
      </w:r>
    </w:p>
    <w:p w14:paraId="28D47723" w14:textId="77777777"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The system of protected natural areas reached coverage of about 4.26% of the key </w:t>
      </w:r>
      <w:r w:rsidR="00C469B7" w:rsidRPr="006B7F41">
        <w:rPr>
          <w:rFonts w:ascii="Times New Roman" w:hAnsi="Times New Roman" w:cs="Times New Roman"/>
          <w:color w:val="000000" w:themeColor="text1"/>
          <w:sz w:val="24"/>
          <w:szCs w:val="24"/>
          <w:shd w:val="clear" w:color="auto" w:fill="FFFFFF"/>
        </w:rPr>
        <w:t>terrestrial</w:t>
      </w:r>
      <w:r w:rsidRPr="006B7F41">
        <w:rPr>
          <w:rFonts w:ascii="Times New Roman" w:hAnsi="Times New Roman" w:cs="Times New Roman"/>
          <w:color w:val="000000" w:themeColor="text1"/>
          <w:sz w:val="24"/>
          <w:szCs w:val="24"/>
        </w:rPr>
        <w:t>areas</w:t>
      </w:r>
      <w:r w:rsidR="00C469B7">
        <w:rPr>
          <w:rFonts w:ascii="Times New Roman" w:hAnsi="Times New Roman" w:cs="Times New Roman"/>
          <w:color w:val="000000" w:themeColor="text1"/>
          <w:sz w:val="24"/>
          <w:szCs w:val="24"/>
          <w:shd w:val="clear" w:color="auto" w:fill="FFFFFF"/>
        </w:rPr>
        <w:t xml:space="preserve">; in 2020, </w:t>
      </w:r>
      <w:r w:rsidRPr="006B7F41">
        <w:rPr>
          <w:rFonts w:ascii="Times New Roman" w:hAnsi="Times New Roman" w:cs="Times New Roman"/>
          <w:color w:val="000000" w:themeColor="text1"/>
          <w:sz w:val="24"/>
          <w:szCs w:val="24"/>
        </w:rPr>
        <w:t xml:space="preserve"> a</w:t>
      </w:r>
      <w:r w:rsidR="00C469B7">
        <w:rPr>
          <w:rFonts w:ascii="Times New Roman" w:hAnsi="Times New Roman" w:cs="Times New Roman"/>
          <w:color w:val="000000" w:themeColor="text1"/>
          <w:sz w:val="24"/>
          <w:szCs w:val="24"/>
        </w:rPr>
        <w:t>bout</w:t>
      </w:r>
      <w:r w:rsidRPr="006B7F41">
        <w:rPr>
          <w:rFonts w:ascii="Times New Roman" w:hAnsi="Times New Roman" w:cs="Times New Roman"/>
          <w:color w:val="000000" w:themeColor="text1"/>
          <w:sz w:val="24"/>
          <w:szCs w:val="24"/>
        </w:rPr>
        <w:t xml:space="preserve"> 19.96% </w:t>
      </w:r>
      <w:r w:rsidRPr="006B7F41">
        <w:rPr>
          <w:rFonts w:ascii="Times New Roman" w:hAnsi="Times New Roman" w:cs="Times New Roman"/>
          <w:color w:val="000000" w:themeColor="text1"/>
          <w:sz w:val="24"/>
          <w:szCs w:val="24"/>
          <w:shd w:val="clear" w:color="auto" w:fill="FFFFFF"/>
        </w:rPr>
        <w:t xml:space="preserve">from all of Palestinian lands </w:t>
      </w:r>
      <w:r w:rsidR="00C469B7">
        <w:rPr>
          <w:rFonts w:ascii="Times New Roman" w:hAnsi="Times New Roman" w:cs="Times New Roman"/>
          <w:color w:val="000000" w:themeColor="text1"/>
          <w:sz w:val="24"/>
          <w:szCs w:val="24"/>
          <w:shd w:val="clear" w:color="auto" w:fill="FFFFFF"/>
        </w:rPr>
        <w:t>were considered</w:t>
      </w:r>
      <w:r w:rsidRPr="006B7F41">
        <w:rPr>
          <w:rFonts w:ascii="Times New Roman" w:hAnsi="Times New Roman" w:cs="Times New Roman"/>
          <w:color w:val="000000" w:themeColor="text1"/>
          <w:sz w:val="24"/>
          <w:szCs w:val="24"/>
          <w:shd w:val="clear" w:color="auto" w:fill="FFFFFF"/>
        </w:rPr>
        <w:t xml:space="preserve"> protected areas of important sites for mountain biodiversity.</w:t>
      </w:r>
    </w:p>
    <w:p w14:paraId="79EB37E7" w14:textId="77777777" w:rsidR="0071415F" w:rsidRPr="00C469B7" w:rsidRDefault="0071415F" w:rsidP="0071415F">
      <w:pPr>
        <w:spacing w:after="0" w:line="240" w:lineRule="auto"/>
        <w:rPr>
          <w:rFonts w:ascii="Times New Roman" w:hAnsi="Times New Roman" w:cs="Times New Roman"/>
          <w:sz w:val="24"/>
          <w:szCs w:val="24"/>
        </w:rPr>
      </w:pPr>
    </w:p>
    <w:p w14:paraId="4FCC8FFA" w14:textId="77777777" w:rsidR="0071415F" w:rsidRPr="00D04AB8" w:rsidRDefault="0071415F" w:rsidP="0071415F">
      <w:pPr>
        <w:bidi w:val="0"/>
        <w:spacing w:after="0" w:line="240" w:lineRule="auto"/>
        <w:jc w:val="both"/>
        <w:rPr>
          <w:rFonts w:ascii="Times New Roman" w:hAnsi="Times New Roman" w:cs="Times New Roman"/>
          <w:sz w:val="24"/>
          <w:szCs w:val="24"/>
        </w:rPr>
      </w:pPr>
    </w:p>
    <w:p w14:paraId="75BC5BC9" w14:textId="77777777" w:rsidR="0071415F" w:rsidRPr="00D04AB8" w:rsidRDefault="0071415F" w:rsidP="0071415F">
      <w:pPr>
        <w:bidi w:val="0"/>
        <w:spacing w:after="0" w:line="240" w:lineRule="auto"/>
        <w:rPr>
          <w:rFonts w:ascii="Times New Roman" w:hAnsi="Times New Roman" w:cs="Times New Roman"/>
          <w:sz w:val="24"/>
          <w:szCs w:val="24"/>
        </w:rPr>
      </w:pPr>
    </w:p>
    <w:p w14:paraId="561A126C" w14:textId="77777777" w:rsidR="0071415F" w:rsidRPr="00EB08DB" w:rsidRDefault="0071415F" w:rsidP="0071415F"/>
    <w:p w14:paraId="4141A25C"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p>
    <w:p w14:paraId="0DFE7732" w14:textId="77777777" w:rsidR="007942F0" w:rsidRDefault="007942F0">
      <w:pPr>
        <w:bidi w:val="0"/>
        <w:spacing w:after="0" w:line="240" w:lineRule="auto"/>
        <w:rPr>
          <w:rFonts w:ascii="Times New Roman" w:hAnsi="Times New Roman" w:cs="Times New Roman"/>
          <w:sz w:val="24"/>
          <w:szCs w:val="24"/>
        </w:rPr>
      </w:pPr>
    </w:p>
    <w:p w14:paraId="762F6F7C" w14:textId="77777777" w:rsidR="00335608" w:rsidRPr="00E044EE" w:rsidRDefault="00335608" w:rsidP="008C6258">
      <w:pPr>
        <w:autoSpaceDE w:val="0"/>
        <w:autoSpaceDN w:val="0"/>
        <w:bidi w:val="0"/>
        <w:adjustRightInd w:val="0"/>
        <w:spacing w:after="0" w:line="240" w:lineRule="auto"/>
        <w:jc w:val="both"/>
        <w:rPr>
          <w:b/>
          <w:bCs/>
        </w:rPr>
      </w:pPr>
    </w:p>
    <w:p w14:paraId="14D4DC57" w14:textId="77777777" w:rsidR="00335608" w:rsidRPr="00D04AB8" w:rsidRDefault="00335608" w:rsidP="008C6258">
      <w:pPr>
        <w:spacing w:after="0" w:line="240" w:lineRule="auto"/>
        <w:rPr>
          <w:rFonts w:ascii="Times New Roman" w:hAnsi="Times New Roman" w:cs="Times New Roman"/>
          <w:sz w:val="24"/>
          <w:szCs w:val="24"/>
        </w:rPr>
      </w:pPr>
    </w:p>
    <w:p w14:paraId="4515A57C" w14:textId="77777777" w:rsidR="00335608" w:rsidRPr="00D04AB8" w:rsidRDefault="00335608" w:rsidP="008C6258">
      <w:pPr>
        <w:bidi w:val="0"/>
        <w:spacing w:after="0" w:line="240" w:lineRule="auto"/>
        <w:jc w:val="both"/>
        <w:rPr>
          <w:rFonts w:ascii="Times New Roman" w:hAnsi="Times New Roman" w:cs="Times New Roman"/>
          <w:sz w:val="24"/>
          <w:szCs w:val="24"/>
        </w:rPr>
      </w:pPr>
    </w:p>
    <w:p w14:paraId="6A7A6282" w14:textId="77777777" w:rsidR="00335608" w:rsidRPr="00D04AB8" w:rsidRDefault="00335608" w:rsidP="008C6258">
      <w:pPr>
        <w:bidi w:val="0"/>
        <w:spacing w:after="0" w:line="240" w:lineRule="auto"/>
        <w:rPr>
          <w:rFonts w:ascii="Times New Roman" w:hAnsi="Times New Roman" w:cs="Times New Roman"/>
          <w:sz w:val="24"/>
          <w:szCs w:val="24"/>
        </w:rPr>
      </w:pPr>
    </w:p>
    <w:p w14:paraId="7421F49B" w14:textId="77777777" w:rsidR="00335608" w:rsidRDefault="00726442" w:rsidP="008C6258">
      <w:pPr>
        <w:bidi w:val="0"/>
        <w:spacing w:after="0" w:line="240" w:lineRule="auto"/>
        <w:rPr>
          <w:rFonts w:ascii="Times New Roman" w:hAnsi="Times New Roman" w:cs="Times New Roman"/>
        </w:rPr>
      </w:pPr>
      <w:r>
        <w:rPr>
          <w:rFonts w:ascii="Times New Roman" w:hAnsi="Times New Roman" w:cs="Times New Roman"/>
        </w:rPr>
        <w:br w:type="page"/>
      </w:r>
    </w:p>
    <w:tbl>
      <w:tblPr>
        <w:tblW w:w="9027" w:type="dxa"/>
        <w:tblBorders>
          <w:top w:val="thinThickSmallGap" w:sz="24" w:space="0" w:color="304D73"/>
          <w:left w:val="thinThickSmallGap" w:sz="24" w:space="0" w:color="304D73"/>
          <w:bottom w:val="thinThickSmallGap" w:sz="24" w:space="0" w:color="304D73"/>
          <w:right w:val="thinThickSmallGap" w:sz="24" w:space="0" w:color="304D73"/>
        </w:tblBorders>
        <w:tblLook w:val="04A0" w:firstRow="1" w:lastRow="0" w:firstColumn="1" w:lastColumn="0" w:noHBand="0" w:noVBand="1"/>
      </w:tblPr>
      <w:tblGrid>
        <w:gridCol w:w="2070"/>
        <w:gridCol w:w="6957"/>
      </w:tblGrid>
      <w:tr w:rsidR="00335608" w:rsidRPr="000D2E4D" w14:paraId="68AE5DEF" w14:textId="77777777" w:rsidTr="00D42F51">
        <w:tc>
          <w:tcPr>
            <w:tcW w:w="2070" w:type="dxa"/>
            <w:shd w:val="clear" w:color="auto" w:fill="auto"/>
            <w:vAlign w:val="center"/>
          </w:tcPr>
          <w:p w14:paraId="55B1E747" w14:textId="77777777" w:rsidR="00335608" w:rsidRPr="000D2E4D" w:rsidRDefault="00335608"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5CD206DC" wp14:editId="005E096E">
                  <wp:extent cx="1081405" cy="1081405"/>
                  <wp:effectExtent l="19050" t="0" r="4445" b="0"/>
                  <wp:docPr id="10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9"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6957" w:type="dxa"/>
            <w:shd w:val="clear" w:color="auto" w:fill="auto"/>
            <w:vAlign w:val="center"/>
          </w:tcPr>
          <w:p w14:paraId="25026A22" w14:textId="77777777" w:rsidR="00335608" w:rsidRPr="000D2E4D" w:rsidRDefault="00335608"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16 – </w:t>
            </w:r>
            <w:r w:rsidRPr="000D2E4D">
              <w:rPr>
                <w:rFonts w:ascii="Times New Roman" w:hAnsi="Times New Roman" w:cs="Times New Roman"/>
                <w:b/>
                <w:sz w:val="28"/>
                <w:szCs w:val="28"/>
              </w:rPr>
              <w:t xml:space="preserve">Promote Peaceful </w:t>
            </w:r>
            <w:r w:rsidR="00533574">
              <w:rPr>
                <w:rFonts w:ascii="Times New Roman" w:hAnsi="Times New Roman" w:cs="Times New Roman"/>
                <w:b/>
                <w:sz w:val="28"/>
                <w:szCs w:val="28"/>
              </w:rPr>
              <w:t>a</w:t>
            </w:r>
            <w:r w:rsidRPr="000D2E4D">
              <w:rPr>
                <w:rFonts w:ascii="Times New Roman" w:hAnsi="Times New Roman" w:cs="Times New Roman"/>
                <w:b/>
                <w:sz w:val="28"/>
                <w:szCs w:val="28"/>
              </w:rPr>
              <w:t xml:space="preserve">nd Inclusive Societies For Sustainable Development, Provide Access To Justice For All </w:t>
            </w:r>
            <w:r w:rsidR="00533574">
              <w:rPr>
                <w:rFonts w:ascii="Times New Roman" w:hAnsi="Times New Roman" w:cs="Times New Roman"/>
                <w:b/>
                <w:sz w:val="28"/>
                <w:szCs w:val="28"/>
              </w:rPr>
              <w:t>a</w:t>
            </w:r>
            <w:r w:rsidRPr="000D2E4D">
              <w:rPr>
                <w:rFonts w:ascii="Times New Roman" w:hAnsi="Times New Roman" w:cs="Times New Roman"/>
                <w:b/>
                <w:sz w:val="28"/>
                <w:szCs w:val="28"/>
              </w:rPr>
              <w:t xml:space="preserve">nd Build Effective, Accountable </w:t>
            </w:r>
            <w:r w:rsidR="00533574">
              <w:rPr>
                <w:rFonts w:ascii="Times New Roman" w:hAnsi="Times New Roman" w:cs="Times New Roman"/>
                <w:b/>
                <w:sz w:val="28"/>
                <w:szCs w:val="28"/>
              </w:rPr>
              <w:t>a</w:t>
            </w:r>
            <w:r w:rsidRPr="000D2E4D">
              <w:rPr>
                <w:rFonts w:ascii="Times New Roman" w:hAnsi="Times New Roman" w:cs="Times New Roman"/>
                <w:b/>
                <w:sz w:val="28"/>
                <w:szCs w:val="28"/>
              </w:rPr>
              <w:t>nd Inclusive Institutions At All Levels</w:t>
            </w:r>
          </w:p>
        </w:tc>
      </w:tr>
    </w:tbl>
    <w:p w14:paraId="045693E3"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08741AD3"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Introduction to the Goal</w:t>
      </w:r>
    </w:p>
    <w:p w14:paraId="6935BC55"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9964E9">
        <w:rPr>
          <w:rFonts w:ascii="Times New Roman" w:hAnsi="Times New Roman" w:cs="Times New Roman"/>
          <w:sz w:val="24"/>
          <w:szCs w:val="24"/>
        </w:rPr>
        <w:t>Goal 16 is dedicated to the promotion of peaceful and inclusive societies, ensuring universal access to justice and the creation of responsible, effective institutions. Various measures are considered for monitoring this goal providing an overall account of the degree of safety, justice, participation and freedom of the country. Safety as perceived by citizens is, however, the result of various aspects, and it correlates to the degree of trust placed in law enforcement in comparison to their ability to control the territory. The level of corruption measured reflects the general qualitative description of the country, its institutions and the services for the population. The number of inmates awaiting sentencing and the length of civil proceedings are indicators of the evolution of the efficiency and effectiveness of the judicial system while the status of the institutional system is evaluated through data on citizen satisfaction with their experiences in dealings with providers of public</w:t>
      </w:r>
      <w:r>
        <w:rPr>
          <w:rFonts w:ascii="Times New Roman" w:hAnsi="Times New Roman" w:cs="Times New Roman"/>
          <w:sz w:val="24"/>
          <w:szCs w:val="24"/>
        </w:rPr>
        <w:t xml:space="preserve"> services.</w:t>
      </w:r>
    </w:p>
    <w:p w14:paraId="4D87051C"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FDBE328"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Targets</w:t>
      </w:r>
    </w:p>
    <w:p w14:paraId="41A64328"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9964E9">
        <w:rPr>
          <w:rFonts w:ascii="Times New Roman" w:hAnsi="Times New Roman" w:cs="Times New Roman"/>
          <w:sz w:val="24"/>
          <w:szCs w:val="24"/>
        </w:rPr>
        <w:t xml:space="preserve">Goal 16 is broken down into 12 </w:t>
      </w:r>
      <w:r w:rsidR="00533574">
        <w:rPr>
          <w:rFonts w:ascii="Times New Roman" w:hAnsi="Times New Roman" w:cs="Times New Roman"/>
          <w:sz w:val="24"/>
          <w:szCs w:val="24"/>
        </w:rPr>
        <w:t>t</w:t>
      </w:r>
      <w:r w:rsidRPr="009964E9">
        <w:rPr>
          <w:rFonts w:ascii="Times New Roman" w:hAnsi="Times New Roman" w:cs="Times New Roman"/>
          <w:sz w:val="24"/>
          <w:szCs w:val="24"/>
        </w:rPr>
        <w:t xml:space="preserve">argets, of which the last </w:t>
      </w:r>
      <w:r w:rsidR="00533574">
        <w:rPr>
          <w:rFonts w:ascii="Times New Roman" w:hAnsi="Times New Roman" w:cs="Times New Roman"/>
          <w:sz w:val="24"/>
          <w:szCs w:val="24"/>
        </w:rPr>
        <w:t>two</w:t>
      </w:r>
      <w:r w:rsidRPr="009964E9">
        <w:rPr>
          <w:rFonts w:ascii="Times New Roman" w:hAnsi="Times New Roman" w:cs="Times New Roman"/>
          <w:sz w:val="24"/>
          <w:szCs w:val="24"/>
        </w:rPr>
        <w:t xml:space="preserve"> refer to means of implementation:</w:t>
      </w:r>
    </w:p>
    <w:p w14:paraId="226B3644"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16.1 </w:t>
      </w:r>
    </w:p>
    <w:p w14:paraId="060D954A"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Significantly</w:t>
      </w:r>
      <w:r w:rsidRPr="000D2E4D">
        <w:rPr>
          <w:rFonts w:ascii="Times New Roman" w:hAnsi="Times New Roman" w:cs="Times New Roman"/>
          <w:color w:val="000000"/>
          <w:sz w:val="24"/>
          <w:szCs w:val="24"/>
        </w:rPr>
        <w:t xml:space="preserve"> reduce all forms of violence and related death rates everywhere</w:t>
      </w:r>
      <w:r w:rsidR="00533574">
        <w:rPr>
          <w:rFonts w:ascii="Times New Roman" w:hAnsi="Times New Roman" w:cs="Times New Roman"/>
          <w:color w:val="000000"/>
          <w:sz w:val="24"/>
          <w:szCs w:val="24"/>
        </w:rPr>
        <w:t>.</w:t>
      </w:r>
    </w:p>
    <w:p w14:paraId="5224EF67"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E01331C"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16.2 </w:t>
      </w:r>
    </w:p>
    <w:p w14:paraId="3F129A34"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End</w:t>
      </w:r>
      <w:r w:rsidRPr="000D2E4D">
        <w:rPr>
          <w:rFonts w:ascii="Times New Roman" w:hAnsi="Times New Roman" w:cs="Times New Roman"/>
          <w:color w:val="000000"/>
          <w:sz w:val="24"/>
          <w:szCs w:val="24"/>
        </w:rPr>
        <w:t xml:space="preserve"> abuse, exploitation, trafficking and all forms of violence against and torture of children</w:t>
      </w:r>
      <w:r w:rsidR="00533574">
        <w:rPr>
          <w:rFonts w:ascii="Times New Roman" w:hAnsi="Times New Roman" w:cs="Times New Roman"/>
          <w:color w:val="000000"/>
          <w:sz w:val="24"/>
          <w:szCs w:val="24"/>
        </w:rPr>
        <w:t>.</w:t>
      </w:r>
    </w:p>
    <w:p w14:paraId="47B29F6C"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A9AC69B"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16.3 </w:t>
      </w:r>
    </w:p>
    <w:p w14:paraId="0EC1F005"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Promote</w:t>
      </w:r>
      <w:r w:rsidRPr="000D2E4D">
        <w:rPr>
          <w:rFonts w:ascii="Times New Roman" w:hAnsi="Times New Roman" w:cs="Times New Roman"/>
          <w:color w:val="000000"/>
          <w:sz w:val="24"/>
          <w:szCs w:val="24"/>
        </w:rPr>
        <w:t xml:space="preserve"> the rule of law at the national and international levels and ensure equal access to justice for all</w:t>
      </w:r>
      <w:r w:rsidR="00533574">
        <w:rPr>
          <w:rFonts w:ascii="Times New Roman" w:hAnsi="Times New Roman" w:cs="Times New Roman"/>
          <w:color w:val="000000"/>
          <w:sz w:val="24"/>
          <w:szCs w:val="24"/>
        </w:rPr>
        <w:t>.</w:t>
      </w:r>
    </w:p>
    <w:p w14:paraId="41219CC6"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188312B"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16.4 </w:t>
      </w:r>
    </w:p>
    <w:p w14:paraId="20D32546"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By</w:t>
      </w:r>
      <w:r w:rsidRPr="000D2E4D">
        <w:rPr>
          <w:rFonts w:ascii="Times New Roman" w:hAnsi="Times New Roman" w:cs="Times New Roman"/>
          <w:color w:val="000000"/>
          <w:sz w:val="24"/>
          <w:szCs w:val="24"/>
        </w:rPr>
        <w:t xml:space="preserve"> 2030, significantly reduce illicit financial and arms flows, strengthen the recovery and return of stolen assets and combat all forms of organized crime</w:t>
      </w:r>
      <w:r w:rsidR="00533574">
        <w:rPr>
          <w:rFonts w:ascii="Times New Roman" w:hAnsi="Times New Roman" w:cs="Times New Roman"/>
          <w:color w:val="000000"/>
          <w:sz w:val="24"/>
          <w:szCs w:val="24"/>
        </w:rPr>
        <w:t>.</w:t>
      </w:r>
    </w:p>
    <w:p w14:paraId="5F49C26C"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BB49AD4"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16.5 </w:t>
      </w:r>
    </w:p>
    <w:p w14:paraId="4AA47894"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Substantially</w:t>
      </w:r>
      <w:r w:rsidRPr="000D2E4D">
        <w:rPr>
          <w:rFonts w:ascii="Times New Roman" w:hAnsi="Times New Roman" w:cs="Times New Roman"/>
          <w:color w:val="000000"/>
          <w:sz w:val="24"/>
          <w:szCs w:val="24"/>
        </w:rPr>
        <w:t xml:space="preserve"> reduce corruption and bribery in all their forms</w:t>
      </w:r>
      <w:r w:rsidR="00533574">
        <w:rPr>
          <w:rFonts w:ascii="Times New Roman" w:hAnsi="Times New Roman" w:cs="Times New Roman"/>
          <w:color w:val="000000"/>
          <w:sz w:val="24"/>
          <w:szCs w:val="24"/>
        </w:rPr>
        <w:t>.</w:t>
      </w:r>
    </w:p>
    <w:p w14:paraId="22B29D22"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942F340"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16.6 </w:t>
      </w:r>
    </w:p>
    <w:p w14:paraId="587AA62E"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Develop</w:t>
      </w:r>
      <w:r w:rsidRPr="000D2E4D">
        <w:rPr>
          <w:rFonts w:ascii="Times New Roman" w:hAnsi="Times New Roman" w:cs="Times New Roman"/>
          <w:color w:val="000000"/>
          <w:sz w:val="24"/>
          <w:szCs w:val="24"/>
        </w:rPr>
        <w:t xml:space="preserve"> effective, accountable</w:t>
      </w:r>
      <w:r w:rsidR="00533574">
        <w:rPr>
          <w:rFonts w:ascii="Times New Roman" w:hAnsi="Times New Roman" w:cs="Times New Roman"/>
          <w:color w:val="000000"/>
          <w:sz w:val="24"/>
          <w:szCs w:val="24"/>
        </w:rPr>
        <w:t>,</w:t>
      </w:r>
      <w:r w:rsidRPr="000D2E4D">
        <w:rPr>
          <w:rFonts w:ascii="Times New Roman" w:hAnsi="Times New Roman" w:cs="Times New Roman"/>
          <w:color w:val="000000"/>
          <w:sz w:val="24"/>
          <w:szCs w:val="24"/>
        </w:rPr>
        <w:t xml:space="preserve"> and transparent institutions at all levels</w:t>
      </w:r>
      <w:r w:rsidR="00533574">
        <w:rPr>
          <w:rFonts w:ascii="Times New Roman" w:hAnsi="Times New Roman" w:cs="Times New Roman"/>
          <w:color w:val="000000"/>
          <w:sz w:val="24"/>
          <w:szCs w:val="24"/>
        </w:rPr>
        <w:t>.</w:t>
      </w:r>
    </w:p>
    <w:p w14:paraId="74461AEF"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0843610"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16.7 </w:t>
      </w:r>
    </w:p>
    <w:p w14:paraId="2B1AEBBD"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Ensure responsive, inclusive, participatory and representative decision-making at all levels</w:t>
      </w:r>
      <w:r w:rsidR="00533574">
        <w:rPr>
          <w:rFonts w:ascii="Times New Roman" w:hAnsi="Times New Roman" w:cs="Times New Roman"/>
          <w:color w:val="000000"/>
          <w:sz w:val="24"/>
          <w:szCs w:val="24"/>
        </w:rPr>
        <w:t>.</w:t>
      </w:r>
    </w:p>
    <w:p w14:paraId="42D28907" w14:textId="77777777" w:rsidR="0071415F" w:rsidRPr="00C4438A" w:rsidRDefault="0071415F" w:rsidP="0071415F">
      <w:pPr>
        <w:autoSpaceDE w:val="0"/>
        <w:autoSpaceDN w:val="0"/>
        <w:bidi w:val="0"/>
        <w:adjustRightInd w:val="0"/>
        <w:spacing w:after="0" w:line="240" w:lineRule="auto"/>
        <w:jc w:val="both"/>
        <w:rPr>
          <w:rFonts w:ascii="Times New Roman" w:eastAsia="Arial Narrow" w:hAnsi="Times New Roman" w:cs="Times New Roman"/>
          <w:b/>
          <w:bCs/>
          <w:spacing w:val="10"/>
          <w:sz w:val="10"/>
          <w:szCs w:val="10"/>
        </w:rPr>
      </w:pPr>
    </w:p>
    <w:p w14:paraId="21DFA371"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16.8 </w:t>
      </w:r>
    </w:p>
    <w:p w14:paraId="1B8DEDFC"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Broaden and strengthen the participation of developing countries in the institutions of global </w:t>
      </w:r>
      <w:r w:rsidRPr="00B15ACB">
        <w:rPr>
          <w:rFonts w:ascii="Times New Roman" w:hAnsi="Times New Roman" w:cs="Times New Roman"/>
          <w:sz w:val="24"/>
          <w:szCs w:val="24"/>
        </w:rPr>
        <w:t>governance</w:t>
      </w:r>
      <w:r w:rsidR="00533574">
        <w:rPr>
          <w:rFonts w:ascii="Times New Roman" w:hAnsi="Times New Roman" w:cs="Times New Roman"/>
          <w:sz w:val="24"/>
          <w:szCs w:val="24"/>
        </w:rPr>
        <w:t>.</w:t>
      </w:r>
    </w:p>
    <w:p w14:paraId="2EEF9E69"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99CEF06"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16.9</w:t>
      </w:r>
    </w:p>
    <w:p w14:paraId="548A7A97"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By</w:t>
      </w:r>
      <w:r w:rsidRPr="000D2E4D">
        <w:rPr>
          <w:rFonts w:ascii="Times New Roman" w:hAnsi="Times New Roman" w:cs="Times New Roman"/>
          <w:color w:val="000000"/>
          <w:sz w:val="24"/>
          <w:szCs w:val="24"/>
        </w:rPr>
        <w:t xml:space="preserve"> 2030, provide legal identity for all including birth registration</w:t>
      </w:r>
      <w:r w:rsidR="00533574">
        <w:rPr>
          <w:rFonts w:ascii="Times New Roman" w:hAnsi="Times New Roman" w:cs="Times New Roman"/>
          <w:color w:val="000000"/>
          <w:sz w:val="24"/>
          <w:szCs w:val="24"/>
        </w:rPr>
        <w:t>.</w:t>
      </w:r>
    </w:p>
    <w:p w14:paraId="5F8DE2A6"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16.10 </w:t>
      </w:r>
    </w:p>
    <w:p w14:paraId="613CD471"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Ensure</w:t>
      </w:r>
      <w:r w:rsidRPr="000D2E4D">
        <w:rPr>
          <w:rFonts w:ascii="Times New Roman" w:hAnsi="Times New Roman" w:cs="Times New Roman"/>
          <w:color w:val="000000"/>
          <w:sz w:val="24"/>
          <w:szCs w:val="24"/>
        </w:rPr>
        <w:t xml:space="preserve"> public access to information and protect fundamental freedoms in accordance with national legislation and international agreements</w:t>
      </w:r>
      <w:r w:rsidR="00533574">
        <w:rPr>
          <w:rFonts w:ascii="Times New Roman" w:hAnsi="Times New Roman" w:cs="Times New Roman"/>
          <w:color w:val="000000"/>
          <w:sz w:val="24"/>
          <w:szCs w:val="24"/>
        </w:rPr>
        <w:t>.</w:t>
      </w:r>
    </w:p>
    <w:p w14:paraId="75AEE098"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0EB167D"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lastRenderedPageBreak/>
        <w:t>16.a</w:t>
      </w:r>
    </w:p>
    <w:p w14:paraId="65CA8935"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Strengthen</w:t>
      </w:r>
      <w:r w:rsidRPr="000D2E4D">
        <w:rPr>
          <w:rFonts w:ascii="Times New Roman" w:hAnsi="Times New Roman" w:cs="Times New Roman"/>
          <w:color w:val="000000"/>
          <w:sz w:val="24"/>
          <w:szCs w:val="24"/>
        </w:rPr>
        <w:t xml:space="preserve"> relevant national institutions including through international cooperation, for building capacity at all levels, particular</w:t>
      </w:r>
      <w:r w:rsidR="00533574">
        <w:rPr>
          <w:rFonts w:ascii="Times New Roman" w:hAnsi="Times New Roman" w:cs="Times New Roman"/>
          <w:color w:val="000000"/>
          <w:sz w:val="24"/>
          <w:szCs w:val="24"/>
        </w:rPr>
        <w:t>ly</w:t>
      </w:r>
      <w:r w:rsidRPr="000D2E4D">
        <w:rPr>
          <w:rFonts w:ascii="Times New Roman" w:hAnsi="Times New Roman" w:cs="Times New Roman"/>
          <w:color w:val="000000"/>
          <w:sz w:val="24"/>
          <w:szCs w:val="24"/>
        </w:rPr>
        <w:t xml:space="preserve"> in developing countries to prevent violence and combat terrorism and crime</w:t>
      </w:r>
      <w:r w:rsidR="00533574">
        <w:rPr>
          <w:rFonts w:ascii="Times New Roman" w:hAnsi="Times New Roman" w:cs="Times New Roman"/>
          <w:color w:val="000000"/>
          <w:sz w:val="24"/>
          <w:szCs w:val="24"/>
        </w:rPr>
        <w:t>.</w:t>
      </w:r>
    </w:p>
    <w:p w14:paraId="25FEA141"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47CFCC7"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16.b</w:t>
      </w:r>
    </w:p>
    <w:p w14:paraId="39FA20AE"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Promote and enforce non-discriminatory laws and policies for sustainable development.</w:t>
      </w:r>
    </w:p>
    <w:p w14:paraId="4BC48A81" w14:textId="77777777" w:rsidR="0071415F" w:rsidRPr="00D04AB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E0241CB" w14:textId="77777777" w:rsidR="0071415F" w:rsidRPr="00A6200E" w:rsidRDefault="0071415F" w:rsidP="00FB1314">
      <w:pPr>
        <w:pStyle w:val="ListParagraph"/>
        <w:numPr>
          <w:ilvl w:val="0"/>
          <w:numId w:val="20"/>
        </w:numPr>
        <w:autoSpaceDE w:val="0"/>
        <w:autoSpaceDN w:val="0"/>
        <w:adjustRightInd w:val="0"/>
        <w:spacing w:after="0" w:line="240" w:lineRule="auto"/>
        <w:jc w:val="both"/>
        <w:rPr>
          <w:rFonts w:ascii="Times New Roman" w:hAnsi="Times New Roman" w:cs="Times New Roman"/>
          <w:b/>
          <w:bCs/>
          <w:sz w:val="24"/>
          <w:szCs w:val="24"/>
        </w:rPr>
      </w:pPr>
      <w:r w:rsidRPr="00A6200E">
        <w:rPr>
          <w:rFonts w:ascii="Times New Roman" w:hAnsi="Times New Roman" w:cs="Times New Roman"/>
          <w:b/>
          <w:bCs/>
          <w:sz w:val="24"/>
          <w:szCs w:val="24"/>
        </w:rPr>
        <w:t>Indicators released by PCBS</w:t>
      </w:r>
    </w:p>
    <w:p w14:paraId="47A2D4CC"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D04AB8">
        <w:rPr>
          <w:rFonts w:ascii="Times New Roman" w:hAnsi="Times New Roman" w:cs="Times New Roman"/>
          <w:sz w:val="24"/>
          <w:szCs w:val="24"/>
        </w:rPr>
        <w:t>There</w:t>
      </w:r>
      <w:r w:rsidRPr="00D04AB8">
        <w:rPr>
          <w:rFonts w:ascii="Times New Roman" w:hAnsi="Times New Roman" w:cs="Times New Roman"/>
          <w:sz w:val="24"/>
          <w:szCs w:val="24"/>
          <w:lang w:eastAsia="it-IT"/>
        </w:rPr>
        <w:t xml:space="preserve"> are </w:t>
      </w:r>
      <w:r>
        <w:rPr>
          <w:rFonts w:ascii="Times New Roman" w:hAnsi="Times New Roman" w:cs="Times New Roman"/>
          <w:sz w:val="24"/>
          <w:szCs w:val="24"/>
          <w:lang w:eastAsia="it-IT"/>
        </w:rPr>
        <w:t>18</w:t>
      </w:r>
      <w:r w:rsidRPr="00D04AB8">
        <w:rPr>
          <w:rFonts w:ascii="Times New Roman" w:hAnsi="Times New Roman" w:cs="Times New Roman"/>
          <w:sz w:val="24"/>
          <w:szCs w:val="24"/>
          <w:lang w:eastAsia="it-IT"/>
        </w:rPr>
        <w:t xml:space="preserve"> indicators released by PCBS for Goal 16, represent</w:t>
      </w:r>
      <w:r w:rsidR="00533574">
        <w:rPr>
          <w:rFonts w:ascii="Times New Roman" w:hAnsi="Times New Roman" w:cs="Times New Roman"/>
          <w:sz w:val="24"/>
          <w:szCs w:val="24"/>
          <w:lang w:eastAsia="it-IT"/>
        </w:rPr>
        <w:t>ing</w:t>
      </w:r>
      <w:r>
        <w:rPr>
          <w:rFonts w:ascii="Times New Roman" w:hAnsi="Times New Roman" w:cs="Times New Roman"/>
          <w:sz w:val="24"/>
          <w:szCs w:val="24"/>
          <w:lang w:eastAsia="it-IT"/>
        </w:rPr>
        <w:t>28</w:t>
      </w:r>
      <w:r w:rsidRPr="00D04AB8">
        <w:rPr>
          <w:rFonts w:ascii="Times New Roman" w:hAnsi="Times New Roman" w:cs="Times New Roman"/>
          <w:sz w:val="24"/>
          <w:szCs w:val="24"/>
          <w:lang w:eastAsia="it-IT"/>
        </w:rPr>
        <w:t xml:space="preserve"> data point</w:t>
      </w:r>
      <w:r w:rsidR="00533574">
        <w:rPr>
          <w:rFonts w:ascii="Times New Roman" w:hAnsi="Times New Roman" w:cs="Times New Roman"/>
          <w:sz w:val="24"/>
          <w:szCs w:val="24"/>
          <w:lang w:eastAsia="it-IT"/>
        </w:rPr>
        <w:t>s</w:t>
      </w:r>
      <w:r w:rsidRPr="00D04AB8">
        <w:rPr>
          <w:rFonts w:ascii="Times New Roman" w:hAnsi="Times New Roman" w:cs="Times New Roman"/>
          <w:sz w:val="24"/>
          <w:szCs w:val="24"/>
          <w:lang w:eastAsia="it-IT"/>
        </w:rPr>
        <w:t xml:space="preserve">, referring to </w:t>
      </w:r>
      <w:r>
        <w:rPr>
          <w:rFonts w:ascii="Times New Roman" w:hAnsi="Times New Roman" w:cs="Times New Roman"/>
          <w:sz w:val="24"/>
          <w:szCs w:val="24"/>
          <w:lang w:eastAsia="it-IT"/>
        </w:rPr>
        <w:t xml:space="preserve">11 </w:t>
      </w:r>
      <w:r w:rsidRPr="00D04AB8">
        <w:rPr>
          <w:rFonts w:ascii="Times New Roman" w:hAnsi="Times New Roman" w:cs="Times New Roman"/>
          <w:sz w:val="24"/>
          <w:szCs w:val="24"/>
          <w:lang w:eastAsia="it-IT"/>
        </w:rPr>
        <w:t>of the 12 targets</w:t>
      </w:r>
      <w:r w:rsidR="00533574">
        <w:rPr>
          <w:rFonts w:ascii="Times New Roman" w:hAnsi="Times New Roman" w:cs="Times New Roman"/>
          <w:sz w:val="24"/>
          <w:szCs w:val="24"/>
          <w:lang w:eastAsia="it-IT"/>
        </w:rPr>
        <w:t xml:space="preserve">; </w:t>
      </w:r>
      <w:r w:rsidR="00533574">
        <w:rPr>
          <w:rFonts w:ascii="Times New Roman" w:hAnsi="Times New Roman" w:cs="Times New Roman"/>
          <w:sz w:val="24"/>
          <w:szCs w:val="24"/>
        </w:rPr>
        <w:t>t</w:t>
      </w:r>
      <w:r w:rsidRPr="001D5BA6">
        <w:rPr>
          <w:rFonts w:ascii="Times New Roman" w:hAnsi="Times New Roman" w:cs="Times New Roman"/>
          <w:sz w:val="24"/>
          <w:szCs w:val="24"/>
        </w:rPr>
        <w:t xml:space="preserve">herefore, </w:t>
      </w:r>
      <w:r>
        <w:rPr>
          <w:rFonts w:ascii="Times New Roman" w:hAnsi="Times New Roman" w:cs="Times New Roman"/>
          <w:sz w:val="24"/>
          <w:szCs w:val="24"/>
        </w:rPr>
        <w:t xml:space="preserve">91.6%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533574">
        <w:rPr>
          <w:rFonts w:ascii="Times New Roman" w:hAnsi="Times New Roman" w:cs="Times New Roman"/>
          <w:sz w:val="24"/>
          <w:szCs w:val="24"/>
        </w:rPr>
        <w:t>11</w:t>
      </w:r>
      <w:r>
        <w:rPr>
          <w:rFonts w:ascii="Times New Roman" w:hAnsi="Times New Roman" w:cs="Times New Roman"/>
          <w:sz w:val="24"/>
          <w:szCs w:val="24"/>
        </w:rPr>
        <w:t xml:space="preserve"> out of </w:t>
      </w:r>
      <w:r w:rsidR="00533574">
        <w:rPr>
          <w:rFonts w:ascii="Times New Roman" w:hAnsi="Times New Roman" w:cs="Times New Roman"/>
          <w:sz w:val="24"/>
          <w:szCs w:val="24"/>
        </w:rPr>
        <w:t>12</w:t>
      </w:r>
      <w:r>
        <w:rPr>
          <w:rFonts w:ascii="Times New Roman" w:hAnsi="Times New Roman" w:cs="Times New Roman"/>
          <w:sz w:val="24"/>
          <w:szCs w:val="24"/>
        </w:rPr>
        <w:t>)</w:t>
      </w:r>
      <w:r w:rsidR="00533574">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533574">
        <w:rPr>
          <w:rFonts w:ascii="Times New Roman" w:hAnsi="Times New Roman" w:cs="Times New Roman"/>
          <w:sz w:val="24"/>
          <w:szCs w:val="24"/>
        </w:rPr>
        <w:t xml:space="preserve"> covered.</w:t>
      </w:r>
    </w:p>
    <w:p w14:paraId="4CCA7DF6" w14:textId="77777777" w:rsidR="0071415F" w:rsidRPr="00D04AB8" w:rsidRDefault="0071415F" w:rsidP="0071415F">
      <w:pPr>
        <w:autoSpaceDE w:val="0"/>
        <w:autoSpaceDN w:val="0"/>
        <w:bidi w:val="0"/>
        <w:adjustRightInd w:val="0"/>
        <w:spacing w:after="0" w:line="240" w:lineRule="auto"/>
        <w:jc w:val="both"/>
        <w:rPr>
          <w:rFonts w:ascii="Times New Roman" w:hAnsi="Times New Roman" w:cs="Times New Roman"/>
          <w:sz w:val="24"/>
          <w:szCs w:val="24"/>
          <w:lang w:eastAsia="it-IT"/>
        </w:rPr>
      </w:pPr>
    </w:p>
    <w:p w14:paraId="0F4F16C5" w14:textId="77777777" w:rsidR="0071415F" w:rsidRDefault="0071415F" w:rsidP="0071415F">
      <w:pPr>
        <w:tabs>
          <w:tab w:val="left" w:pos="9072"/>
        </w:tabs>
        <w:bidi w:val="0"/>
        <w:spacing w:after="0" w:line="240" w:lineRule="auto"/>
        <w:jc w:val="center"/>
        <w:rPr>
          <w:rFonts w:ascii="Arial" w:hAnsi="Arial"/>
          <w:b/>
          <w:bCs/>
        </w:rPr>
      </w:pPr>
      <w:r>
        <w:rPr>
          <w:rFonts w:ascii="Arial" w:hAnsi="Arial"/>
          <w:b/>
          <w:bCs/>
        </w:rPr>
        <w:t>Table 16.1:</w:t>
      </w:r>
      <w:r w:rsidRPr="00422BE3">
        <w:rPr>
          <w:rFonts w:ascii="Arial" w:hAnsi="Arial"/>
          <w:b/>
          <w:bCs/>
        </w:rPr>
        <w:t xml:space="preserve"> List </w:t>
      </w:r>
      <w:r>
        <w:rPr>
          <w:rFonts w:ascii="Arial" w:hAnsi="Arial"/>
          <w:b/>
          <w:bCs/>
        </w:rPr>
        <w:t>o</w:t>
      </w:r>
      <w:r w:rsidRPr="00422BE3">
        <w:rPr>
          <w:rFonts w:ascii="Arial" w:hAnsi="Arial"/>
          <w:b/>
          <w:bCs/>
        </w:rPr>
        <w:t>f SDG Indicators Released by PCBS</w:t>
      </w:r>
    </w:p>
    <w:p w14:paraId="68293338" w14:textId="77777777" w:rsidR="0071415F" w:rsidRPr="00C4438A" w:rsidRDefault="0071415F" w:rsidP="0071415F">
      <w:pPr>
        <w:tabs>
          <w:tab w:val="left" w:pos="9072"/>
        </w:tabs>
        <w:bidi w:val="0"/>
        <w:spacing w:after="0" w:line="240" w:lineRule="auto"/>
        <w:jc w:val="center"/>
        <w:rPr>
          <w:rFonts w:ascii="Arial" w:hAnsi="Arial"/>
          <w:b/>
          <w:bCs/>
          <w:sz w:val="12"/>
          <w:szCs w:val="12"/>
        </w:rPr>
      </w:pPr>
    </w:p>
    <w:tbl>
      <w:tblPr>
        <w:tblW w:w="5395" w:type="pct"/>
        <w:jc w:val="center"/>
        <w:tblLook w:val="04A0" w:firstRow="1" w:lastRow="0" w:firstColumn="1" w:lastColumn="0" w:noHBand="0" w:noVBand="1"/>
      </w:tblPr>
      <w:tblGrid>
        <w:gridCol w:w="4689"/>
        <w:gridCol w:w="1469"/>
        <w:gridCol w:w="1087"/>
        <w:gridCol w:w="1034"/>
        <w:gridCol w:w="1543"/>
      </w:tblGrid>
      <w:tr w:rsidR="00144912" w:rsidRPr="00C06ADB" w14:paraId="2C271072" w14:textId="77777777" w:rsidTr="00137121">
        <w:trPr>
          <w:trHeight w:val="504"/>
          <w:tblHeader/>
          <w:jc w:val="center"/>
        </w:trPr>
        <w:tc>
          <w:tcPr>
            <w:tcW w:w="4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ED944" w14:textId="77777777" w:rsidR="0071415F" w:rsidRPr="00C06ADB" w:rsidRDefault="0071415F" w:rsidP="0071415F">
            <w:pPr>
              <w:bidi w:val="0"/>
              <w:spacing w:after="0" w:line="240" w:lineRule="auto"/>
              <w:jc w:val="center"/>
              <w:rPr>
                <w:rFonts w:asciiTheme="minorBidi" w:hAnsiTheme="minorBidi" w:cstheme="minorBidi"/>
                <w:b/>
                <w:bCs/>
                <w:sz w:val="18"/>
                <w:szCs w:val="18"/>
              </w:rPr>
            </w:pPr>
            <w:r w:rsidRPr="00C06ADB">
              <w:rPr>
                <w:rFonts w:asciiTheme="minorBidi" w:hAnsiTheme="minorBidi" w:cstheme="minorBidi"/>
                <w:b/>
                <w:bCs/>
                <w:sz w:val="18"/>
                <w:szCs w:val="18"/>
              </w:rPr>
              <w:t>Indicator</w:t>
            </w:r>
          </w:p>
        </w:tc>
        <w:tc>
          <w:tcPr>
            <w:tcW w:w="1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01CB16" w14:textId="77777777" w:rsidR="0071415F" w:rsidRPr="00C06ADB" w:rsidRDefault="0071415F" w:rsidP="0071415F">
            <w:pPr>
              <w:bidi w:val="0"/>
              <w:spacing w:after="0" w:line="240" w:lineRule="auto"/>
              <w:jc w:val="center"/>
              <w:rPr>
                <w:rFonts w:asciiTheme="minorBidi" w:hAnsiTheme="minorBidi" w:cstheme="minorBidi"/>
                <w:b/>
                <w:bCs/>
                <w:sz w:val="18"/>
                <w:szCs w:val="18"/>
                <w:lang w:val="en-GB"/>
              </w:rPr>
            </w:pPr>
            <w:r w:rsidRPr="00C06ADB">
              <w:rPr>
                <w:rStyle w:val="Bodytext8ptBoldSpacing0pt2"/>
                <w:rFonts w:asciiTheme="minorBidi" w:hAnsiTheme="minorBidi" w:cstheme="minorBidi"/>
                <w:color w:val="auto"/>
                <w:sz w:val="18"/>
                <w:szCs w:val="18"/>
              </w:rPr>
              <w:t xml:space="preserve">Referring to the SDG </w:t>
            </w:r>
            <w:r w:rsidR="00533574">
              <w:rPr>
                <w:rStyle w:val="Bodytext8ptBoldSpacing0pt2"/>
                <w:rFonts w:asciiTheme="minorBidi" w:hAnsiTheme="minorBidi" w:cstheme="minorBidi"/>
                <w:color w:val="auto"/>
                <w:sz w:val="18"/>
                <w:szCs w:val="18"/>
              </w:rPr>
              <w:t>i</w:t>
            </w:r>
            <w:r w:rsidRPr="00C06ADB">
              <w:rPr>
                <w:rStyle w:val="Bodytext8ptBoldSpacing0pt2"/>
                <w:rFonts w:asciiTheme="minorBidi" w:hAnsiTheme="minorBidi" w:cstheme="minorBidi"/>
                <w:color w:val="auto"/>
                <w:sz w:val="18"/>
                <w:szCs w:val="18"/>
              </w:rPr>
              <w:t>ndicator</w:t>
            </w:r>
          </w:p>
        </w:tc>
        <w:tc>
          <w:tcPr>
            <w:tcW w:w="1249" w:type="dxa"/>
            <w:tcBorders>
              <w:top w:val="single" w:sz="4" w:space="0" w:color="auto"/>
              <w:left w:val="single" w:sz="4" w:space="0" w:color="auto"/>
              <w:bottom w:val="single" w:sz="4" w:space="0" w:color="auto"/>
              <w:right w:val="single" w:sz="4" w:space="0" w:color="auto"/>
            </w:tcBorders>
            <w:vAlign w:val="center"/>
          </w:tcPr>
          <w:p w14:paraId="4BD8EC79" w14:textId="77777777" w:rsidR="0071415F" w:rsidRPr="00C06ADB" w:rsidRDefault="0071415F" w:rsidP="0071415F">
            <w:pPr>
              <w:bidi w:val="0"/>
              <w:spacing w:after="0" w:line="240" w:lineRule="auto"/>
              <w:jc w:val="center"/>
              <w:rPr>
                <w:rStyle w:val="Bodytext8ptBoldSpacing0pt2"/>
                <w:rFonts w:asciiTheme="minorBidi" w:hAnsiTheme="minorBidi" w:cstheme="minorBidi"/>
                <w:color w:val="auto"/>
                <w:sz w:val="18"/>
                <w:szCs w:val="18"/>
              </w:rPr>
            </w:pPr>
            <w:r w:rsidRPr="00C06ADB">
              <w:rPr>
                <w:rStyle w:val="Bodytext8ptBoldSpacing0pt2"/>
                <w:rFonts w:asciiTheme="minorBidi" w:hAnsiTheme="minorBidi" w:cstheme="minorBidi"/>
                <w:color w:val="auto"/>
                <w:sz w:val="18"/>
                <w:szCs w:val="18"/>
              </w:rPr>
              <w:t>Previous data point</w:t>
            </w:r>
          </w:p>
        </w:tc>
        <w:tc>
          <w:tcPr>
            <w:tcW w:w="1070" w:type="dxa"/>
            <w:tcBorders>
              <w:top w:val="single" w:sz="4" w:space="0" w:color="auto"/>
              <w:left w:val="single" w:sz="4" w:space="0" w:color="auto"/>
              <w:bottom w:val="single" w:sz="4" w:space="0" w:color="auto"/>
              <w:right w:val="single" w:sz="4" w:space="0" w:color="auto"/>
            </w:tcBorders>
            <w:vAlign w:val="center"/>
          </w:tcPr>
          <w:p w14:paraId="5BF4C3DC" w14:textId="77777777" w:rsidR="0071415F" w:rsidRPr="00C06ADB" w:rsidRDefault="0071415F" w:rsidP="0071415F">
            <w:pPr>
              <w:bidi w:val="0"/>
              <w:spacing w:after="0" w:line="240" w:lineRule="auto"/>
              <w:jc w:val="center"/>
              <w:rPr>
                <w:rFonts w:asciiTheme="minorBidi" w:hAnsiTheme="minorBidi" w:cstheme="minorBidi"/>
                <w:b/>
                <w:bCs/>
                <w:sz w:val="18"/>
                <w:szCs w:val="18"/>
              </w:rPr>
            </w:pPr>
            <w:r w:rsidRPr="00C06ADB">
              <w:rPr>
                <w:rStyle w:val="Bodytext8ptBoldSpacing0pt2"/>
                <w:rFonts w:asciiTheme="minorBidi" w:hAnsiTheme="minorBidi" w:cstheme="minorBidi"/>
                <w:color w:val="auto"/>
                <w:sz w:val="18"/>
                <w:szCs w:val="18"/>
              </w:rPr>
              <w:t>Last Available Value</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0AA9F5" w14:textId="77777777" w:rsidR="0071415F" w:rsidRPr="00C06ADB" w:rsidRDefault="0071415F" w:rsidP="0071415F">
            <w:pPr>
              <w:bidi w:val="0"/>
              <w:spacing w:after="0" w:line="240" w:lineRule="auto"/>
              <w:jc w:val="center"/>
              <w:rPr>
                <w:rStyle w:val="Bodytext8ptBoldSpacing0pt2"/>
                <w:rFonts w:asciiTheme="minorBidi" w:hAnsiTheme="minorBidi" w:cstheme="minorBidi"/>
                <w:b w:val="0"/>
                <w:bCs w:val="0"/>
                <w:color w:val="auto"/>
                <w:sz w:val="18"/>
                <w:szCs w:val="18"/>
              </w:rPr>
            </w:pPr>
            <w:r w:rsidRPr="00C06ADB">
              <w:rPr>
                <w:rFonts w:asciiTheme="minorBidi" w:hAnsiTheme="minorBidi" w:cstheme="minorBidi"/>
                <w:b/>
                <w:bCs/>
                <w:sz w:val="18"/>
                <w:szCs w:val="18"/>
              </w:rPr>
              <w:t>Compared to the previous data point</w:t>
            </w:r>
          </w:p>
        </w:tc>
      </w:tr>
      <w:tr w:rsidR="00144912" w:rsidRPr="00C06ADB" w14:paraId="2A64C0FD"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hideMark/>
          </w:tcPr>
          <w:p w14:paraId="71AEA33A" w14:textId="77777777"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16.1.1</w:t>
            </w:r>
            <w:r w:rsidRPr="00C06ADB">
              <w:rPr>
                <w:rFonts w:asciiTheme="minorBidi" w:hAnsiTheme="minorBidi" w:cstheme="minorBidi"/>
                <w:sz w:val="18"/>
                <w:szCs w:val="18"/>
              </w:rPr>
              <w:t xml:space="preserve"> Number of victims of intentional homicide per 100,000 population, by age and sex</w:t>
            </w:r>
          </w:p>
        </w:tc>
        <w:tc>
          <w:tcPr>
            <w:tcW w:w="1469" w:type="dxa"/>
            <w:tcBorders>
              <w:top w:val="single" w:sz="4" w:space="0" w:color="auto"/>
              <w:left w:val="single" w:sz="4" w:space="0" w:color="auto"/>
              <w:right w:val="single" w:sz="4" w:space="0" w:color="auto"/>
            </w:tcBorders>
            <w:shd w:val="clear" w:color="auto" w:fill="auto"/>
            <w:noWrap/>
            <w:hideMark/>
          </w:tcPr>
          <w:p w14:paraId="53B8E2A7"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tcPr>
          <w:p w14:paraId="76DC00CC"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tcPr>
          <w:p w14:paraId="71179408"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tcPr>
          <w:p w14:paraId="3096F5E9"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3240C22F" w14:textId="77777777" w:rsidTr="00137121">
        <w:trPr>
          <w:trHeight w:val="389"/>
          <w:jc w:val="center"/>
        </w:trPr>
        <w:tc>
          <w:tcPr>
            <w:tcW w:w="4689" w:type="dxa"/>
            <w:tcBorders>
              <w:top w:val="nil"/>
              <w:left w:val="single" w:sz="4" w:space="0" w:color="auto"/>
              <w:right w:val="single" w:sz="4" w:space="0" w:color="auto"/>
            </w:tcBorders>
            <w:shd w:val="clear" w:color="auto" w:fill="auto"/>
            <w:noWrap/>
            <w:vAlign w:val="center"/>
            <w:hideMark/>
          </w:tcPr>
          <w:p w14:paraId="764C7F7A" w14:textId="0F8BEAFB" w:rsidR="00144912" w:rsidRPr="00C06ADB" w:rsidRDefault="00144912" w:rsidP="00A858A6">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Number of victims of intentional homicide per 100,000 population (Palestinian Civil Police, </w:t>
            </w:r>
            <w:r w:rsidR="00A858A6">
              <w:rPr>
                <w:rFonts w:asciiTheme="minorBidi" w:hAnsiTheme="minorBidi" w:cstheme="minorBidi"/>
                <w:sz w:val="18"/>
                <w:szCs w:val="18"/>
              </w:rPr>
              <w:t>2022</w:t>
            </w:r>
            <w:r w:rsidRPr="00C06ADB">
              <w:rPr>
                <w:rFonts w:asciiTheme="minorBidi" w:hAnsiTheme="minorBidi" w:cstheme="minorBidi"/>
                <w:sz w:val="18"/>
                <w:szCs w:val="18"/>
              </w:rPr>
              <w:t>, per 100,000 population)</w:t>
            </w:r>
          </w:p>
        </w:tc>
        <w:tc>
          <w:tcPr>
            <w:tcW w:w="1469" w:type="dxa"/>
            <w:tcBorders>
              <w:top w:val="nil"/>
              <w:left w:val="single" w:sz="4" w:space="0" w:color="auto"/>
              <w:right w:val="single" w:sz="4" w:space="0" w:color="auto"/>
            </w:tcBorders>
            <w:shd w:val="clear" w:color="auto" w:fill="auto"/>
            <w:noWrap/>
            <w:hideMark/>
          </w:tcPr>
          <w:p w14:paraId="6FC355CA"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nil"/>
              <w:left w:val="single" w:sz="4" w:space="0" w:color="auto"/>
              <w:right w:val="single" w:sz="4" w:space="0" w:color="auto"/>
            </w:tcBorders>
          </w:tcPr>
          <w:p w14:paraId="33BF2AEF" w14:textId="6094AEAF" w:rsidR="00144912" w:rsidRPr="00C06ADB" w:rsidRDefault="00A858A6" w:rsidP="00A858A6">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1.2</w:t>
            </w:r>
            <w:r w:rsidR="00144912" w:rsidRPr="00C06ADB">
              <w:rPr>
                <w:rFonts w:asciiTheme="minorBidi" w:hAnsiTheme="minorBidi" w:cstheme="minorBidi"/>
                <w:sz w:val="18"/>
                <w:szCs w:val="18"/>
              </w:rPr>
              <w:t xml:space="preserve"> (202</w:t>
            </w:r>
            <w:r>
              <w:rPr>
                <w:rFonts w:asciiTheme="minorBidi" w:hAnsiTheme="minorBidi" w:cstheme="minorBidi"/>
                <w:sz w:val="18"/>
                <w:szCs w:val="18"/>
              </w:rPr>
              <w:t>1</w:t>
            </w:r>
            <w:r w:rsidR="00144912" w:rsidRPr="00C06ADB">
              <w:rPr>
                <w:rFonts w:asciiTheme="minorBidi" w:hAnsiTheme="minorBidi" w:cstheme="minorBidi"/>
                <w:sz w:val="18"/>
                <w:szCs w:val="18"/>
              </w:rPr>
              <w:t>)*</w:t>
            </w:r>
          </w:p>
        </w:tc>
        <w:tc>
          <w:tcPr>
            <w:tcW w:w="1070" w:type="dxa"/>
            <w:tcBorders>
              <w:top w:val="nil"/>
              <w:left w:val="single" w:sz="4" w:space="0" w:color="auto"/>
              <w:right w:val="single" w:sz="4" w:space="0" w:color="auto"/>
            </w:tcBorders>
          </w:tcPr>
          <w:p w14:paraId="47DED2BD" w14:textId="441D4FAE" w:rsidR="00144912" w:rsidRPr="00C06ADB" w:rsidRDefault="00144912" w:rsidP="00A858A6">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1.</w:t>
            </w:r>
            <w:r w:rsidR="00A858A6">
              <w:rPr>
                <w:rFonts w:asciiTheme="minorBidi" w:hAnsiTheme="minorBidi" w:cstheme="minorBidi"/>
                <w:sz w:val="18"/>
                <w:szCs w:val="18"/>
              </w:rPr>
              <w:t>1</w:t>
            </w:r>
            <w:r w:rsidR="00FD543A" w:rsidRPr="00C06ADB">
              <w:rPr>
                <w:rFonts w:asciiTheme="minorBidi" w:hAnsiTheme="minorBidi" w:cstheme="minorBidi"/>
                <w:sz w:val="18"/>
                <w:szCs w:val="18"/>
              </w:rPr>
              <w:t>*</w:t>
            </w:r>
          </w:p>
        </w:tc>
        <w:tc>
          <w:tcPr>
            <w:tcW w:w="1543" w:type="dxa"/>
            <w:tcBorders>
              <w:top w:val="nil"/>
              <w:left w:val="single" w:sz="4" w:space="0" w:color="auto"/>
              <w:right w:val="single" w:sz="4" w:space="0" w:color="auto"/>
            </w:tcBorders>
            <w:shd w:val="clear" w:color="auto" w:fill="auto"/>
            <w:noWrap/>
          </w:tcPr>
          <w:p w14:paraId="4A47742D"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2BC4C57E" w14:textId="77777777" w:rsidTr="00137121">
        <w:trPr>
          <w:trHeight w:val="389"/>
          <w:jc w:val="center"/>
        </w:trPr>
        <w:tc>
          <w:tcPr>
            <w:tcW w:w="4689" w:type="dxa"/>
            <w:tcBorders>
              <w:left w:val="single" w:sz="4" w:space="0" w:color="auto"/>
              <w:bottom w:val="single" w:sz="4" w:space="0" w:color="auto"/>
              <w:right w:val="single" w:sz="4" w:space="0" w:color="auto"/>
            </w:tcBorders>
            <w:shd w:val="clear" w:color="auto" w:fill="auto"/>
            <w:noWrap/>
            <w:vAlign w:val="center"/>
          </w:tcPr>
          <w:p w14:paraId="796644C3" w14:textId="00AC729C" w:rsidR="00144912" w:rsidRPr="00C06ADB" w:rsidRDefault="00144912" w:rsidP="00A858A6">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Number of victims of intentional homicide (Palestinian Civil Police, </w:t>
            </w:r>
            <w:r w:rsidR="00A858A6">
              <w:rPr>
                <w:rFonts w:asciiTheme="minorBidi" w:hAnsiTheme="minorBidi" w:cstheme="minorBidi"/>
                <w:sz w:val="18"/>
                <w:szCs w:val="18"/>
              </w:rPr>
              <w:t>2022</w:t>
            </w:r>
            <w:r w:rsidRPr="00C06ADB">
              <w:rPr>
                <w:rFonts w:asciiTheme="minorBidi" w:hAnsiTheme="minorBidi" w:cstheme="minorBidi"/>
                <w:sz w:val="18"/>
                <w:szCs w:val="18"/>
              </w:rPr>
              <w:t>, number)</w:t>
            </w:r>
          </w:p>
        </w:tc>
        <w:tc>
          <w:tcPr>
            <w:tcW w:w="1469" w:type="dxa"/>
            <w:tcBorders>
              <w:left w:val="single" w:sz="4" w:space="0" w:color="auto"/>
              <w:bottom w:val="single" w:sz="4" w:space="0" w:color="auto"/>
              <w:right w:val="single" w:sz="4" w:space="0" w:color="auto"/>
            </w:tcBorders>
            <w:shd w:val="clear" w:color="auto" w:fill="auto"/>
            <w:noWrap/>
          </w:tcPr>
          <w:p w14:paraId="6368D5D0"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left w:val="single" w:sz="4" w:space="0" w:color="auto"/>
              <w:bottom w:val="single" w:sz="4" w:space="0" w:color="auto"/>
              <w:right w:val="single" w:sz="4" w:space="0" w:color="auto"/>
            </w:tcBorders>
          </w:tcPr>
          <w:p w14:paraId="47DF78D5" w14:textId="1FAA8083" w:rsidR="00144912" w:rsidRPr="00C06ADB" w:rsidRDefault="00A858A6" w:rsidP="00A858A6">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34</w:t>
            </w:r>
            <w:r w:rsidR="00144912" w:rsidRPr="00C06ADB">
              <w:rPr>
                <w:rFonts w:asciiTheme="minorBidi" w:hAnsiTheme="minorBidi" w:cstheme="minorBidi"/>
                <w:sz w:val="18"/>
                <w:szCs w:val="18"/>
              </w:rPr>
              <w:t xml:space="preserve"> (202</w:t>
            </w:r>
            <w:r>
              <w:rPr>
                <w:rFonts w:asciiTheme="minorBidi" w:hAnsiTheme="minorBidi" w:cstheme="minorBidi"/>
                <w:sz w:val="18"/>
                <w:szCs w:val="18"/>
              </w:rPr>
              <w:t>1</w:t>
            </w:r>
            <w:r w:rsidR="00144912" w:rsidRPr="00C06ADB">
              <w:rPr>
                <w:rFonts w:asciiTheme="minorBidi" w:hAnsiTheme="minorBidi" w:cstheme="minorBidi"/>
                <w:sz w:val="18"/>
                <w:szCs w:val="18"/>
              </w:rPr>
              <w:t>)*</w:t>
            </w:r>
          </w:p>
        </w:tc>
        <w:tc>
          <w:tcPr>
            <w:tcW w:w="1070" w:type="dxa"/>
            <w:tcBorders>
              <w:left w:val="single" w:sz="4" w:space="0" w:color="auto"/>
              <w:bottom w:val="single" w:sz="4" w:space="0" w:color="auto"/>
              <w:right w:val="single" w:sz="4" w:space="0" w:color="auto"/>
            </w:tcBorders>
          </w:tcPr>
          <w:p w14:paraId="632B6F46" w14:textId="32D59BEA" w:rsidR="00144912" w:rsidRPr="00C06ADB" w:rsidRDefault="00A858A6" w:rsidP="00144912">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33</w:t>
            </w:r>
            <w:r w:rsidR="00FD543A" w:rsidRPr="00C06ADB">
              <w:rPr>
                <w:rFonts w:asciiTheme="minorBidi" w:hAnsiTheme="minorBidi" w:cstheme="minorBidi"/>
                <w:sz w:val="18"/>
                <w:szCs w:val="18"/>
              </w:rPr>
              <w:t>*</w:t>
            </w:r>
          </w:p>
        </w:tc>
        <w:tc>
          <w:tcPr>
            <w:tcW w:w="1543" w:type="dxa"/>
            <w:tcBorders>
              <w:left w:val="single" w:sz="4" w:space="0" w:color="auto"/>
              <w:bottom w:val="single" w:sz="4" w:space="0" w:color="auto"/>
              <w:right w:val="single" w:sz="4" w:space="0" w:color="auto"/>
            </w:tcBorders>
            <w:shd w:val="clear" w:color="auto" w:fill="auto"/>
            <w:noWrap/>
          </w:tcPr>
          <w:p w14:paraId="1458BFDA"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02E3F9EC"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tcPr>
          <w:p w14:paraId="36D94E90" w14:textId="77777777" w:rsidR="0071415F" w:rsidRPr="00C06ADB" w:rsidRDefault="0071415F" w:rsidP="0071415F">
            <w:pPr>
              <w:tabs>
                <w:tab w:val="left" w:pos="9072"/>
              </w:tabs>
              <w:bidi w:val="0"/>
              <w:spacing w:after="0" w:line="240" w:lineRule="auto"/>
              <w:jc w:val="both"/>
              <w:rPr>
                <w:rFonts w:asciiTheme="minorBidi" w:hAnsiTheme="minorBidi" w:cstheme="minorBidi"/>
                <w:sz w:val="18"/>
                <w:szCs w:val="18"/>
              </w:rPr>
            </w:pPr>
            <w:r w:rsidRPr="00C06ADB">
              <w:rPr>
                <w:rFonts w:asciiTheme="minorBidi" w:hAnsiTheme="minorBidi" w:cstheme="minorBidi"/>
                <w:b/>
                <w:bCs/>
                <w:sz w:val="18"/>
                <w:szCs w:val="18"/>
              </w:rPr>
              <w:t>Indicator 16.1.2</w:t>
            </w:r>
            <w:r w:rsidRPr="00C06ADB">
              <w:rPr>
                <w:rFonts w:asciiTheme="minorBidi" w:hAnsiTheme="minorBidi" w:cstheme="minorBidi"/>
                <w:sz w:val="18"/>
                <w:szCs w:val="18"/>
              </w:rPr>
              <w:t xml:space="preserve"> Conflict-related deaths per 100,000 population, by sex, age</w:t>
            </w:r>
            <w:r w:rsidR="00533574">
              <w:rPr>
                <w:rFonts w:asciiTheme="minorBidi" w:hAnsiTheme="minorBidi" w:cstheme="minorBidi"/>
                <w:sz w:val="18"/>
                <w:szCs w:val="18"/>
              </w:rPr>
              <w:t>,</w:t>
            </w:r>
            <w:r w:rsidRPr="00C06ADB">
              <w:rPr>
                <w:rFonts w:asciiTheme="minorBidi" w:hAnsiTheme="minorBidi" w:cstheme="minorBidi"/>
                <w:sz w:val="18"/>
                <w:szCs w:val="18"/>
              </w:rPr>
              <w:t xml:space="preserve"> and cause</w:t>
            </w:r>
          </w:p>
        </w:tc>
        <w:tc>
          <w:tcPr>
            <w:tcW w:w="1469" w:type="dxa"/>
            <w:tcBorders>
              <w:top w:val="single" w:sz="4" w:space="0" w:color="auto"/>
              <w:left w:val="single" w:sz="4" w:space="0" w:color="auto"/>
              <w:right w:val="single" w:sz="4" w:space="0" w:color="auto"/>
            </w:tcBorders>
            <w:shd w:val="clear" w:color="auto" w:fill="auto"/>
            <w:noWrap/>
          </w:tcPr>
          <w:p w14:paraId="49A7B158"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tcPr>
          <w:p w14:paraId="414B5E4D" w14:textId="77777777" w:rsidR="0071415F" w:rsidRPr="00C06ADB" w:rsidDel="00B279AF" w:rsidRDefault="0071415F" w:rsidP="0071415F">
            <w:pPr>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tcPr>
          <w:p w14:paraId="036D87F1" w14:textId="77777777" w:rsidR="0071415F" w:rsidRPr="00C06ADB" w:rsidDel="00B279AF" w:rsidRDefault="0071415F" w:rsidP="0071415F">
            <w:pPr>
              <w:bidi w:val="0"/>
              <w:spacing w:after="0" w:line="240" w:lineRule="auto"/>
              <w:jc w:val="center"/>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tcPr>
          <w:p w14:paraId="1C04E578"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208A67A3" w14:textId="77777777" w:rsidTr="00137121">
        <w:trPr>
          <w:trHeight w:val="389"/>
          <w:jc w:val="center"/>
        </w:trPr>
        <w:tc>
          <w:tcPr>
            <w:tcW w:w="4689" w:type="dxa"/>
            <w:tcBorders>
              <w:left w:val="single" w:sz="4" w:space="0" w:color="auto"/>
              <w:right w:val="single" w:sz="4" w:space="0" w:color="auto"/>
            </w:tcBorders>
            <w:shd w:val="clear" w:color="auto" w:fill="auto"/>
            <w:noWrap/>
            <w:vAlign w:val="center"/>
          </w:tcPr>
          <w:p w14:paraId="7EF79797" w14:textId="77777777"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Number of conflict-related deaths, by sex, age</w:t>
            </w:r>
            <w:r w:rsidR="00533574">
              <w:rPr>
                <w:rFonts w:asciiTheme="minorBidi" w:hAnsiTheme="minorBidi" w:cstheme="minorBidi"/>
                <w:sz w:val="18"/>
                <w:szCs w:val="18"/>
              </w:rPr>
              <w:t>,</w:t>
            </w:r>
            <w:r w:rsidRPr="00C06ADB">
              <w:rPr>
                <w:rFonts w:asciiTheme="minorBidi" w:hAnsiTheme="minorBidi" w:cstheme="minorBidi"/>
                <w:sz w:val="18"/>
                <w:szCs w:val="18"/>
              </w:rPr>
              <w:t xml:space="preserve"> and cause of death (OHCHR, 2021, number)</w:t>
            </w:r>
          </w:p>
        </w:tc>
        <w:tc>
          <w:tcPr>
            <w:tcW w:w="1469" w:type="dxa"/>
            <w:tcBorders>
              <w:left w:val="single" w:sz="4" w:space="0" w:color="auto"/>
              <w:right w:val="single" w:sz="4" w:space="0" w:color="auto"/>
            </w:tcBorders>
            <w:shd w:val="clear" w:color="auto" w:fill="auto"/>
            <w:noWrap/>
          </w:tcPr>
          <w:p w14:paraId="7B7F7949"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left w:val="single" w:sz="4" w:space="0" w:color="auto"/>
              <w:right w:val="single" w:sz="4" w:space="0" w:color="auto"/>
            </w:tcBorders>
          </w:tcPr>
          <w:p w14:paraId="645CD8FB" w14:textId="77777777" w:rsidR="00144912" w:rsidRPr="00C06ADB" w:rsidDel="00B279AF"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35 (2020)</w:t>
            </w:r>
          </w:p>
        </w:tc>
        <w:tc>
          <w:tcPr>
            <w:tcW w:w="1070" w:type="dxa"/>
            <w:tcBorders>
              <w:left w:val="single" w:sz="4" w:space="0" w:color="auto"/>
              <w:right w:val="single" w:sz="4" w:space="0" w:color="auto"/>
            </w:tcBorders>
          </w:tcPr>
          <w:p w14:paraId="58FD11F0" w14:textId="77777777" w:rsidR="00144912" w:rsidRPr="00C06ADB" w:rsidDel="00B279AF"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354</w:t>
            </w:r>
          </w:p>
        </w:tc>
        <w:tc>
          <w:tcPr>
            <w:tcW w:w="1543" w:type="dxa"/>
            <w:tcBorders>
              <w:left w:val="single" w:sz="4" w:space="0" w:color="auto"/>
              <w:right w:val="single" w:sz="4" w:space="0" w:color="auto"/>
            </w:tcBorders>
            <w:shd w:val="clear" w:color="auto" w:fill="auto"/>
            <w:noWrap/>
          </w:tcPr>
          <w:p w14:paraId="7FA60E95"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49F9584C" w14:textId="77777777" w:rsidTr="00137121">
        <w:trPr>
          <w:trHeight w:val="389"/>
          <w:jc w:val="center"/>
        </w:trPr>
        <w:tc>
          <w:tcPr>
            <w:tcW w:w="4689" w:type="dxa"/>
            <w:tcBorders>
              <w:left w:val="single" w:sz="4" w:space="0" w:color="auto"/>
              <w:bottom w:val="single" w:sz="4" w:space="0" w:color="auto"/>
              <w:right w:val="single" w:sz="4" w:space="0" w:color="auto"/>
            </w:tcBorders>
            <w:shd w:val="clear" w:color="auto" w:fill="auto"/>
            <w:noWrap/>
            <w:vAlign w:val="center"/>
          </w:tcPr>
          <w:p w14:paraId="78B69547" w14:textId="77777777"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Conflict-related deaths per 100,000 population, by sex, age</w:t>
            </w:r>
            <w:r w:rsidR="00533574">
              <w:rPr>
                <w:rFonts w:asciiTheme="minorBidi" w:hAnsiTheme="minorBidi" w:cstheme="minorBidi"/>
                <w:sz w:val="18"/>
                <w:szCs w:val="18"/>
              </w:rPr>
              <w:t>,</w:t>
            </w:r>
            <w:r w:rsidRPr="00C06ADB">
              <w:rPr>
                <w:rFonts w:asciiTheme="minorBidi" w:hAnsiTheme="minorBidi" w:cstheme="minorBidi"/>
                <w:sz w:val="18"/>
                <w:szCs w:val="18"/>
              </w:rPr>
              <w:t xml:space="preserve"> and cause (OHCHR, 2021, per 100,000 population)</w:t>
            </w:r>
          </w:p>
        </w:tc>
        <w:tc>
          <w:tcPr>
            <w:tcW w:w="1469" w:type="dxa"/>
            <w:tcBorders>
              <w:left w:val="single" w:sz="4" w:space="0" w:color="auto"/>
              <w:bottom w:val="single" w:sz="4" w:space="0" w:color="auto"/>
              <w:right w:val="single" w:sz="4" w:space="0" w:color="auto"/>
            </w:tcBorders>
            <w:shd w:val="clear" w:color="auto" w:fill="auto"/>
            <w:noWrap/>
          </w:tcPr>
          <w:p w14:paraId="0F89C66C"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left w:val="single" w:sz="4" w:space="0" w:color="auto"/>
              <w:bottom w:val="single" w:sz="4" w:space="0" w:color="auto"/>
              <w:right w:val="single" w:sz="4" w:space="0" w:color="auto"/>
            </w:tcBorders>
          </w:tcPr>
          <w:p w14:paraId="338DDA01" w14:textId="77777777" w:rsidR="00144912" w:rsidRPr="00C06ADB" w:rsidDel="00B279AF"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0.7 (2020)</w:t>
            </w:r>
          </w:p>
        </w:tc>
        <w:tc>
          <w:tcPr>
            <w:tcW w:w="1070" w:type="dxa"/>
            <w:tcBorders>
              <w:left w:val="single" w:sz="4" w:space="0" w:color="auto"/>
              <w:bottom w:val="single" w:sz="4" w:space="0" w:color="auto"/>
              <w:right w:val="single" w:sz="4" w:space="0" w:color="auto"/>
            </w:tcBorders>
          </w:tcPr>
          <w:p w14:paraId="63F117C0" w14:textId="77777777" w:rsidR="00144912" w:rsidRPr="00C06ADB" w:rsidDel="00B279AF"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6.8</w:t>
            </w:r>
          </w:p>
        </w:tc>
        <w:tc>
          <w:tcPr>
            <w:tcW w:w="1543" w:type="dxa"/>
            <w:tcBorders>
              <w:left w:val="single" w:sz="4" w:space="0" w:color="auto"/>
              <w:bottom w:val="single" w:sz="4" w:space="0" w:color="auto"/>
              <w:right w:val="single" w:sz="4" w:space="0" w:color="auto"/>
            </w:tcBorders>
            <w:shd w:val="clear" w:color="auto" w:fill="auto"/>
            <w:noWrap/>
          </w:tcPr>
          <w:p w14:paraId="33291437"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79AB0FE6"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tcPr>
          <w:p w14:paraId="7DBD3F09" w14:textId="77777777" w:rsidR="0071415F" w:rsidRPr="00C06ADB" w:rsidRDefault="0071415F" w:rsidP="0071415F">
            <w:pPr>
              <w:bidi w:val="0"/>
              <w:spacing w:after="0" w:line="240" w:lineRule="auto"/>
              <w:ind w:left="39"/>
              <w:jc w:val="both"/>
              <w:rPr>
                <w:rFonts w:asciiTheme="minorBidi" w:hAnsiTheme="minorBidi" w:cstheme="minorBidi"/>
                <w:b/>
                <w:bCs/>
                <w:sz w:val="18"/>
                <w:szCs w:val="18"/>
              </w:rPr>
            </w:pPr>
            <w:r w:rsidRPr="00C06ADB">
              <w:rPr>
                <w:rFonts w:asciiTheme="minorBidi" w:hAnsiTheme="minorBidi" w:cstheme="minorBidi"/>
                <w:b/>
                <w:bCs/>
                <w:sz w:val="18"/>
                <w:szCs w:val="18"/>
              </w:rPr>
              <w:t>Indicator 16.1.3</w:t>
            </w:r>
            <w:r w:rsidRPr="00C06ADB">
              <w:rPr>
                <w:rFonts w:asciiTheme="minorBidi" w:hAnsiTheme="minorBidi" w:cstheme="minorBidi"/>
                <w:sz w:val="18"/>
                <w:szCs w:val="18"/>
              </w:rPr>
              <w:t xml:space="preserve">  Proportion of population subjected to physical, psychological or sexual violence in the previous 12 months</w:t>
            </w:r>
          </w:p>
        </w:tc>
        <w:tc>
          <w:tcPr>
            <w:tcW w:w="1469" w:type="dxa"/>
            <w:tcBorders>
              <w:top w:val="single" w:sz="4" w:space="0" w:color="auto"/>
              <w:left w:val="single" w:sz="4" w:space="0" w:color="auto"/>
              <w:right w:val="single" w:sz="4" w:space="0" w:color="auto"/>
            </w:tcBorders>
            <w:shd w:val="clear" w:color="auto" w:fill="auto"/>
            <w:noWrap/>
          </w:tcPr>
          <w:p w14:paraId="60283DE5"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tcPr>
          <w:p w14:paraId="02DB5D53"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tcPr>
          <w:p w14:paraId="3497F88B"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tcPr>
          <w:p w14:paraId="4526B99A"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3D0E45B1" w14:textId="77777777" w:rsidTr="00137121">
        <w:trPr>
          <w:trHeight w:val="389"/>
          <w:jc w:val="center"/>
        </w:trPr>
        <w:tc>
          <w:tcPr>
            <w:tcW w:w="4689" w:type="dxa"/>
            <w:tcBorders>
              <w:left w:val="single" w:sz="4" w:space="0" w:color="auto"/>
              <w:right w:val="single" w:sz="4" w:space="0" w:color="auto"/>
            </w:tcBorders>
            <w:shd w:val="clear" w:color="auto" w:fill="auto"/>
            <w:noWrap/>
            <w:vAlign w:val="center"/>
          </w:tcPr>
          <w:p w14:paraId="328DEB48" w14:textId="77777777"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population subjected to physical violence in the previous 12 months (PCBS, 2020, Percentage)</w:t>
            </w:r>
          </w:p>
        </w:tc>
        <w:tc>
          <w:tcPr>
            <w:tcW w:w="1469" w:type="dxa"/>
            <w:tcBorders>
              <w:left w:val="single" w:sz="4" w:space="0" w:color="auto"/>
              <w:right w:val="single" w:sz="4" w:space="0" w:color="auto"/>
            </w:tcBorders>
            <w:shd w:val="clear" w:color="auto" w:fill="auto"/>
            <w:noWrap/>
          </w:tcPr>
          <w:p w14:paraId="09880566"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49" w:type="dxa"/>
            <w:tcBorders>
              <w:left w:val="single" w:sz="4" w:space="0" w:color="auto"/>
              <w:right w:val="single" w:sz="4" w:space="0" w:color="auto"/>
            </w:tcBorders>
          </w:tcPr>
          <w:p w14:paraId="4243BE2C"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 xml:space="preserve"> (2016)</w:t>
            </w:r>
            <w:r w:rsidR="003B7793" w:rsidRPr="00C06ADB">
              <w:rPr>
                <w:rFonts w:asciiTheme="minorBidi" w:hAnsiTheme="minorBidi" w:cstheme="minorBidi"/>
                <w:sz w:val="18"/>
                <w:szCs w:val="18"/>
                <w:rtl/>
              </w:rPr>
              <w:t xml:space="preserve"> 0.9</w:t>
            </w:r>
          </w:p>
        </w:tc>
        <w:tc>
          <w:tcPr>
            <w:tcW w:w="1070" w:type="dxa"/>
            <w:tcBorders>
              <w:left w:val="single" w:sz="4" w:space="0" w:color="auto"/>
              <w:right w:val="single" w:sz="4" w:space="0" w:color="auto"/>
            </w:tcBorders>
          </w:tcPr>
          <w:p w14:paraId="3BE36697"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0.6</w:t>
            </w:r>
          </w:p>
        </w:tc>
        <w:tc>
          <w:tcPr>
            <w:tcW w:w="1543" w:type="dxa"/>
            <w:tcBorders>
              <w:left w:val="single" w:sz="4" w:space="0" w:color="auto"/>
              <w:right w:val="single" w:sz="4" w:space="0" w:color="auto"/>
            </w:tcBorders>
            <w:shd w:val="clear" w:color="auto" w:fill="auto"/>
            <w:noWrap/>
          </w:tcPr>
          <w:p w14:paraId="1DE38912"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5717B29F" w14:textId="77777777" w:rsidTr="00137121">
        <w:trPr>
          <w:trHeight w:val="432"/>
          <w:jc w:val="center"/>
        </w:trPr>
        <w:tc>
          <w:tcPr>
            <w:tcW w:w="4689" w:type="dxa"/>
            <w:tcBorders>
              <w:left w:val="single" w:sz="4" w:space="0" w:color="auto"/>
              <w:bottom w:val="single" w:sz="4" w:space="0" w:color="auto"/>
              <w:right w:val="single" w:sz="4" w:space="0" w:color="auto"/>
            </w:tcBorders>
            <w:shd w:val="clear" w:color="auto" w:fill="auto"/>
            <w:noWrap/>
            <w:vAlign w:val="center"/>
          </w:tcPr>
          <w:p w14:paraId="67945C15" w14:textId="77777777"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population subjected to robbery in the previous 12 months (PCBS, 2020, Percentage)</w:t>
            </w:r>
          </w:p>
        </w:tc>
        <w:tc>
          <w:tcPr>
            <w:tcW w:w="1469" w:type="dxa"/>
            <w:tcBorders>
              <w:left w:val="single" w:sz="4" w:space="0" w:color="auto"/>
              <w:bottom w:val="single" w:sz="4" w:space="0" w:color="auto"/>
              <w:right w:val="single" w:sz="4" w:space="0" w:color="auto"/>
            </w:tcBorders>
            <w:shd w:val="clear" w:color="auto" w:fill="auto"/>
            <w:noWrap/>
          </w:tcPr>
          <w:p w14:paraId="419D8817"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49" w:type="dxa"/>
            <w:tcBorders>
              <w:left w:val="single" w:sz="4" w:space="0" w:color="auto"/>
              <w:bottom w:val="single" w:sz="4" w:space="0" w:color="auto"/>
              <w:right w:val="single" w:sz="4" w:space="0" w:color="auto"/>
            </w:tcBorders>
          </w:tcPr>
          <w:p w14:paraId="537ABADD"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(2016)</w:t>
            </w:r>
            <w:r w:rsidR="003B7793" w:rsidRPr="00C06ADB">
              <w:rPr>
                <w:rFonts w:asciiTheme="minorBidi" w:hAnsiTheme="minorBidi" w:cstheme="minorBidi"/>
                <w:sz w:val="18"/>
                <w:szCs w:val="18"/>
                <w:rtl/>
              </w:rPr>
              <w:t xml:space="preserve"> 4.2</w:t>
            </w:r>
          </w:p>
        </w:tc>
        <w:tc>
          <w:tcPr>
            <w:tcW w:w="1070" w:type="dxa"/>
            <w:tcBorders>
              <w:left w:val="single" w:sz="4" w:space="0" w:color="auto"/>
              <w:bottom w:val="single" w:sz="4" w:space="0" w:color="auto"/>
              <w:right w:val="single" w:sz="4" w:space="0" w:color="auto"/>
            </w:tcBorders>
          </w:tcPr>
          <w:p w14:paraId="265F8854"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3.2</w:t>
            </w:r>
          </w:p>
        </w:tc>
        <w:tc>
          <w:tcPr>
            <w:tcW w:w="1543" w:type="dxa"/>
            <w:tcBorders>
              <w:left w:val="single" w:sz="4" w:space="0" w:color="auto"/>
              <w:bottom w:val="single" w:sz="4" w:space="0" w:color="auto"/>
              <w:right w:val="single" w:sz="4" w:space="0" w:color="auto"/>
            </w:tcBorders>
            <w:shd w:val="clear" w:color="auto" w:fill="auto"/>
            <w:noWrap/>
          </w:tcPr>
          <w:p w14:paraId="39FDC267"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49161767"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hideMark/>
          </w:tcPr>
          <w:p w14:paraId="432C695C" w14:textId="77777777" w:rsidR="0071415F" w:rsidRPr="00C06ADB" w:rsidRDefault="0071415F" w:rsidP="00235995">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16.1.4</w:t>
            </w:r>
            <w:r w:rsidRPr="00C06ADB">
              <w:rPr>
                <w:rFonts w:asciiTheme="minorBidi" w:hAnsiTheme="minorBidi" w:cstheme="minorBidi"/>
                <w:sz w:val="18"/>
                <w:szCs w:val="18"/>
              </w:rPr>
              <w:t xml:space="preserve"> Proportion of people that feel safe walking alone around the area they live</w:t>
            </w:r>
          </w:p>
        </w:tc>
        <w:tc>
          <w:tcPr>
            <w:tcW w:w="1469" w:type="dxa"/>
            <w:tcBorders>
              <w:top w:val="single" w:sz="4" w:space="0" w:color="auto"/>
              <w:left w:val="single" w:sz="4" w:space="0" w:color="auto"/>
              <w:right w:val="single" w:sz="4" w:space="0" w:color="auto"/>
            </w:tcBorders>
            <w:shd w:val="clear" w:color="auto" w:fill="auto"/>
            <w:noWrap/>
            <w:hideMark/>
          </w:tcPr>
          <w:p w14:paraId="19D2C1F8"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tcPr>
          <w:p w14:paraId="45680EE0"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tcPr>
          <w:p w14:paraId="440F81AA"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tcPr>
          <w:p w14:paraId="21EE2BE1"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7D920A2B" w14:textId="77777777" w:rsidTr="00137121">
        <w:trPr>
          <w:trHeight w:val="389"/>
          <w:jc w:val="center"/>
        </w:trPr>
        <w:tc>
          <w:tcPr>
            <w:tcW w:w="4689" w:type="dxa"/>
            <w:tcBorders>
              <w:top w:val="nil"/>
              <w:left w:val="single" w:sz="4" w:space="0" w:color="auto"/>
              <w:bottom w:val="single" w:sz="4" w:space="0" w:color="auto"/>
              <w:right w:val="single" w:sz="4" w:space="0" w:color="auto"/>
            </w:tcBorders>
            <w:shd w:val="clear" w:color="auto" w:fill="auto"/>
            <w:noWrap/>
            <w:vAlign w:val="center"/>
            <w:hideMark/>
          </w:tcPr>
          <w:p w14:paraId="6F8C9AE3"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persons age</w:t>
            </w:r>
            <w:r w:rsidR="00533574">
              <w:rPr>
                <w:rFonts w:asciiTheme="minorBidi" w:hAnsiTheme="minorBidi" w:cstheme="minorBidi"/>
                <w:sz w:val="18"/>
                <w:szCs w:val="18"/>
              </w:rPr>
              <w:t>s</w:t>
            </w:r>
            <w:r w:rsidRPr="00C06ADB">
              <w:rPr>
                <w:rFonts w:asciiTheme="minorBidi" w:hAnsiTheme="minorBidi" w:cstheme="minorBidi"/>
                <w:sz w:val="18"/>
                <w:szCs w:val="18"/>
              </w:rPr>
              <w:t xml:space="preserve"> (18 years and above) that feel safe walking alone around the area they live (PCBS, 2021,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nil"/>
              <w:left w:val="single" w:sz="4" w:space="0" w:color="auto"/>
              <w:bottom w:val="single" w:sz="4" w:space="0" w:color="auto"/>
              <w:right w:val="single" w:sz="4" w:space="0" w:color="auto"/>
            </w:tcBorders>
            <w:shd w:val="clear" w:color="auto" w:fill="auto"/>
            <w:noWrap/>
            <w:hideMark/>
          </w:tcPr>
          <w:p w14:paraId="001EF9D2"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49" w:type="dxa"/>
            <w:tcBorders>
              <w:top w:val="nil"/>
              <w:left w:val="single" w:sz="4" w:space="0" w:color="auto"/>
              <w:bottom w:val="single" w:sz="4" w:space="0" w:color="auto"/>
              <w:right w:val="single" w:sz="4" w:space="0" w:color="auto"/>
            </w:tcBorders>
          </w:tcPr>
          <w:p w14:paraId="3F628A70"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92.0(2018)</w:t>
            </w:r>
          </w:p>
        </w:tc>
        <w:tc>
          <w:tcPr>
            <w:tcW w:w="1070" w:type="dxa"/>
            <w:tcBorders>
              <w:top w:val="nil"/>
              <w:left w:val="single" w:sz="4" w:space="0" w:color="auto"/>
              <w:bottom w:val="single" w:sz="4" w:space="0" w:color="auto"/>
              <w:right w:val="single" w:sz="4" w:space="0" w:color="auto"/>
            </w:tcBorders>
          </w:tcPr>
          <w:p w14:paraId="4265B76A"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89.5</w:t>
            </w:r>
          </w:p>
        </w:tc>
        <w:tc>
          <w:tcPr>
            <w:tcW w:w="1543" w:type="dxa"/>
            <w:tcBorders>
              <w:top w:val="nil"/>
              <w:left w:val="single" w:sz="4" w:space="0" w:color="auto"/>
              <w:bottom w:val="single" w:sz="4" w:space="0" w:color="auto"/>
              <w:right w:val="single" w:sz="4" w:space="0" w:color="auto"/>
            </w:tcBorders>
            <w:shd w:val="clear" w:color="auto" w:fill="auto"/>
            <w:noWrap/>
          </w:tcPr>
          <w:p w14:paraId="533A45BB"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64ADB74F"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hideMark/>
          </w:tcPr>
          <w:p w14:paraId="669D21C2" w14:textId="77777777" w:rsidR="0071415F" w:rsidRPr="00C06ADB" w:rsidRDefault="0071415F" w:rsidP="00144912">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16.2.1</w:t>
            </w:r>
            <w:r w:rsidRPr="00C06ADB">
              <w:rPr>
                <w:rFonts w:asciiTheme="minorBidi" w:hAnsiTheme="minorBidi" w:cstheme="minorBidi"/>
                <w:sz w:val="18"/>
                <w:szCs w:val="18"/>
              </w:rPr>
              <w:t xml:space="preserve"> Proportion of children age</w:t>
            </w:r>
            <w:r w:rsidR="00533574">
              <w:rPr>
                <w:rFonts w:asciiTheme="minorBidi" w:hAnsiTheme="minorBidi" w:cstheme="minorBidi"/>
                <w:sz w:val="18"/>
                <w:szCs w:val="18"/>
              </w:rPr>
              <w:t>s</w:t>
            </w:r>
            <w:r w:rsidRPr="00C06ADB">
              <w:rPr>
                <w:rFonts w:asciiTheme="minorBidi" w:hAnsiTheme="minorBidi" w:cstheme="minorBidi"/>
                <w:sz w:val="18"/>
                <w:szCs w:val="18"/>
              </w:rPr>
              <w:t xml:space="preserve"> 1-17 years who experienced any physical punishment and/or psychological aggression by caregivers in the past month </w:t>
            </w:r>
          </w:p>
        </w:tc>
        <w:tc>
          <w:tcPr>
            <w:tcW w:w="1469" w:type="dxa"/>
            <w:tcBorders>
              <w:top w:val="single" w:sz="4" w:space="0" w:color="auto"/>
              <w:left w:val="single" w:sz="4" w:space="0" w:color="auto"/>
              <w:right w:val="single" w:sz="4" w:space="0" w:color="auto"/>
            </w:tcBorders>
            <w:shd w:val="clear" w:color="auto" w:fill="auto"/>
            <w:noWrap/>
            <w:vAlign w:val="center"/>
          </w:tcPr>
          <w:p w14:paraId="3524FF58"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vAlign w:val="center"/>
          </w:tcPr>
          <w:p w14:paraId="6764B413"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vAlign w:val="center"/>
          </w:tcPr>
          <w:p w14:paraId="1D5D2654"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vAlign w:val="center"/>
          </w:tcPr>
          <w:p w14:paraId="19942DCC"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17E4B1D5" w14:textId="77777777" w:rsidTr="00137121">
        <w:trPr>
          <w:trHeight w:val="389"/>
          <w:jc w:val="center"/>
        </w:trPr>
        <w:tc>
          <w:tcPr>
            <w:tcW w:w="4689" w:type="dxa"/>
            <w:tcBorders>
              <w:left w:val="single" w:sz="4" w:space="0" w:color="auto"/>
              <w:bottom w:val="single" w:sz="4" w:space="0" w:color="auto"/>
              <w:right w:val="single" w:sz="4" w:space="0" w:color="auto"/>
            </w:tcBorders>
            <w:shd w:val="clear" w:color="auto" w:fill="auto"/>
            <w:noWrap/>
            <w:vAlign w:val="center"/>
          </w:tcPr>
          <w:p w14:paraId="775E477C" w14:textId="77777777" w:rsidR="00144912" w:rsidRPr="00C06ADB" w:rsidRDefault="00144912" w:rsidP="00144912">
            <w:pPr>
              <w:tabs>
                <w:tab w:val="left" w:pos="9072"/>
              </w:tabs>
              <w:bidi w:val="0"/>
              <w:spacing w:after="0" w:line="240" w:lineRule="auto"/>
              <w:ind w:left="336"/>
              <w:jc w:val="both"/>
              <w:rPr>
                <w:rFonts w:asciiTheme="minorBidi" w:hAnsiTheme="minorBidi" w:cstheme="minorBidi"/>
                <w:b/>
                <w:bCs/>
                <w:sz w:val="18"/>
                <w:szCs w:val="18"/>
              </w:rPr>
            </w:pPr>
            <w:r w:rsidRPr="00C06ADB">
              <w:rPr>
                <w:rFonts w:asciiTheme="minorBidi" w:hAnsiTheme="minorBidi" w:cstheme="minorBidi"/>
                <w:sz w:val="18"/>
                <w:szCs w:val="18"/>
              </w:rPr>
              <w:t>Proportion of children aged 1-</w:t>
            </w:r>
            <w:r w:rsidRPr="00C06ADB">
              <w:rPr>
                <w:rFonts w:asciiTheme="minorBidi" w:hAnsiTheme="minorBidi" w:cstheme="minorBidi"/>
                <w:sz w:val="18"/>
                <w:szCs w:val="18"/>
                <w:rtl/>
              </w:rPr>
              <w:t>14</w:t>
            </w:r>
            <w:r w:rsidRPr="00C06ADB">
              <w:rPr>
                <w:rFonts w:asciiTheme="minorBidi" w:hAnsiTheme="minorBidi" w:cstheme="minorBidi"/>
                <w:sz w:val="18"/>
                <w:szCs w:val="18"/>
              </w:rPr>
              <w:t xml:space="preserve"> years who experienced any physical punishment and/or psychological aggression by caregivers in the past month (PCBS, 2019, Percentage)</w:t>
            </w:r>
          </w:p>
        </w:tc>
        <w:tc>
          <w:tcPr>
            <w:tcW w:w="1469" w:type="dxa"/>
            <w:tcBorders>
              <w:left w:val="single" w:sz="4" w:space="0" w:color="auto"/>
              <w:bottom w:val="single" w:sz="4" w:space="0" w:color="auto"/>
              <w:right w:val="single" w:sz="4" w:space="0" w:color="auto"/>
            </w:tcBorders>
            <w:shd w:val="clear" w:color="auto" w:fill="auto"/>
            <w:noWrap/>
            <w:vAlign w:val="center"/>
          </w:tcPr>
          <w:p w14:paraId="76E94E90"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49" w:type="dxa"/>
            <w:tcBorders>
              <w:left w:val="single" w:sz="4" w:space="0" w:color="auto"/>
              <w:bottom w:val="single" w:sz="4" w:space="0" w:color="auto"/>
              <w:right w:val="single" w:sz="4" w:space="0" w:color="auto"/>
            </w:tcBorders>
            <w:vAlign w:val="center"/>
          </w:tcPr>
          <w:p w14:paraId="6F77E784"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92.2(2014)</w:t>
            </w:r>
          </w:p>
        </w:tc>
        <w:tc>
          <w:tcPr>
            <w:tcW w:w="1070" w:type="dxa"/>
            <w:tcBorders>
              <w:left w:val="single" w:sz="4" w:space="0" w:color="auto"/>
              <w:bottom w:val="single" w:sz="4" w:space="0" w:color="auto"/>
              <w:right w:val="single" w:sz="4" w:space="0" w:color="auto"/>
            </w:tcBorders>
            <w:vAlign w:val="center"/>
          </w:tcPr>
          <w:p w14:paraId="65F9A0DF"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90.1</w:t>
            </w:r>
          </w:p>
        </w:tc>
        <w:tc>
          <w:tcPr>
            <w:tcW w:w="1543" w:type="dxa"/>
            <w:tcBorders>
              <w:left w:val="single" w:sz="4" w:space="0" w:color="auto"/>
              <w:bottom w:val="single" w:sz="4" w:space="0" w:color="auto"/>
              <w:right w:val="single" w:sz="4" w:space="0" w:color="auto"/>
            </w:tcBorders>
            <w:shd w:val="clear" w:color="auto" w:fill="auto"/>
            <w:noWrap/>
            <w:vAlign w:val="center"/>
          </w:tcPr>
          <w:p w14:paraId="349D76D6"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72AAD6E8" w14:textId="77777777" w:rsidTr="00137121">
        <w:trPr>
          <w:trHeight w:val="389"/>
          <w:jc w:val="center"/>
        </w:trPr>
        <w:tc>
          <w:tcPr>
            <w:tcW w:w="4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6F3CC" w14:textId="77777777" w:rsidR="006E49BE" w:rsidRPr="00C06ADB" w:rsidRDefault="0071415F" w:rsidP="00B10C76">
            <w:pPr>
              <w:tabs>
                <w:tab w:val="left" w:pos="9072"/>
              </w:tabs>
              <w:bidi w:val="0"/>
              <w:spacing w:after="0" w:line="240" w:lineRule="auto"/>
              <w:jc w:val="both"/>
              <w:rPr>
                <w:rFonts w:asciiTheme="minorBidi" w:hAnsiTheme="minorBidi" w:cstheme="minorBidi"/>
                <w:sz w:val="18"/>
                <w:szCs w:val="18"/>
              </w:rPr>
            </w:pPr>
            <w:r w:rsidRPr="00C06ADB">
              <w:rPr>
                <w:rFonts w:asciiTheme="minorBidi" w:hAnsiTheme="minorBidi" w:cstheme="minorBidi"/>
                <w:b/>
                <w:bCs/>
                <w:sz w:val="18"/>
                <w:szCs w:val="18"/>
              </w:rPr>
              <w:t>Indicator 16.2.3</w:t>
            </w:r>
            <w:r w:rsidRPr="00C06ADB">
              <w:rPr>
                <w:rFonts w:asciiTheme="minorBidi" w:hAnsiTheme="minorBidi" w:cstheme="minorBidi"/>
                <w:sz w:val="18"/>
                <w:szCs w:val="18"/>
              </w:rPr>
              <w:t xml:space="preserve"> Proportion of young women and men age</w:t>
            </w:r>
            <w:r w:rsidR="00533574">
              <w:rPr>
                <w:rFonts w:asciiTheme="minorBidi" w:hAnsiTheme="minorBidi" w:cstheme="minorBidi"/>
                <w:sz w:val="18"/>
                <w:szCs w:val="18"/>
              </w:rPr>
              <w:t>s</w:t>
            </w:r>
            <w:r w:rsidRPr="00C06ADB">
              <w:rPr>
                <w:rFonts w:asciiTheme="minorBidi" w:hAnsiTheme="minorBidi" w:cstheme="minorBidi"/>
                <w:sz w:val="18"/>
                <w:szCs w:val="18"/>
              </w:rPr>
              <w:t xml:space="preserve"> 18</w:t>
            </w:r>
            <w:r w:rsidRPr="00C06ADB">
              <w:rPr>
                <w:rFonts w:ascii="Cambria Math" w:hAnsi="Cambria Math" w:cs="Cambria Math"/>
                <w:sz w:val="18"/>
                <w:szCs w:val="18"/>
              </w:rPr>
              <w:t>‑</w:t>
            </w:r>
            <w:r w:rsidRPr="00C06ADB">
              <w:rPr>
                <w:rFonts w:asciiTheme="minorBidi" w:hAnsiTheme="minorBidi" w:cstheme="minorBidi"/>
                <w:sz w:val="18"/>
                <w:szCs w:val="18"/>
              </w:rPr>
              <w:t>29 years who experienced sexual violence by age 18 (PCBS, 2019, Percentage)</w:t>
            </w:r>
          </w:p>
        </w:tc>
        <w:tc>
          <w:tcPr>
            <w:tcW w:w="1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3B486"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single" w:sz="4" w:space="0" w:color="auto"/>
              <w:left w:val="single" w:sz="4" w:space="0" w:color="auto"/>
              <w:bottom w:val="single" w:sz="4" w:space="0" w:color="auto"/>
              <w:right w:val="single" w:sz="4" w:space="0" w:color="auto"/>
            </w:tcBorders>
            <w:vAlign w:val="center"/>
          </w:tcPr>
          <w:p w14:paraId="1771433C"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bottom w:val="single" w:sz="4" w:space="0" w:color="auto"/>
              <w:right w:val="single" w:sz="4" w:space="0" w:color="auto"/>
            </w:tcBorders>
            <w:vAlign w:val="center"/>
          </w:tcPr>
          <w:p w14:paraId="6F2D245E"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2.8</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9269B"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2B8F2222"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hideMark/>
          </w:tcPr>
          <w:p w14:paraId="1F0370E1" w14:textId="77777777" w:rsidR="0071415F"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16.3.1</w:t>
            </w:r>
            <w:r w:rsidRPr="00C06ADB">
              <w:rPr>
                <w:rFonts w:asciiTheme="minorBidi" w:hAnsiTheme="minorBidi" w:cstheme="minorBidi"/>
                <w:sz w:val="18"/>
                <w:szCs w:val="18"/>
              </w:rPr>
              <w:t xml:space="preserve"> Proportion of victims of violence in the previous 12 months who reported their victimization to competent authorities or other officially recognized conflict resolution mechanisms/ or who Police reported for physical assault</w:t>
            </w:r>
            <w:r w:rsidRPr="00C06ADB">
              <w:rPr>
                <w:rFonts w:asciiTheme="minorBidi" w:hAnsiTheme="minorBidi" w:cstheme="minorBidi"/>
                <w:sz w:val="18"/>
                <w:szCs w:val="18"/>
                <w:shd w:val="clear" w:color="auto" w:fill="F5F5F5"/>
              </w:rPr>
              <w:t> </w:t>
            </w:r>
          </w:p>
          <w:p w14:paraId="620E1F1C" w14:textId="77777777" w:rsidR="00B10C76" w:rsidRPr="00C06ADB" w:rsidRDefault="00B10C76" w:rsidP="00B10C76">
            <w:pPr>
              <w:bidi w:val="0"/>
              <w:spacing w:after="0" w:line="240" w:lineRule="auto"/>
              <w:ind w:left="39"/>
              <w:jc w:val="both"/>
              <w:rPr>
                <w:rFonts w:asciiTheme="minorBidi" w:hAnsiTheme="minorBidi" w:cstheme="minorBidi"/>
                <w:sz w:val="18"/>
                <w:szCs w:val="18"/>
              </w:rPr>
            </w:pPr>
          </w:p>
        </w:tc>
        <w:tc>
          <w:tcPr>
            <w:tcW w:w="1469" w:type="dxa"/>
            <w:tcBorders>
              <w:top w:val="single" w:sz="4" w:space="0" w:color="auto"/>
              <w:left w:val="single" w:sz="4" w:space="0" w:color="auto"/>
              <w:right w:val="single" w:sz="4" w:space="0" w:color="auto"/>
            </w:tcBorders>
            <w:shd w:val="clear" w:color="auto" w:fill="auto"/>
            <w:noWrap/>
            <w:hideMark/>
          </w:tcPr>
          <w:p w14:paraId="52CC57ED" w14:textId="77777777" w:rsidR="0071415F" w:rsidRPr="00C06ADB" w:rsidRDefault="0071415F" w:rsidP="0071415F">
            <w:pPr>
              <w:keepNext/>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tcPr>
          <w:p w14:paraId="04560860" w14:textId="77777777" w:rsidR="0071415F" w:rsidRPr="00C06ADB" w:rsidRDefault="0071415F" w:rsidP="0071415F">
            <w:pPr>
              <w:keepNext/>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tcPr>
          <w:p w14:paraId="738C0637" w14:textId="77777777" w:rsidR="0071415F" w:rsidRPr="00C06ADB" w:rsidRDefault="0071415F" w:rsidP="0071415F">
            <w:pPr>
              <w:keepNext/>
              <w:bidi w:val="0"/>
              <w:spacing w:after="0" w:line="240" w:lineRule="auto"/>
              <w:jc w:val="center"/>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tcPr>
          <w:p w14:paraId="5DD766C9" w14:textId="77777777" w:rsidR="0071415F" w:rsidRPr="00C06ADB" w:rsidRDefault="0071415F" w:rsidP="0071415F">
            <w:pPr>
              <w:keepNext/>
              <w:bidi w:val="0"/>
              <w:spacing w:after="0" w:line="240" w:lineRule="auto"/>
              <w:jc w:val="center"/>
              <w:rPr>
                <w:rFonts w:asciiTheme="minorBidi" w:hAnsiTheme="minorBidi" w:cstheme="minorBidi"/>
                <w:sz w:val="18"/>
                <w:szCs w:val="18"/>
              </w:rPr>
            </w:pPr>
          </w:p>
        </w:tc>
      </w:tr>
      <w:tr w:rsidR="00144912" w:rsidRPr="00C06ADB" w14:paraId="042AABF5" w14:textId="77777777" w:rsidTr="00137121">
        <w:trPr>
          <w:trHeight w:val="389"/>
          <w:jc w:val="center"/>
        </w:trPr>
        <w:tc>
          <w:tcPr>
            <w:tcW w:w="4689" w:type="dxa"/>
            <w:tcBorders>
              <w:top w:val="nil"/>
              <w:left w:val="single" w:sz="4" w:space="0" w:color="auto"/>
              <w:right w:val="single" w:sz="4" w:space="0" w:color="auto"/>
            </w:tcBorders>
            <w:shd w:val="clear" w:color="auto" w:fill="auto"/>
            <w:noWrap/>
            <w:vAlign w:val="center"/>
            <w:hideMark/>
          </w:tcPr>
          <w:p w14:paraId="2D1D4885"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lastRenderedPageBreak/>
              <w:t xml:space="preserve">Proportion of victims of violence in the previous 12 months who reported their victimization to competent authorities or other officially recognized conflict resolution mechanisms (PCBS, 2020,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nil"/>
              <w:left w:val="single" w:sz="4" w:space="0" w:color="auto"/>
              <w:right w:val="single" w:sz="4" w:space="0" w:color="auto"/>
            </w:tcBorders>
            <w:shd w:val="clear" w:color="auto" w:fill="auto"/>
            <w:noWrap/>
            <w:hideMark/>
          </w:tcPr>
          <w:p w14:paraId="5773EBCF" w14:textId="77777777" w:rsidR="0071415F" w:rsidRPr="00C06ADB" w:rsidRDefault="0071415F" w:rsidP="0071415F">
            <w:pPr>
              <w:keepNext/>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nil"/>
              <w:left w:val="single" w:sz="4" w:space="0" w:color="auto"/>
              <w:right w:val="single" w:sz="4" w:space="0" w:color="auto"/>
            </w:tcBorders>
          </w:tcPr>
          <w:p w14:paraId="152A47B5" w14:textId="77777777" w:rsidR="0071415F" w:rsidRPr="00C06ADB" w:rsidRDefault="0071415F" w:rsidP="0071415F">
            <w:pPr>
              <w:spacing w:after="0" w:line="240" w:lineRule="auto"/>
              <w:rPr>
                <w:rFonts w:asciiTheme="minorBidi" w:hAnsiTheme="minorBidi" w:cstheme="minorBidi"/>
                <w:sz w:val="18"/>
                <w:szCs w:val="18"/>
              </w:rPr>
            </w:pPr>
            <w:r w:rsidRPr="00C06ADB">
              <w:rPr>
                <w:rFonts w:asciiTheme="minorBidi" w:hAnsiTheme="minorBidi" w:cstheme="minorBidi"/>
                <w:sz w:val="18"/>
                <w:szCs w:val="18"/>
                <w:lang w:bidi="ar-JO"/>
              </w:rPr>
              <w:t>43.0 (2016)</w:t>
            </w:r>
          </w:p>
        </w:tc>
        <w:tc>
          <w:tcPr>
            <w:tcW w:w="1070" w:type="dxa"/>
            <w:tcBorders>
              <w:top w:val="nil"/>
              <w:left w:val="single" w:sz="4" w:space="0" w:color="auto"/>
              <w:right w:val="single" w:sz="4" w:space="0" w:color="auto"/>
            </w:tcBorders>
          </w:tcPr>
          <w:p w14:paraId="120DA6A0" w14:textId="77777777" w:rsidR="0071415F" w:rsidRPr="00C06ADB" w:rsidRDefault="0071415F" w:rsidP="0071415F">
            <w:pPr>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lang w:bidi="ar-JO"/>
              </w:rPr>
              <w:t>52.4</w:t>
            </w:r>
          </w:p>
        </w:tc>
        <w:tc>
          <w:tcPr>
            <w:tcW w:w="1543" w:type="dxa"/>
            <w:tcBorders>
              <w:top w:val="nil"/>
              <w:left w:val="single" w:sz="4" w:space="0" w:color="auto"/>
              <w:right w:val="single" w:sz="4" w:space="0" w:color="auto"/>
            </w:tcBorders>
            <w:shd w:val="clear" w:color="auto" w:fill="auto"/>
            <w:noWrap/>
          </w:tcPr>
          <w:p w14:paraId="30BE009F" w14:textId="77777777" w:rsidR="0071415F" w:rsidRPr="00C06ADB" w:rsidRDefault="0071415F" w:rsidP="0071415F">
            <w:pPr>
              <w:bidi w:val="0"/>
              <w:spacing w:after="0" w:line="240" w:lineRule="auto"/>
              <w:jc w:val="center"/>
              <w:rPr>
                <w:rFonts w:asciiTheme="minorBidi" w:hAnsiTheme="minorBidi" w:cstheme="minorBidi"/>
                <w:sz w:val="18"/>
                <w:szCs w:val="18"/>
                <w:lang w:val="it-IT"/>
              </w:rPr>
            </w:pPr>
            <w:r w:rsidRPr="00C06ADB">
              <w:rPr>
                <w:rFonts w:asciiTheme="minorBidi" w:hAnsiTheme="minorBidi" w:cstheme="minorBidi"/>
                <w:sz w:val="18"/>
                <w:szCs w:val="18"/>
              </w:rPr>
              <w:t>Increase</w:t>
            </w:r>
          </w:p>
        </w:tc>
      </w:tr>
      <w:tr w:rsidR="00144912" w:rsidRPr="00C06ADB" w14:paraId="1990E918" w14:textId="77777777" w:rsidTr="00137121">
        <w:trPr>
          <w:trHeight w:val="389"/>
          <w:jc w:val="center"/>
        </w:trPr>
        <w:tc>
          <w:tcPr>
            <w:tcW w:w="4689" w:type="dxa"/>
            <w:tcBorders>
              <w:top w:val="nil"/>
              <w:left w:val="single" w:sz="4" w:space="0" w:color="auto"/>
              <w:right w:val="single" w:sz="4" w:space="0" w:color="auto"/>
            </w:tcBorders>
            <w:shd w:val="clear" w:color="auto" w:fill="auto"/>
            <w:noWrap/>
            <w:vAlign w:val="center"/>
          </w:tcPr>
          <w:p w14:paraId="74138176"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victims of violence in the previous 12 months who Police reported for physical assault (PCBS, 2020, Percentage)</w:t>
            </w:r>
          </w:p>
        </w:tc>
        <w:tc>
          <w:tcPr>
            <w:tcW w:w="1469" w:type="dxa"/>
            <w:tcBorders>
              <w:top w:val="nil"/>
              <w:left w:val="single" w:sz="4" w:space="0" w:color="auto"/>
              <w:right w:val="single" w:sz="4" w:space="0" w:color="auto"/>
            </w:tcBorders>
            <w:shd w:val="clear" w:color="auto" w:fill="auto"/>
            <w:noWrap/>
          </w:tcPr>
          <w:p w14:paraId="2B5A7332" w14:textId="77777777" w:rsidR="0071415F" w:rsidRPr="00C06ADB" w:rsidRDefault="0071415F" w:rsidP="0071415F">
            <w:pPr>
              <w:keepNext/>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nil"/>
              <w:left w:val="single" w:sz="4" w:space="0" w:color="auto"/>
              <w:right w:val="single" w:sz="4" w:space="0" w:color="auto"/>
            </w:tcBorders>
          </w:tcPr>
          <w:p w14:paraId="48020B39" w14:textId="77777777" w:rsidR="0071415F" w:rsidRPr="00C06ADB" w:rsidRDefault="0071415F" w:rsidP="0071415F">
            <w:pPr>
              <w:spacing w:after="0" w:line="240" w:lineRule="auto"/>
              <w:jc w:val="center"/>
              <w:rPr>
                <w:rFonts w:asciiTheme="minorBidi" w:hAnsiTheme="minorBidi" w:cstheme="minorBidi"/>
                <w:sz w:val="18"/>
                <w:szCs w:val="18"/>
                <w:lang w:bidi="ar-JO"/>
              </w:rPr>
            </w:pPr>
            <w:r w:rsidRPr="00C06ADB">
              <w:rPr>
                <w:rFonts w:asciiTheme="minorBidi" w:hAnsiTheme="minorBidi" w:cstheme="minorBidi"/>
                <w:sz w:val="18"/>
                <w:szCs w:val="18"/>
                <w:lang w:bidi="ar-JO"/>
              </w:rPr>
              <w:t>20.0 (2016)</w:t>
            </w:r>
          </w:p>
        </w:tc>
        <w:tc>
          <w:tcPr>
            <w:tcW w:w="1070" w:type="dxa"/>
            <w:tcBorders>
              <w:top w:val="nil"/>
              <w:left w:val="single" w:sz="4" w:space="0" w:color="auto"/>
              <w:right w:val="single" w:sz="4" w:space="0" w:color="auto"/>
            </w:tcBorders>
          </w:tcPr>
          <w:p w14:paraId="11755D2E" w14:textId="77777777" w:rsidR="0071415F" w:rsidRPr="00C06ADB" w:rsidRDefault="0071415F" w:rsidP="0071415F">
            <w:pPr>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tl/>
              </w:rPr>
              <w:t>7.6</w:t>
            </w:r>
          </w:p>
        </w:tc>
        <w:tc>
          <w:tcPr>
            <w:tcW w:w="1543" w:type="dxa"/>
            <w:tcBorders>
              <w:top w:val="nil"/>
              <w:left w:val="single" w:sz="4" w:space="0" w:color="auto"/>
              <w:right w:val="single" w:sz="4" w:space="0" w:color="auto"/>
            </w:tcBorders>
            <w:shd w:val="clear" w:color="auto" w:fill="auto"/>
            <w:noWrap/>
          </w:tcPr>
          <w:p w14:paraId="5E846E86"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6DB032A7" w14:textId="77777777" w:rsidTr="00137121">
        <w:trPr>
          <w:trHeight w:val="389"/>
          <w:jc w:val="center"/>
        </w:trPr>
        <w:tc>
          <w:tcPr>
            <w:tcW w:w="4689" w:type="dxa"/>
            <w:tcBorders>
              <w:top w:val="nil"/>
              <w:left w:val="single" w:sz="4" w:space="0" w:color="auto"/>
              <w:bottom w:val="single" w:sz="4" w:space="0" w:color="auto"/>
              <w:right w:val="single" w:sz="4" w:space="0" w:color="auto"/>
            </w:tcBorders>
            <w:shd w:val="clear" w:color="auto" w:fill="auto"/>
            <w:noWrap/>
            <w:vAlign w:val="center"/>
          </w:tcPr>
          <w:p w14:paraId="674AEC19"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victims of violence in the previous 12 months who Police reported for robbery (PCBS, 2020,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nil"/>
              <w:left w:val="single" w:sz="4" w:space="0" w:color="auto"/>
              <w:bottom w:val="single" w:sz="4" w:space="0" w:color="auto"/>
              <w:right w:val="single" w:sz="4" w:space="0" w:color="auto"/>
            </w:tcBorders>
            <w:shd w:val="clear" w:color="auto" w:fill="auto"/>
            <w:noWrap/>
          </w:tcPr>
          <w:p w14:paraId="405065A1" w14:textId="77777777" w:rsidR="0071415F" w:rsidRPr="00C06ADB" w:rsidRDefault="0071415F" w:rsidP="0071415F">
            <w:pPr>
              <w:keepNext/>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nil"/>
              <w:left w:val="single" w:sz="4" w:space="0" w:color="auto"/>
              <w:bottom w:val="single" w:sz="4" w:space="0" w:color="auto"/>
              <w:right w:val="single" w:sz="4" w:space="0" w:color="auto"/>
            </w:tcBorders>
          </w:tcPr>
          <w:p w14:paraId="6757B691" w14:textId="77777777" w:rsidR="0071415F" w:rsidRPr="00C06ADB" w:rsidRDefault="0071415F" w:rsidP="0071415F">
            <w:pPr>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59.4 (2016)</w:t>
            </w:r>
          </w:p>
        </w:tc>
        <w:tc>
          <w:tcPr>
            <w:tcW w:w="1070" w:type="dxa"/>
            <w:tcBorders>
              <w:top w:val="nil"/>
              <w:left w:val="single" w:sz="4" w:space="0" w:color="auto"/>
              <w:bottom w:val="single" w:sz="4" w:space="0" w:color="auto"/>
              <w:right w:val="single" w:sz="4" w:space="0" w:color="auto"/>
            </w:tcBorders>
          </w:tcPr>
          <w:p w14:paraId="2B03B3CA" w14:textId="77777777" w:rsidR="0071415F" w:rsidRPr="00C06ADB" w:rsidRDefault="0071415F" w:rsidP="0071415F">
            <w:pPr>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tl/>
              </w:rPr>
              <w:t>36.3</w:t>
            </w:r>
          </w:p>
        </w:tc>
        <w:tc>
          <w:tcPr>
            <w:tcW w:w="1543" w:type="dxa"/>
            <w:tcBorders>
              <w:top w:val="nil"/>
              <w:left w:val="single" w:sz="4" w:space="0" w:color="auto"/>
              <w:bottom w:val="single" w:sz="4" w:space="0" w:color="auto"/>
              <w:right w:val="single" w:sz="4" w:space="0" w:color="auto"/>
            </w:tcBorders>
            <w:shd w:val="clear" w:color="auto" w:fill="auto"/>
            <w:noWrap/>
          </w:tcPr>
          <w:p w14:paraId="4815216D" w14:textId="77777777" w:rsidR="0071415F" w:rsidRPr="00C06ADB" w:rsidRDefault="00144912"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4AAD835F" w14:textId="77777777" w:rsidTr="00137121">
        <w:trPr>
          <w:trHeight w:val="389"/>
          <w:jc w:val="center"/>
        </w:trPr>
        <w:tc>
          <w:tcPr>
            <w:tcW w:w="4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42BA1" w14:textId="77777777" w:rsidR="00144912" w:rsidRPr="00C06ADB" w:rsidRDefault="00144912" w:rsidP="00144912">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16.3.2</w:t>
            </w:r>
            <w:r w:rsidRPr="00C06ADB">
              <w:rPr>
                <w:rFonts w:asciiTheme="minorBidi" w:hAnsiTheme="minorBidi" w:cstheme="minorBidi"/>
                <w:sz w:val="18"/>
                <w:szCs w:val="18"/>
              </w:rPr>
              <w:t xml:space="preserve">Unsentenced detainees as a proportion of overall prison population (Palestinian Civil Police, 2021,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A75D0"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single" w:sz="4" w:space="0" w:color="auto"/>
              <w:left w:val="single" w:sz="4" w:space="0" w:color="auto"/>
              <w:bottom w:val="single" w:sz="4" w:space="0" w:color="auto"/>
              <w:right w:val="single" w:sz="4" w:space="0" w:color="auto"/>
            </w:tcBorders>
            <w:vAlign w:val="center"/>
          </w:tcPr>
          <w:p w14:paraId="0F667A7E"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bidi="ar-JO"/>
              </w:rPr>
              <w:t>57.6 (2020)</w:t>
            </w:r>
          </w:p>
        </w:tc>
        <w:tc>
          <w:tcPr>
            <w:tcW w:w="1070" w:type="dxa"/>
            <w:tcBorders>
              <w:top w:val="single" w:sz="4" w:space="0" w:color="auto"/>
              <w:left w:val="single" w:sz="4" w:space="0" w:color="auto"/>
              <w:bottom w:val="single" w:sz="4" w:space="0" w:color="auto"/>
              <w:right w:val="single" w:sz="4" w:space="0" w:color="auto"/>
            </w:tcBorders>
            <w:vAlign w:val="center"/>
          </w:tcPr>
          <w:p w14:paraId="6975E3A7"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bidi="ar-JO"/>
              </w:rPr>
              <w:t>53.6</w:t>
            </w:r>
            <w:r w:rsidRPr="00C06ADB">
              <w:rPr>
                <w:rFonts w:asciiTheme="minorBidi" w:hAnsiTheme="minorBidi" w:cstheme="minorBidi"/>
                <w:sz w:val="18"/>
                <w:szCs w:val="18"/>
                <w:rtl/>
                <w:lang w:bidi="ar-JO"/>
              </w:rPr>
              <w:t xml:space="preserve">* </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B5A21"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41B9B758" w14:textId="77777777" w:rsidTr="00137121">
        <w:trPr>
          <w:trHeight w:val="389"/>
          <w:jc w:val="center"/>
        </w:trPr>
        <w:tc>
          <w:tcPr>
            <w:tcW w:w="4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5B61D" w14:textId="77777777"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16.5.1</w:t>
            </w:r>
            <w:r w:rsidRPr="00C06ADB">
              <w:rPr>
                <w:rFonts w:asciiTheme="minorBidi" w:hAnsiTheme="minorBidi" w:cstheme="minorBidi"/>
                <w:sz w:val="18"/>
                <w:szCs w:val="18"/>
              </w:rPr>
              <w:t xml:space="preserve"> Proportion of persons who had at least one contact with a public official and who paid a bribe to a public official, or were asked for a bribe by those public officials, during the previous 12 months (PCBS, 2021,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8783C"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single" w:sz="4" w:space="0" w:color="auto"/>
              <w:left w:val="single" w:sz="4" w:space="0" w:color="auto"/>
              <w:bottom w:val="single" w:sz="4" w:space="0" w:color="auto"/>
              <w:right w:val="single" w:sz="4" w:space="0" w:color="auto"/>
            </w:tcBorders>
            <w:vAlign w:val="center"/>
          </w:tcPr>
          <w:p w14:paraId="6FA97FD1"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2.1 (2018)</w:t>
            </w:r>
          </w:p>
        </w:tc>
        <w:tc>
          <w:tcPr>
            <w:tcW w:w="1070" w:type="dxa"/>
            <w:tcBorders>
              <w:top w:val="single" w:sz="4" w:space="0" w:color="auto"/>
              <w:left w:val="single" w:sz="4" w:space="0" w:color="auto"/>
              <w:bottom w:val="single" w:sz="4" w:space="0" w:color="auto"/>
              <w:right w:val="single" w:sz="4" w:space="0" w:color="auto"/>
            </w:tcBorders>
            <w:vAlign w:val="center"/>
          </w:tcPr>
          <w:p w14:paraId="54997607"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3.9</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1C32F" w14:textId="77777777" w:rsidR="0071415F" w:rsidRPr="00C06ADB" w:rsidRDefault="00144912"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4444B8AD"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tcPr>
          <w:p w14:paraId="0CBB7992" w14:textId="77777777" w:rsidR="00144912" w:rsidRPr="00C06ADB" w:rsidRDefault="00144912" w:rsidP="00144912">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16.5.2</w:t>
            </w:r>
            <w:r w:rsidRPr="00C06ADB">
              <w:rPr>
                <w:rFonts w:asciiTheme="minorBidi" w:hAnsiTheme="minorBidi" w:cstheme="minorBidi"/>
                <w:sz w:val="18"/>
                <w:szCs w:val="18"/>
              </w:rPr>
              <w:t xml:space="preserve"> Proportion of businesses that had at least one contact with a public official and that paid a bribe to a public official, or were asked for a bribe by those public officials during the previous 12 months (PCBS, 2019,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single" w:sz="4" w:space="0" w:color="auto"/>
              <w:left w:val="single" w:sz="4" w:space="0" w:color="auto"/>
              <w:right w:val="single" w:sz="4" w:space="0" w:color="auto"/>
            </w:tcBorders>
            <w:shd w:val="clear" w:color="auto" w:fill="auto"/>
            <w:noWrap/>
            <w:vAlign w:val="center"/>
          </w:tcPr>
          <w:p w14:paraId="0F339E46"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single" w:sz="4" w:space="0" w:color="auto"/>
              <w:left w:val="single" w:sz="4" w:space="0" w:color="auto"/>
              <w:right w:val="single" w:sz="4" w:space="0" w:color="auto"/>
            </w:tcBorders>
            <w:vAlign w:val="center"/>
          </w:tcPr>
          <w:p w14:paraId="4A4B9ACD"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bidi="ar-JO"/>
              </w:rPr>
              <w:t>6.9 (2013)</w:t>
            </w:r>
          </w:p>
        </w:tc>
        <w:tc>
          <w:tcPr>
            <w:tcW w:w="1070" w:type="dxa"/>
            <w:tcBorders>
              <w:top w:val="single" w:sz="4" w:space="0" w:color="auto"/>
              <w:left w:val="single" w:sz="4" w:space="0" w:color="auto"/>
              <w:right w:val="single" w:sz="4" w:space="0" w:color="auto"/>
            </w:tcBorders>
            <w:vAlign w:val="center"/>
          </w:tcPr>
          <w:p w14:paraId="517E8D3A"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lang w:bidi="ar-JO"/>
              </w:rPr>
              <w:t>0.4</w:t>
            </w:r>
          </w:p>
        </w:tc>
        <w:tc>
          <w:tcPr>
            <w:tcW w:w="1543" w:type="dxa"/>
            <w:tcBorders>
              <w:top w:val="single" w:sz="4" w:space="0" w:color="auto"/>
              <w:left w:val="single" w:sz="4" w:space="0" w:color="auto"/>
              <w:right w:val="single" w:sz="4" w:space="0" w:color="auto"/>
            </w:tcBorders>
            <w:shd w:val="clear" w:color="auto" w:fill="auto"/>
            <w:noWrap/>
            <w:vAlign w:val="center"/>
          </w:tcPr>
          <w:p w14:paraId="7EFCD357"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D21544" w:rsidRPr="00C06ADB" w14:paraId="7E107C75"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tcPr>
          <w:p w14:paraId="1B6D994B" w14:textId="77777777" w:rsidR="00D21544" w:rsidRPr="00B10C76" w:rsidRDefault="00D21544" w:rsidP="00D21544">
            <w:pPr>
              <w:bidi w:val="0"/>
              <w:spacing w:after="0" w:line="240" w:lineRule="auto"/>
              <w:ind w:left="39"/>
              <w:jc w:val="both"/>
              <w:rPr>
                <w:rFonts w:asciiTheme="minorBidi" w:hAnsiTheme="minorBidi" w:cstheme="minorBidi"/>
                <w:sz w:val="18"/>
                <w:szCs w:val="18"/>
              </w:rPr>
            </w:pPr>
            <w:r w:rsidRPr="00B10C76">
              <w:rPr>
                <w:rFonts w:asciiTheme="minorBidi" w:hAnsiTheme="minorBidi" w:cstheme="minorBidi"/>
                <w:b/>
                <w:bCs/>
                <w:sz w:val="18"/>
                <w:szCs w:val="18"/>
              </w:rPr>
              <w:t>Indicator 16.6.1</w:t>
            </w:r>
            <w:r w:rsidRPr="00B10C76">
              <w:rPr>
                <w:rFonts w:asciiTheme="minorBidi" w:hAnsiTheme="minorBidi" w:cstheme="minorBidi"/>
                <w:sz w:val="18"/>
                <w:szCs w:val="18"/>
              </w:rPr>
              <w:t xml:space="preserve"> Primary government expenditures as a proportion of original approved budget, by sector (or by budget codes or similar) (Ministry of Finance, 2022, percentage)</w:t>
            </w:r>
          </w:p>
        </w:tc>
        <w:tc>
          <w:tcPr>
            <w:tcW w:w="1469" w:type="dxa"/>
            <w:tcBorders>
              <w:top w:val="single" w:sz="4" w:space="0" w:color="auto"/>
              <w:left w:val="single" w:sz="4" w:space="0" w:color="auto"/>
              <w:right w:val="single" w:sz="4" w:space="0" w:color="auto"/>
            </w:tcBorders>
            <w:shd w:val="clear" w:color="auto" w:fill="auto"/>
            <w:noWrap/>
            <w:vAlign w:val="center"/>
          </w:tcPr>
          <w:p w14:paraId="569EA0EB" w14:textId="77777777" w:rsidR="00D21544" w:rsidRPr="00B10C76" w:rsidRDefault="00D21544" w:rsidP="00D21544">
            <w:pPr>
              <w:bidi w:val="0"/>
              <w:spacing w:after="0" w:line="240" w:lineRule="auto"/>
              <w:jc w:val="center"/>
              <w:rPr>
                <w:rFonts w:asciiTheme="minorBidi" w:hAnsiTheme="minorBidi" w:cstheme="minorBidi"/>
                <w:sz w:val="18"/>
                <w:szCs w:val="18"/>
              </w:rPr>
            </w:pPr>
            <w:r w:rsidRPr="00B10C76">
              <w:rPr>
                <w:rFonts w:asciiTheme="minorBidi" w:hAnsiTheme="minorBidi" w:cstheme="minorBidi"/>
                <w:sz w:val="18"/>
                <w:szCs w:val="18"/>
              </w:rPr>
              <w:t>Identical</w:t>
            </w:r>
          </w:p>
        </w:tc>
        <w:tc>
          <w:tcPr>
            <w:tcW w:w="1249" w:type="dxa"/>
            <w:tcBorders>
              <w:top w:val="single" w:sz="4" w:space="0" w:color="auto"/>
              <w:left w:val="single" w:sz="4" w:space="0" w:color="auto"/>
              <w:right w:val="single" w:sz="4" w:space="0" w:color="auto"/>
            </w:tcBorders>
          </w:tcPr>
          <w:p w14:paraId="1E904CF0" w14:textId="77777777" w:rsidR="00D21544" w:rsidRPr="00B10C76" w:rsidRDefault="00D21544" w:rsidP="00D21544">
            <w:pPr>
              <w:spacing w:after="0" w:line="240" w:lineRule="auto"/>
              <w:jc w:val="center"/>
              <w:rPr>
                <w:rFonts w:ascii="Simplified Arabic" w:hAnsi="Simplified Arabic" w:cs="Simplified Arabic"/>
                <w:sz w:val="18"/>
                <w:szCs w:val="18"/>
                <w:lang w:bidi="ar-JO"/>
              </w:rPr>
            </w:pPr>
            <w:r w:rsidRPr="00B10C76">
              <w:rPr>
                <w:rFonts w:ascii="Simplified Arabic" w:hAnsi="Simplified Arabic" w:cs="Simplified Arabic"/>
                <w:sz w:val="18"/>
                <w:szCs w:val="18"/>
                <w:lang w:bidi="ar-JO"/>
              </w:rPr>
              <w:t xml:space="preserve">29.1 </w:t>
            </w:r>
          </w:p>
          <w:p w14:paraId="20E44671" w14:textId="77777777" w:rsidR="00D21544" w:rsidRPr="00B10C76" w:rsidRDefault="00D21544" w:rsidP="00D21544">
            <w:pPr>
              <w:bidi w:val="0"/>
              <w:spacing w:after="0" w:line="240" w:lineRule="auto"/>
              <w:jc w:val="center"/>
              <w:rPr>
                <w:rFonts w:ascii="Simplified Arabic" w:hAnsi="Simplified Arabic" w:cs="Simplified Arabic"/>
                <w:sz w:val="18"/>
                <w:szCs w:val="18"/>
                <w:rtl/>
              </w:rPr>
            </w:pPr>
            <w:r w:rsidRPr="00B10C76">
              <w:rPr>
                <w:rFonts w:ascii="Simplified Arabic" w:hAnsi="Simplified Arabic" w:cs="Simplified Arabic"/>
                <w:sz w:val="18"/>
                <w:szCs w:val="18"/>
                <w:lang w:bidi="ar-JO"/>
              </w:rPr>
              <w:t>(2021)</w:t>
            </w:r>
          </w:p>
        </w:tc>
        <w:tc>
          <w:tcPr>
            <w:tcW w:w="1070" w:type="dxa"/>
            <w:tcBorders>
              <w:top w:val="single" w:sz="4" w:space="0" w:color="auto"/>
              <w:left w:val="single" w:sz="4" w:space="0" w:color="auto"/>
              <w:right w:val="single" w:sz="4" w:space="0" w:color="auto"/>
            </w:tcBorders>
          </w:tcPr>
          <w:p w14:paraId="706F19D1" w14:textId="77777777" w:rsidR="00D21544" w:rsidRPr="00B10C76" w:rsidRDefault="00D21544" w:rsidP="00D21544">
            <w:pPr>
              <w:spacing w:after="0" w:line="240" w:lineRule="auto"/>
              <w:jc w:val="center"/>
              <w:rPr>
                <w:rFonts w:ascii="Simplified Arabic" w:hAnsi="Simplified Arabic" w:cs="Simplified Arabic"/>
                <w:sz w:val="18"/>
                <w:szCs w:val="18"/>
              </w:rPr>
            </w:pPr>
            <w:r w:rsidRPr="00B10C76">
              <w:rPr>
                <w:rFonts w:ascii="Simplified Arabic" w:hAnsi="Simplified Arabic" w:cs="Simplified Arabic"/>
                <w:sz w:val="18"/>
                <w:szCs w:val="18"/>
                <w:lang w:bidi="ar-JO"/>
              </w:rPr>
              <w:t>30.2</w:t>
            </w:r>
          </w:p>
        </w:tc>
        <w:tc>
          <w:tcPr>
            <w:tcW w:w="1543" w:type="dxa"/>
            <w:tcBorders>
              <w:top w:val="single" w:sz="4" w:space="0" w:color="auto"/>
              <w:left w:val="single" w:sz="4" w:space="0" w:color="auto"/>
              <w:right w:val="single" w:sz="4" w:space="0" w:color="auto"/>
            </w:tcBorders>
            <w:shd w:val="clear" w:color="auto" w:fill="auto"/>
            <w:noWrap/>
          </w:tcPr>
          <w:p w14:paraId="713E4CAD" w14:textId="77777777" w:rsidR="00D21544" w:rsidRPr="00B10C76" w:rsidRDefault="00D21544" w:rsidP="00D21544">
            <w:pPr>
              <w:bidi w:val="0"/>
              <w:spacing w:after="0" w:line="240" w:lineRule="auto"/>
              <w:jc w:val="center"/>
              <w:rPr>
                <w:rFonts w:asciiTheme="minorBidi" w:hAnsiTheme="minorBidi" w:cstheme="minorBidi"/>
                <w:sz w:val="18"/>
                <w:szCs w:val="18"/>
              </w:rPr>
            </w:pPr>
            <w:r w:rsidRPr="00B10C76">
              <w:rPr>
                <w:rFonts w:ascii="Simplified Arabic" w:hAnsi="Simplified Arabic" w:cs="Simplified Arabic"/>
                <w:sz w:val="18"/>
                <w:szCs w:val="18"/>
              </w:rPr>
              <w:t>Increase</w:t>
            </w:r>
          </w:p>
        </w:tc>
      </w:tr>
      <w:tr w:rsidR="00144912" w:rsidRPr="00C06ADB" w14:paraId="03F4FAD9"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hideMark/>
          </w:tcPr>
          <w:p w14:paraId="59839F32" w14:textId="77777777"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16.6.2</w:t>
            </w:r>
            <w:r w:rsidRPr="00C06ADB">
              <w:rPr>
                <w:rFonts w:asciiTheme="minorBidi" w:hAnsiTheme="minorBidi" w:cstheme="minorBidi"/>
                <w:sz w:val="18"/>
                <w:szCs w:val="18"/>
              </w:rPr>
              <w:t xml:space="preserve"> Proportion of population satisfied with their last experience of public services</w:t>
            </w:r>
          </w:p>
        </w:tc>
        <w:tc>
          <w:tcPr>
            <w:tcW w:w="1469" w:type="dxa"/>
            <w:tcBorders>
              <w:top w:val="single" w:sz="4" w:space="0" w:color="auto"/>
              <w:left w:val="single" w:sz="4" w:space="0" w:color="auto"/>
              <w:right w:val="single" w:sz="4" w:space="0" w:color="auto"/>
            </w:tcBorders>
            <w:shd w:val="clear" w:color="auto" w:fill="auto"/>
            <w:noWrap/>
            <w:hideMark/>
          </w:tcPr>
          <w:p w14:paraId="297F2366"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tcPr>
          <w:p w14:paraId="0D7DB88E" w14:textId="77777777" w:rsidR="0071415F" w:rsidRPr="00C06ADB" w:rsidRDefault="0071415F" w:rsidP="0071415F">
            <w:pPr>
              <w:bidi w:val="0"/>
              <w:spacing w:after="0" w:line="240" w:lineRule="auto"/>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tcPr>
          <w:p w14:paraId="2B1DD16A" w14:textId="77777777" w:rsidR="0071415F" w:rsidRPr="00C06ADB" w:rsidRDefault="0071415F" w:rsidP="0071415F">
            <w:pPr>
              <w:bidi w:val="0"/>
              <w:spacing w:after="0" w:line="240" w:lineRule="auto"/>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tcPr>
          <w:p w14:paraId="31F7A155"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6E7921E1" w14:textId="77777777" w:rsidTr="00137121">
        <w:trPr>
          <w:trHeight w:val="389"/>
          <w:jc w:val="center"/>
        </w:trPr>
        <w:tc>
          <w:tcPr>
            <w:tcW w:w="4689" w:type="dxa"/>
            <w:tcBorders>
              <w:top w:val="nil"/>
              <w:left w:val="single" w:sz="4" w:space="0" w:color="auto"/>
              <w:right w:val="single" w:sz="4" w:space="0" w:color="auto"/>
            </w:tcBorders>
            <w:shd w:val="clear" w:color="auto" w:fill="auto"/>
            <w:noWrap/>
            <w:vAlign w:val="center"/>
            <w:hideMark/>
          </w:tcPr>
          <w:p w14:paraId="6847F673"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satisfied with their last experience of public services healthcare services (PCBS, </w:t>
            </w:r>
            <w:r w:rsidRPr="00C06ADB">
              <w:rPr>
                <w:rFonts w:asciiTheme="minorBidi" w:hAnsiTheme="minorBidi" w:cstheme="minorBidi"/>
                <w:sz w:val="18"/>
                <w:szCs w:val="18"/>
                <w:rtl/>
              </w:rPr>
              <w:t>202</w:t>
            </w:r>
            <w:r w:rsidRPr="00C06ADB">
              <w:rPr>
                <w:rFonts w:asciiTheme="minorBidi" w:hAnsiTheme="minorBidi" w:cstheme="minorBidi"/>
                <w:sz w:val="18"/>
                <w:szCs w:val="18"/>
              </w:rPr>
              <w:t xml:space="preserve">0,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nil"/>
              <w:left w:val="single" w:sz="4" w:space="0" w:color="auto"/>
              <w:right w:val="single" w:sz="4" w:space="0" w:color="auto"/>
            </w:tcBorders>
            <w:shd w:val="clear" w:color="auto" w:fill="auto"/>
            <w:noWrap/>
            <w:hideMark/>
          </w:tcPr>
          <w:p w14:paraId="2BC68CA5"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nil"/>
              <w:left w:val="single" w:sz="4" w:space="0" w:color="auto"/>
              <w:right w:val="single" w:sz="4" w:space="0" w:color="auto"/>
            </w:tcBorders>
          </w:tcPr>
          <w:p w14:paraId="7B0E5ADF"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84.7 (2018)</w:t>
            </w:r>
          </w:p>
        </w:tc>
        <w:tc>
          <w:tcPr>
            <w:tcW w:w="1070" w:type="dxa"/>
            <w:tcBorders>
              <w:top w:val="nil"/>
              <w:left w:val="single" w:sz="4" w:space="0" w:color="auto"/>
              <w:right w:val="single" w:sz="4" w:space="0" w:color="auto"/>
            </w:tcBorders>
          </w:tcPr>
          <w:p w14:paraId="70C12168" w14:textId="77777777" w:rsidR="0071415F" w:rsidRPr="00C06ADB" w:rsidRDefault="0071415F" w:rsidP="0071415F">
            <w:pPr>
              <w:bidi w:val="0"/>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Pr>
              <w:t>92.4</w:t>
            </w:r>
          </w:p>
        </w:tc>
        <w:tc>
          <w:tcPr>
            <w:tcW w:w="1543" w:type="dxa"/>
            <w:tcBorders>
              <w:top w:val="nil"/>
              <w:left w:val="single" w:sz="4" w:space="0" w:color="auto"/>
              <w:right w:val="single" w:sz="4" w:space="0" w:color="auto"/>
            </w:tcBorders>
            <w:shd w:val="clear" w:color="auto" w:fill="auto"/>
            <w:noWrap/>
          </w:tcPr>
          <w:p w14:paraId="3C2B917C"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40FBEC82" w14:textId="77777777" w:rsidTr="00137121">
        <w:trPr>
          <w:trHeight w:val="389"/>
          <w:jc w:val="center"/>
        </w:trPr>
        <w:tc>
          <w:tcPr>
            <w:tcW w:w="4689" w:type="dxa"/>
            <w:tcBorders>
              <w:top w:val="nil"/>
              <w:left w:val="single" w:sz="4" w:space="0" w:color="auto"/>
              <w:right w:val="single" w:sz="4" w:space="0" w:color="auto"/>
            </w:tcBorders>
            <w:shd w:val="clear" w:color="auto" w:fill="auto"/>
            <w:noWrap/>
            <w:vAlign w:val="center"/>
            <w:hideMark/>
          </w:tcPr>
          <w:p w14:paraId="38159ACB"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satisfied with their last experience of public services primary public schools public schools (PCBS, </w:t>
            </w:r>
            <w:r w:rsidRPr="00C06ADB">
              <w:rPr>
                <w:rFonts w:asciiTheme="minorBidi" w:hAnsiTheme="minorBidi" w:cstheme="minorBidi"/>
                <w:sz w:val="18"/>
                <w:szCs w:val="18"/>
                <w:rtl/>
              </w:rPr>
              <w:t>202</w:t>
            </w:r>
            <w:r w:rsidRPr="00C06ADB">
              <w:rPr>
                <w:rFonts w:asciiTheme="minorBidi" w:hAnsiTheme="minorBidi" w:cstheme="minorBidi"/>
                <w:sz w:val="18"/>
                <w:szCs w:val="18"/>
              </w:rPr>
              <w:t xml:space="preserve">0,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nil"/>
              <w:left w:val="single" w:sz="4" w:space="0" w:color="auto"/>
              <w:right w:val="single" w:sz="4" w:space="0" w:color="auto"/>
            </w:tcBorders>
            <w:shd w:val="clear" w:color="auto" w:fill="auto"/>
            <w:noWrap/>
            <w:hideMark/>
          </w:tcPr>
          <w:p w14:paraId="2FE02082"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nil"/>
              <w:left w:val="single" w:sz="4" w:space="0" w:color="auto"/>
              <w:right w:val="single" w:sz="4" w:space="0" w:color="auto"/>
            </w:tcBorders>
          </w:tcPr>
          <w:p w14:paraId="444BEEFF"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90.6 (2018)</w:t>
            </w:r>
          </w:p>
        </w:tc>
        <w:tc>
          <w:tcPr>
            <w:tcW w:w="1070" w:type="dxa"/>
            <w:tcBorders>
              <w:top w:val="nil"/>
              <w:left w:val="single" w:sz="4" w:space="0" w:color="auto"/>
              <w:right w:val="single" w:sz="4" w:space="0" w:color="auto"/>
            </w:tcBorders>
          </w:tcPr>
          <w:p w14:paraId="301C8953"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89.0</w:t>
            </w:r>
          </w:p>
        </w:tc>
        <w:tc>
          <w:tcPr>
            <w:tcW w:w="1543" w:type="dxa"/>
            <w:tcBorders>
              <w:top w:val="nil"/>
              <w:left w:val="single" w:sz="4" w:space="0" w:color="auto"/>
              <w:right w:val="single" w:sz="4" w:space="0" w:color="auto"/>
            </w:tcBorders>
            <w:shd w:val="clear" w:color="auto" w:fill="auto"/>
            <w:noWrap/>
          </w:tcPr>
          <w:p w14:paraId="51CD0314"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65A94356" w14:textId="77777777" w:rsidTr="00137121">
        <w:trPr>
          <w:trHeight w:val="389"/>
          <w:jc w:val="center"/>
        </w:trPr>
        <w:tc>
          <w:tcPr>
            <w:tcW w:w="4689" w:type="dxa"/>
            <w:tcBorders>
              <w:top w:val="nil"/>
              <w:left w:val="single" w:sz="4" w:space="0" w:color="auto"/>
              <w:right w:val="single" w:sz="4" w:space="0" w:color="auto"/>
            </w:tcBorders>
            <w:shd w:val="clear" w:color="auto" w:fill="auto"/>
            <w:noWrap/>
            <w:vAlign w:val="center"/>
            <w:hideMark/>
          </w:tcPr>
          <w:p w14:paraId="1BAD13B1"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satisfied with their last experience of public services secondary public schools (PCBS, </w:t>
            </w:r>
            <w:r w:rsidRPr="00C06ADB">
              <w:rPr>
                <w:rFonts w:asciiTheme="minorBidi" w:hAnsiTheme="minorBidi" w:cstheme="minorBidi"/>
                <w:sz w:val="18"/>
                <w:szCs w:val="18"/>
                <w:rtl/>
              </w:rPr>
              <w:t>202</w:t>
            </w:r>
            <w:r w:rsidRPr="00C06ADB">
              <w:rPr>
                <w:rFonts w:asciiTheme="minorBidi" w:hAnsiTheme="minorBidi" w:cstheme="minorBidi"/>
                <w:sz w:val="18"/>
                <w:szCs w:val="18"/>
              </w:rPr>
              <w:t xml:space="preserve">0,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nil"/>
              <w:left w:val="single" w:sz="4" w:space="0" w:color="auto"/>
              <w:right w:val="single" w:sz="4" w:space="0" w:color="auto"/>
            </w:tcBorders>
            <w:shd w:val="clear" w:color="auto" w:fill="auto"/>
            <w:noWrap/>
            <w:hideMark/>
          </w:tcPr>
          <w:p w14:paraId="59D92652"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nil"/>
              <w:left w:val="single" w:sz="4" w:space="0" w:color="auto"/>
              <w:right w:val="single" w:sz="4" w:space="0" w:color="auto"/>
            </w:tcBorders>
          </w:tcPr>
          <w:p w14:paraId="7A9FFA64"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91.5 (2018)</w:t>
            </w:r>
          </w:p>
        </w:tc>
        <w:tc>
          <w:tcPr>
            <w:tcW w:w="1070" w:type="dxa"/>
            <w:tcBorders>
              <w:top w:val="nil"/>
              <w:left w:val="single" w:sz="4" w:space="0" w:color="auto"/>
              <w:right w:val="single" w:sz="4" w:space="0" w:color="auto"/>
            </w:tcBorders>
          </w:tcPr>
          <w:p w14:paraId="6655D007"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90.6</w:t>
            </w:r>
          </w:p>
        </w:tc>
        <w:tc>
          <w:tcPr>
            <w:tcW w:w="1543" w:type="dxa"/>
            <w:tcBorders>
              <w:top w:val="nil"/>
              <w:left w:val="single" w:sz="4" w:space="0" w:color="auto"/>
              <w:right w:val="single" w:sz="4" w:space="0" w:color="auto"/>
            </w:tcBorders>
            <w:shd w:val="clear" w:color="auto" w:fill="auto"/>
            <w:noWrap/>
          </w:tcPr>
          <w:p w14:paraId="051A8692"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27DE08E9" w14:textId="77777777" w:rsidTr="00137121">
        <w:trPr>
          <w:trHeight w:val="389"/>
          <w:jc w:val="center"/>
        </w:trPr>
        <w:tc>
          <w:tcPr>
            <w:tcW w:w="4689" w:type="dxa"/>
            <w:tcBorders>
              <w:top w:val="nil"/>
              <w:left w:val="single" w:sz="4" w:space="0" w:color="auto"/>
              <w:bottom w:val="single" w:sz="4" w:space="0" w:color="auto"/>
              <w:right w:val="single" w:sz="4" w:space="0" w:color="auto"/>
            </w:tcBorders>
            <w:shd w:val="clear" w:color="auto" w:fill="auto"/>
            <w:noWrap/>
            <w:vAlign w:val="center"/>
            <w:hideMark/>
          </w:tcPr>
          <w:p w14:paraId="29893234"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satisfied with their last experience of public services administrative services (PCBS, </w:t>
            </w:r>
            <w:r w:rsidRPr="00C06ADB">
              <w:rPr>
                <w:rFonts w:asciiTheme="minorBidi" w:hAnsiTheme="minorBidi" w:cstheme="minorBidi"/>
                <w:sz w:val="18"/>
                <w:szCs w:val="18"/>
                <w:rtl/>
              </w:rPr>
              <w:t>202</w:t>
            </w:r>
            <w:r w:rsidRPr="00C06ADB">
              <w:rPr>
                <w:rFonts w:asciiTheme="minorBidi" w:hAnsiTheme="minorBidi" w:cstheme="minorBidi"/>
                <w:sz w:val="18"/>
                <w:szCs w:val="18"/>
              </w:rPr>
              <w:t>0, Percentage)</w:t>
            </w:r>
          </w:p>
        </w:tc>
        <w:tc>
          <w:tcPr>
            <w:tcW w:w="1469" w:type="dxa"/>
            <w:tcBorders>
              <w:top w:val="nil"/>
              <w:left w:val="single" w:sz="4" w:space="0" w:color="auto"/>
              <w:bottom w:val="single" w:sz="4" w:space="0" w:color="auto"/>
              <w:right w:val="single" w:sz="4" w:space="0" w:color="auto"/>
            </w:tcBorders>
            <w:shd w:val="clear" w:color="auto" w:fill="auto"/>
            <w:noWrap/>
            <w:hideMark/>
          </w:tcPr>
          <w:p w14:paraId="0F57C751"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nil"/>
              <w:left w:val="single" w:sz="4" w:space="0" w:color="auto"/>
              <w:bottom w:val="single" w:sz="4" w:space="0" w:color="auto"/>
              <w:right w:val="single" w:sz="4" w:space="0" w:color="auto"/>
            </w:tcBorders>
          </w:tcPr>
          <w:p w14:paraId="35861A69" w14:textId="77777777" w:rsidR="0071415F" w:rsidRPr="00C06ADB" w:rsidRDefault="0071415F" w:rsidP="0071415F">
            <w:pPr>
              <w:bidi w:val="0"/>
              <w:spacing w:after="0" w:line="240" w:lineRule="auto"/>
              <w:jc w:val="center"/>
              <w:rPr>
                <w:rFonts w:asciiTheme="minorBidi" w:hAnsiTheme="minorBidi" w:cstheme="minorBidi"/>
                <w:sz w:val="18"/>
                <w:szCs w:val="18"/>
                <w:rtl/>
                <w:lang w:bidi="ar-JO"/>
              </w:rPr>
            </w:pPr>
            <w:r w:rsidRPr="00C06ADB">
              <w:rPr>
                <w:rFonts w:asciiTheme="minorBidi" w:hAnsiTheme="minorBidi" w:cstheme="minorBidi"/>
                <w:sz w:val="18"/>
                <w:szCs w:val="18"/>
              </w:rPr>
              <w:t>94.6 (2018)</w:t>
            </w:r>
          </w:p>
        </w:tc>
        <w:tc>
          <w:tcPr>
            <w:tcW w:w="1070" w:type="dxa"/>
            <w:tcBorders>
              <w:top w:val="nil"/>
              <w:left w:val="single" w:sz="4" w:space="0" w:color="auto"/>
              <w:bottom w:val="single" w:sz="4" w:space="0" w:color="auto"/>
              <w:right w:val="single" w:sz="4" w:space="0" w:color="auto"/>
            </w:tcBorders>
          </w:tcPr>
          <w:p w14:paraId="74AFF985"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92.4</w:t>
            </w:r>
          </w:p>
        </w:tc>
        <w:tc>
          <w:tcPr>
            <w:tcW w:w="1543" w:type="dxa"/>
            <w:tcBorders>
              <w:top w:val="nil"/>
              <w:left w:val="single" w:sz="4" w:space="0" w:color="auto"/>
              <w:bottom w:val="single" w:sz="4" w:space="0" w:color="auto"/>
              <w:right w:val="single" w:sz="4" w:space="0" w:color="auto"/>
            </w:tcBorders>
            <w:shd w:val="clear" w:color="auto" w:fill="auto"/>
            <w:noWrap/>
          </w:tcPr>
          <w:p w14:paraId="1E04592E" w14:textId="77777777" w:rsidR="0071415F" w:rsidRPr="00C06ADB" w:rsidRDefault="0071415F" w:rsidP="0071415F">
            <w:pPr>
              <w:bidi w:val="0"/>
              <w:spacing w:after="0" w:line="240" w:lineRule="auto"/>
              <w:jc w:val="center"/>
              <w:rPr>
                <w:rFonts w:asciiTheme="minorBidi" w:hAnsiTheme="minorBidi" w:cstheme="minorBidi"/>
                <w:sz w:val="18"/>
                <w:szCs w:val="18"/>
                <w:rtl/>
                <w:lang w:bidi="ar-JO"/>
              </w:rPr>
            </w:pPr>
            <w:r w:rsidRPr="00C06ADB">
              <w:rPr>
                <w:rFonts w:asciiTheme="minorBidi" w:hAnsiTheme="minorBidi" w:cstheme="minorBidi"/>
                <w:sz w:val="18"/>
                <w:szCs w:val="18"/>
              </w:rPr>
              <w:t>Decrease</w:t>
            </w:r>
          </w:p>
        </w:tc>
      </w:tr>
      <w:tr w:rsidR="00144912" w:rsidRPr="00C06ADB" w14:paraId="3F240216"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hideMark/>
          </w:tcPr>
          <w:p w14:paraId="0C08AC43" w14:textId="77777777"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16.7.2</w:t>
            </w:r>
            <w:r w:rsidRPr="00C06ADB">
              <w:rPr>
                <w:rFonts w:asciiTheme="minorBidi" w:hAnsiTheme="minorBidi" w:cstheme="minorBidi"/>
                <w:sz w:val="18"/>
                <w:szCs w:val="18"/>
              </w:rPr>
              <w:t xml:space="preserve"> Proportion of population who believe decision-making is inclusive and responsive, by sex, age, disability and population group</w:t>
            </w:r>
          </w:p>
        </w:tc>
        <w:tc>
          <w:tcPr>
            <w:tcW w:w="1469" w:type="dxa"/>
            <w:tcBorders>
              <w:top w:val="single" w:sz="4" w:space="0" w:color="auto"/>
              <w:left w:val="single" w:sz="4" w:space="0" w:color="auto"/>
              <w:right w:val="single" w:sz="4" w:space="0" w:color="auto"/>
            </w:tcBorders>
            <w:shd w:val="clear" w:color="auto" w:fill="auto"/>
            <w:noWrap/>
            <w:hideMark/>
          </w:tcPr>
          <w:p w14:paraId="43C5431B"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tcPr>
          <w:p w14:paraId="01AC4891"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tcPr>
          <w:p w14:paraId="4968896A"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tcPr>
          <w:p w14:paraId="4A6C7DD4"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1E8C3A81" w14:textId="77777777" w:rsidTr="00137121">
        <w:trPr>
          <w:trHeight w:val="389"/>
          <w:jc w:val="center"/>
        </w:trPr>
        <w:tc>
          <w:tcPr>
            <w:tcW w:w="4689" w:type="dxa"/>
            <w:tcBorders>
              <w:top w:val="nil"/>
              <w:left w:val="single" w:sz="4" w:space="0" w:color="auto"/>
              <w:right w:val="single" w:sz="4" w:space="0" w:color="auto"/>
            </w:tcBorders>
            <w:shd w:val="clear" w:color="auto" w:fill="auto"/>
            <w:noWrap/>
            <w:vAlign w:val="center"/>
            <w:hideMark/>
          </w:tcPr>
          <w:p w14:paraId="6370D830"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who believe decision-making is inclusive and responsive (The political system in the country allows individuals like me to have an opinion on what the government is doing) (PCBS, 2021,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top w:val="nil"/>
              <w:left w:val="single" w:sz="4" w:space="0" w:color="auto"/>
              <w:right w:val="single" w:sz="4" w:space="0" w:color="auto"/>
            </w:tcBorders>
            <w:shd w:val="clear" w:color="auto" w:fill="auto"/>
            <w:noWrap/>
            <w:hideMark/>
          </w:tcPr>
          <w:p w14:paraId="7B228D3D"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nil"/>
              <w:left w:val="single" w:sz="4" w:space="0" w:color="auto"/>
              <w:right w:val="single" w:sz="4" w:space="0" w:color="auto"/>
            </w:tcBorders>
          </w:tcPr>
          <w:p w14:paraId="77915B43"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38.7 (2018)</w:t>
            </w:r>
          </w:p>
        </w:tc>
        <w:tc>
          <w:tcPr>
            <w:tcW w:w="1070" w:type="dxa"/>
            <w:tcBorders>
              <w:top w:val="nil"/>
              <w:left w:val="single" w:sz="4" w:space="0" w:color="auto"/>
              <w:right w:val="single" w:sz="4" w:space="0" w:color="auto"/>
            </w:tcBorders>
          </w:tcPr>
          <w:p w14:paraId="1E670E28"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27.8</w:t>
            </w:r>
          </w:p>
        </w:tc>
        <w:tc>
          <w:tcPr>
            <w:tcW w:w="1543" w:type="dxa"/>
            <w:tcBorders>
              <w:top w:val="nil"/>
              <w:left w:val="single" w:sz="4" w:space="0" w:color="auto"/>
              <w:right w:val="single" w:sz="4" w:space="0" w:color="auto"/>
            </w:tcBorders>
            <w:shd w:val="clear" w:color="auto" w:fill="auto"/>
            <w:noWrap/>
          </w:tcPr>
          <w:p w14:paraId="7296CEE6"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272DAA86" w14:textId="77777777" w:rsidTr="00137121">
        <w:trPr>
          <w:trHeight w:val="389"/>
          <w:jc w:val="center"/>
        </w:trPr>
        <w:tc>
          <w:tcPr>
            <w:tcW w:w="4689" w:type="dxa"/>
            <w:tcBorders>
              <w:left w:val="single" w:sz="4" w:space="0" w:color="auto"/>
              <w:right w:val="single" w:sz="4" w:space="0" w:color="auto"/>
            </w:tcBorders>
            <w:shd w:val="clear" w:color="auto" w:fill="auto"/>
            <w:noWrap/>
            <w:vAlign w:val="center"/>
            <w:hideMark/>
          </w:tcPr>
          <w:p w14:paraId="04AD1E8A"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who believe decision-making is inclusive and responsive (trust in my ability to participate in politics in the country) (PCBS, 2021,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left w:val="single" w:sz="4" w:space="0" w:color="auto"/>
              <w:right w:val="single" w:sz="4" w:space="0" w:color="auto"/>
            </w:tcBorders>
            <w:shd w:val="clear" w:color="auto" w:fill="auto"/>
            <w:noWrap/>
            <w:hideMark/>
          </w:tcPr>
          <w:p w14:paraId="0079460A"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49" w:type="dxa"/>
            <w:tcBorders>
              <w:left w:val="single" w:sz="4" w:space="0" w:color="auto"/>
              <w:right w:val="single" w:sz="4" w:space="0" w:color="auto"/>
            </w:tcBorders>
          </w:tcPr>
          <w:p w14:paraId="4780A00F" w14:textId="77777777" w:rsidR="0071415F" w:rsidRPr="00C06ADB" w:rsidRDefault="0071415F" w:rsidP="0071415F">
            <w:pPr>
              <w:bidi w:val="0"/>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Pr>
              <w:t>48.6 (2018)</w:t>
            </w:r>
          </w:p>
        </w:tc>
        <w:tc>
          <w:tcPr>
            <w:tcW w:w="1070" w:type="dxa"/>
            <w:tcBorders>
              <w:left w:val="single" w:sz="4" w:space="0" w:color="auto"/>
              <w:right w:val="single" w:sz="4" w:space="0" w:color="auto"/>
            </w:tcBorders>
          </w:tcPr>
          <w:p w14:paraId="2C8942A8"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39.2</w:t>
            </w:r>
          </w:p>
        </w:tc>
        <w:tc>
          <w:tcPr>
            <w:tcW w:w="1543" w:type="dxa"/>
            <w:tcBorders>
              <w:left w:val="single" w:sz="4" w:space="0" w:color="auto"/>
              <w:right w:val="single" w:sz="4" w:space="0" w:color="auto"/>
            </w:tcBorders>
            <w:shd w:val="clear" w:color="auto" w:fill="auto"/>
            <w:noWrap/>
          </w:tcPr>
          <w:p w14:paraId="28CEF8DB" w14:textId="77777777" w:rsidR="0071415F" w:rsidRPr="00C06ADB" w:rsidRDefault="0071415F" w:rsidP="0071415F">
            <w:pPr>
              <w:bidi w:val="0"/>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Pr>
              <w:t>Decrease</w:t>
            </w:r>
          </w:p>
        </w:tc>
      </w:tr>
      <w:tr w:rsidR="00144912" w:rsidRPr="00C06ADB" w14:paraId="5B22C9ED" w14:textId="77777777" w:rsidTr="00137121">
        <w:trPr>
          <w:trHeight w:val="389"/>
          <w:jc w:val="center"/>
        </w:trPr>
        <w:tc>
          <w:tcPr>
            <w:tcW w:w="4689" w:type="dxa"/>
            <w:tcBorders>
              <w:left w:val="single" w:sz="4" w:space="0" w:color="auto"/>
              <w:bottom w:val="single" w:sz="4" w:space="0" w:color="auto"/>
              <w:right w:val="single" w:sz="4" w:space="0" w:color="auto"/>
            </w:tcBorders>
            <w:shd w:val="clear" w:color="auto" w:fill="auto"/>
            <w:noWrap/>
            <w:vAlign w:val="center"/>
          </w:tcPr>
          <w:p w14:paraId="1DF39CAA"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population who believe decision-making is inclusive and responsive (</w:t>
            </w:r>
            <w:r w:rsidR="00044874">
              <w:rPr>
                <w:rFonts w:asciiTheme="minorBidi" w:hAnsiTheme="minorBidi" w:cstheme="minorBidi"/>
                <w:sz w:val="18"/>
                <w:szCs w:val="18"/>
              </w:rPr>
              <w:t>a</w:t>
            </w:r>
            <w:r w:rsidRPr="00C06ADB">
              <w:rPr>
                <w:rFonts w:asciiTheme="minorBidi" w:hAnsiTheme="minorBidi" w:cstheme="minorBidi"/>
                <w:sz w:val="18"/>
                <w:szCs w:val="18"/>
              </w:rPr>
              <w:t xml:space="preserve">verage of individuals who believe decision-making is inclusive and responsive) (PCBS, 2021,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69" w:type="dxa"/>
            <w:tcBorders>
              <w:left w:val="single" w:sz="4" w:space="0" w:color="auto"/>
              <w:bottom w:val="single" w:sz="4" w:space="0" w:color="auto"/>
              <w:right w:val="single" w:sz="4" w:space="0" w:color="auto"/>
            </w:tcBorders>
            <w:shd w:val="clear" w:color="auto" w:fill="auto"/>
            <w:noWrap/>
          </w:tcPr>
          <w:p w14:paraId="25CDF243"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left w:val="single" w:sz="4" w:space="0" w:color="auto"/>
              <w:bottom w:val="single" w:sz="4" w:space="0" w:color="auto"/>
              <w:right w:val="single" w:sz="4" w:space="0" w:color="auto"/>
            </w:tcBorders>
          </w:tcPr>
          <w:p w14:paraId="68D3B946" w14:textId="77777777" w:rsidR="0071415F" w:rsidRPr="00C06ADB" w:rsidDel="00AC5BDD"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43.7 (2018)</w:t>
            </w:r>
          </w:p>
        </w:tc>
        <w:tc>
          <w:tcPr>
            <w:tcW w:w="1070" w:type="dxa"/>
            <w:tcBorders>
              <w:left w:val="single" w:sz="4" w:space="0" w:color="auto"/>
              <w:bottom w:val="single" w:sz="4" w:space="0" w:color="auto"/>
              <w:right w:val="single" w:sz="4" w:space="0" w:color="auto"/>
            </w:tcBorders>
          </w:tcPr>
          <w:p w14:paraId="1D779078"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33.5</w:t>
            </w:r>
          </w:p>
        </w:tc>
        <w:tc>
          <w:tcPr>
            <w:tcW w:w="1543" w:type="dxa"/>
            <w:tcBorders>
              <w:left w:val="single" w:sz="4" w:space="0" w:color="auto"/>
              <w:bottom w:val="single" w:sz="4" w:space="0" w:color="auto"/>
              <w:right w:val="single" w:sz="4" w:space="0" w:color="auto"/>
            </w:tcBorders>
            <w:shd w:val="clear" w:color="auto" w:fill="auto"/>
            <w:noWrap/>
          </w:tcPr>
          <w:p w14:paraId="0EEDFD80"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47E3787F"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tcPr>
          <w:p w14:paraId="60A96C4D" w14:textId="77777777" w:rsidR="0071415F" w:rsidRPr="00C06ADB" w:rsidRDefault="0071415F" w:rsidP="00144912">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w:t>
            </w:r>
            <w:r w:rsidRPr="00C06ADB">
              <w:rPr>
                <w:rFonts w:asciiTheme="minorBidi" w:hAnsiTheme="minorBidi" w:cstheme="minorBidi"/>
                <w:b/>
                <w:bCs/>
                <w:sz w:val="18"/>
                <w:szCs w:val="18"/>
                <w:rtl/>
              </w:rPr>
              <w:t>8</w:t>
            </w:r>
            <w:r w:rsidRPr="00C06ADB">
              <w:rPr>
                <w:rFonts w:asciiTheme="minorBidi" w:hAnsiTheme="minorBidi" w:cstheme="minorBidi"/>
                <w:b/>
                <w:bCs/>
                <w:sz w:val="18"/>
                <w:szCs w:val="18"/>
              </w:rPr>
              <w:t>.1</w:t>
            </w:r>
            <w:r w:rsidRPr="00C06ADB">
              <w:rPr>
                <w:rFonts w:asciiTheme="minorBidi" w:hAnsiTheme="minorBidi" w:cstheme="minorBidi"/>
                <w:sz w:val="18"/>
                <w:szCs w:val="18"/>
              </w:rPr>
              <w:t xml:space="preserve"> Proportion of members and voting rights of developing countries in international organizations) </w:t>
            </w:r>
            <w:r w:rsidRPr="00C06ADB">
              <w:rPr>
                <w:rFonts w:asciiTheme="minorBidi" w:hAnsiTheme="minorBidi" w:cstheme="minorBidi"/>
                <w:b/>
                <w:bCs/>
                <w:sz w:val="18"/>
                <w:szCs w:val="18"/>
              </w:rPr>
              <w:t>(repeated with indicator: 10.6.1)</w:t>
            </w:r>
          </w:p>
        </w:tc>
        <w:tc>
          <w:tcPr>
            <w:tcW w:w="1469" w:type="dxa"/>
            <w:tcBorders>
              <w:top w:val="single" w:sz="4" w:space="0" w:color="auto"/>
              <w:left w:val="single" w:sz="4" w:space="0" w:color="auto"/>
              <w:right w:val="single" w:sz="4" w:space="0" w:color="auto"/>
            </w:tcBorders>
            <w:shd w:val="clear" w:color="auto" w:fill="auto"/>
            <w:noWrap/>
            <w:vAlign w:val="center"/>
          </w:tcPr>
          <w:p w14:paraId="5EACB2B1"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vAlign w:val="center"/>
          </w:tcPr>
          <w:p w14:paraId="22501FA5"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vAlign w:val="center"/>
          </w:tcPr>
          <w:p w14:paraId="76DAD3A1"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vAlign w:val="center"/>
          </w:tcPr>
          <w:p w14:paraId="43F5CDC3"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3A7B34E6" w14:textId="77777777" w:rsidTr="00137121">
        <w:trPr>
          <w:trHeight w:val="389"/>
          <w:jc w:val="center"/>
        </w:trPr>
        <w:tc>
          <w:tcPr>
            <w:tcW w:w="4689" w:type="dxa"/>
            <w:tcBorders>
              <w:left w:val="single" w:sz="4" w:space="0" w:color="auto"/>
              <w:bottom w:val="single" w:sz="4" w:space="0" w:color="auto"/>
              <w:right w:val="single" w:sz="4" w:space="0" w:color="auto"/>
            </w:tcBorders>
            <w:shd w:val="clear" w:color="auto" w:fill="auto"/>
            <w:noWrap/>
            <w:vAlign w:val="center"/>
          </w:tcPr>
          <w:p w14:paraId="7C9284FD" w14:textId="77777777" w:rsidR="00144912" w:rsidRPr="00C06ADB" w:rsidRDefault="00144912" w:rsidP="00232429">
            <w:pPr>
              <w:tabs>
                <w:tab w:val="left" w:pos="9072"/>
              </w:tabs>
              <w:bidi w:val="0"/>
              <w:spacing w:after="0" w:line="240" w:lineRule="auto"/>
              <w:ind w:left="336"/>
              <w:jc w:val="both"/>
              <w:rPr>
                <w:rFonts w:asciiTheme="minorBidi" w:hAnsiTheme="minorBidi" w:cstheme="minorBidi"/>
                <w:b/>
                <w:bCs/>
                <w:sz w:val="18"/>
                <w:szCs w:val="18"/>
              </w:rPr>
            </w:pPr>
            <w:r w:rsidRPr="00C06ADB">
              <w:rPr>
                <w:rFonts w:asciiTheme="minorBidi" w:hAnsiTheme="minorBidi" w:cstheme="minorBidi"/>
                <w:sz w:val="18"/>
                <w:szCs w:val="18"/>
              </w:rPr>
              <w:t xml:space="preserve">The right to membership and the right to vote in international organizations (Ministry of Foreign Affairs and Expatriate, </w:t>
            </w:r>
            <w:r w:rsidR="00232429">
              <w:rPr>
                <w:rFonts w:asciiTheme="minorBidi" w:hAnsiTheme="minorBidi" w:cstheme="minorBidi" w:hint="cs"/>
                <w:sz w:val="18"/>
                <w:szCs w:val="18"/>
                <w:rtl/>
              </w:rPr>
              <w:t>2022</w:t>
            </w:r>
            <w:r w:rsidRPr="00C06ADB">
              <w:rPr>
                <w:rFonts w:asciiTheme="minorBidi" w:hAnsiTheme="minorBidi" w:cstheme="minorBidi"/>
                <w:sz w:val="18"/>
                <w:szCs w:val="18"/>
              </w:rPr>
              <w:t xml:space="preserve">, Text) </w:t>
            </w:r>
          </w:p>
        </w:tc>
        <w:tc>
          <w:tcPr>
            <w:tcW w:w="1469" w:type="dxa"/>
            <w:tcBorders>
              <w:left w:val="single" w:sz="4" w:space="0" w:color="auto"/>
              <w:bottom w:val="single" w:sz="4" w:space="0" w:color="auto"/>
              <w:right w:val="single" w:sz="4" w:space="0" w:color="auto"/>
            </w:tcBorders>
            <w:shd w:val="clear" w:color="auto" w:fill="auto"/>
            <w:noWrap/>
            <w:vAlign w:val="center"/>
          </w:tcPr>
          <w:p w14:paraId="1C04CA7C"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val="it-IT"/>
              </w:rPr>
              <w:t>Identical</w:t>
            </w:r>
          </w:p>
        </w:tc>
        <w:tc>
          <w:tcPr>
            <w:tcW w:w="1249" w:type="dxa"/>
            <w:tcBorders>
              <w:left w:val="single" w:sz="4" w:space="0" w:color="auto"/>
              <w:bottom w:val="single" w:sz="4" w:space="0" w:color="auto"/>
              <w:right w:val="single" w:sz="4" w:space="0" w:color="auto"/>
            </w:tcBorders>
            <w:vAlign w:val="center"/>
          </w:tcPr>
          <w:p w14:paraId="7ED8B229" w14:textId="77777777" w:rsidR="00144912" w:rsidRPr="00C06ADB" w:rsidRDefault="00144912" w:rsidP="00137121">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val="it-IT"/>
              </w:rPr>
              <w:t>No (</w:t>
            </w:r>
            <w:r w:rsidR="00137121">
              <w:rPr>
                <w:rFonts w:asciiTheme="minorBidi" w:hAnsiTheme="minorBidi" w:cstheme="minorBidi"/>
                <w:sz w:val="18"/>
                <w:szCs w:val="18"/>
                <w:lang w:val="it-IT"/>
              </w:rPr>
              <w:t>2021</w:t>
            </w:r>
            <w:r w:rsidRPr="00C06ADB">
              <w:rPr>
                <w:rFonts w:asciiTheme="minorBidi" w:hAnsiTheme="minorBidi" w:cstheme="minorBidi"/>
                <w:sz w:val="18"/>
                <w:szCs w:val="18"/>
                <w:lang w:val="it-IT"/>
              </w:rPr>
              <w:t>)</w:t>
            </w:r>
          </w:p>
        </w:tc>
        <w:tc>
          <w:tcPr>
            <w:tcW w:w="1070" w:type="dxa"/>
            <w:tcBorders>
              <w:left w:val="single" w:sz="4" w:space="0" w:color="auto"/>
              <w:bottom w:val="single" w:sz="4" w:space="0" w:color="auto"/>
              <w:right w:val="single" w:sz="4" w:space="0" w:color="auto"/>
            </w:tcBorders>
            <w:vAlign w:val="center"/>
          </w:tcPr>
          <w:p w14:paraId="5A37DB29"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val="it-IT"/>
              </w:rPr>
              <w:t>No</w:t>
            </w:r>
          </w:p>
        </w:tc>
        <w:tc>
          <w:tcPr>
            <w:tcW w:w="1543" w:type="dxa"/>
            <w:tcBorders>
              <w:left w:val="single" w:sz="4" w:space="0" w:color="auto"/>
              <w:bottom w:val="single" w:sz="4" w:space="0" w:color="auto"/>
              <w:right w:val="single" w:sz="4" w:space="0" w:color="auto"/>
            </w:tcBorders>
            <w:shd w:val="clear" w:color="auto" w:fill="auto"/>
            <w:noWrap/>
            <w:vAlign w:val="center"/>
          </w:tcPr>
          <w:p w14:paraId="2BDF8EEF"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No change</w:t>
            </w:r>
          </w:p>
        </w:tc>
      </w:tr>
      <w:tr w:rsidR="00144912" w:rsidRPr="00C06ADB" w14:paraId="1AFEA09A" w14:textId="77777777" w:rsidTr="00137121">
        <w:trPr>
          <w:trHeight w:val="389"/>
          <w:jc w:val="center"/>
        </w:trPr>
        <w:tc>
          <w:tcPr>
            <w:tcW w:w="4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93FBC" w14:textId="77777777"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lastRenderedPageBreak/>
              <w:t>Indicator 16.9.1</w:t>
            </w:r>
            <w:r w:rsidRPr="00C06ADB">
              <w:rPr>
                <w:rFonts w:asciiTheme="minorBidi" w:hAnsiTheme="minorBidi" w:cstheme="minorBidi"/>
                <w:sz w:val="18"/>
                <w:szCs w:val="18"/>
              </w:rPr>
              <w:t xml:space="preserve"> Proportion of children under 5 years of age whose births have been registered with a civil authority, by age (PCBS, 2019, Percentage)</w:t>
            </w:r>
          </w:p>
        </w:tc>
        <w:tc>
          <w:tcPr>
            <w:tcW w:w="1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EE385"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single" w:sz="4" w:space="0" w:color="auto"/>
              <w:left w:val="single" w:sz="4" w:space="0" w:color="auto"/>
              <w:bottom w:val="single" w:sz="4" w:space="0" w:color="auto"/>
              <w:right w:val="single" w:sz="4" w:space="0" w:color="auto"/>
            </w:tcBorders>
            <w:vAlign w:val="center"/>
          </w:tcPr>
          <w:p w14:paraId="036B1F17"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99.3 (2014)</w:t>
            </w:r>
          </w:p>
        </w:tc>
        <w:tc>
          <w:tcPr>
            <w:tcW w:w="1070" w:type="dxa"/>
            <w:tcBorders>
              <w:top w:val="single" w:sz="4" w:space="0" w:color="auto"/>
              <w:left w:val="single" w:sz="4" w:space="0" w:color="auto"/>
              <w:bottom w:val="single" w:sz="4" w:space="0" w:color="auto"/>
              <w:right w:val="single" w:sz="4" w:space="0" w:color="auto"/>
            </w:tcBorders>
            <w:vAlign w:val="center"/>
          </w:tcPr>
          <w:p w14:paraId="3F946A8E"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99.2</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8A214"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670608" w:rsidRPr="00C06ADB" w14:paraId="103A0FBC" w14:textId="77777777" w:rsidTr="00137121">
        <w:trPr>
          <w:trHeight w:val="389"/>
          <w:jc w:val="center"/>
        </w:trPr>
        <w:tc>
          <w:tcPr>
            <w:tcW w:w="4689" w:type="dxa"/>
            <w:tcBorders>
              <w:top w:val="single" w:sz="4" w:space="0" w:color="auto"/>
              <w:left w:val="single" w:sz="4" w:space="0" w:color="auto"/>
              <w:right w:val="single" w:sz="4" w:space="0" w:color="auto"/>
            </w:tcBorders>
            <w:shd w:val="clear" w:color="auto" w:fill="auto"/>
            <w:noWrap/>
            <w:vAlign w:val="center"/>
          </w:tcPr>
          <w:p w14:paraId="3563E46D" w14:textId="77777777" w:rsidR="00670608" w:rsidRPr="00C06ADB" w:rsidRDefault="00670608" w:rsidP="00374130">
            <w:pPr>
              <w:bidi w:val="0"/>
              <w:spacing w:after="0" w:line="240" w:lineRule="auto"/>
              <w:ind w:left="39"/>
              <w:jc w:val="both"/>
              <w:rPr>
                <w:rFonts w:asciiTheme="minorBidi" w:hAnsiTheme="minorBidi" w:cstheme="minorBidi"/>
                <w:b/>
                <w:bCs/>
                <w:sz w:val="18"/>
                <w:szCs w:val="18"/>
              </w:rPr>
            </w:pPr>
            <w:r w:rsidRPr="00C06ADB">
              <w:rPr>
                <w:rFonts w:asciiTheme="minorBidi" w:hAnsiTheme="minorBidi" w:cstheme="minorBidi"/>
                <w:b/>
                <w:bCs/>
                <w:sz w:val="18"/>
                <w:szCs w:val="18"/>
              </w:rPr>
              <w:t xml:space="preserve">Indicator 16.10.1 </w:t>
            </w:r>
            <w:r w:rsidRPr="00C06ADB">
              <w:rPr>
                <w:rFonts w:asciiTheme="minorBidi" w:hAnsiTheme="minorBidi" w:cstheme="minorBidi"/>
                <w:sz w:val="18"/>
                <w:szCs w:val="18"/>
              </w:rPr>
              <w:t>Number of verified cases of killing, kidnapping, enforced disappearance, arbitrary detention and torture of journalists, associated media personnel, trade unionists and human rights advocates in the previous 12 months</w:t>
            </w:r>
          </w:p>
        </w:tc>
        <w:tc>
          <w:tcPr>
            <w:tcW w:w="1469" w:type="dxa"/>
            <w:tcBorders>
              <w:top w:val="single" w:sz="4" w:space="0" w:color="auto"/>
              <w:left w:val="single" w:sz="4" w:space="0" w:color="auto"/>
              <w:right w:val="single" w:sz="4" w:space="0" w:color="auto"/>
            </w:tcBorders>
            <w:shd w:val="clear" w:color="auto" w:fill="auto"/>
            <w:noWrap/>
            <w:vAlign w:val="center"/>
          </w:tcPr>
          <w:p w14:paraId="543EF114" w14:textId="77777777" w:rsidR="00670608" w:rsidRPr="00C06ADB" w:rsidRDefault="00670608" w:rsidP="00670608">
            <w:pPr>
              <w:bidi w:val="0"/>
              <w:spacing w:after="0" w:line="240" w:lineRule="auto"/>
              <w:jc w:val="center"/>
              <w:rPr>
                <w:rFonts w:asciiTheme="minorBidi" w:hAnsiTheme="minorBidi" w:cstheme="minorBidi"/>
                <w:sz w:val="18"/>
                <w:szCs w:val="18"/>
              </w:rPr>
            </w:pPr>
          </w:p>
        </w:tc>
        <w:tc>
          <w:tcPr>
            <w:tcW w:w="1249" w:type="dxa"/>
            <w:tcBorders>
              <w:top w:val="single" w:sz="4" w:space="0" w:color="auto"/>
              <w:left w:val="single" w:sz="4" w:space="0" w:color="auto"/>
              <w:right w:val="single" w:sz="4" w:space="0" w:color="auto"/>
            </w:tcBorders>
            <w:vAlign w:val="center"/>
          </w:tcPr>
          <w:p w14:paraId="0DB3710C" w14:textId="77777777" w:rsidR="00670608" w:rsidRPr="00C06ADB" w:rsidRDefault="00670608" w:rsidP="00670608">
            <w:pPr>
              <w:bidi w:val="0"/>
              <w:spacing w:after="0" w:line="240" w:lineRule="auto"/>
              <w:jc w:val="center"/>
              <w:rPr>
                <w:rFonts w:asciiTheme="minorBidi" w:hAnsiTheme="minorBidi" w:cstheme="minorBidi"/>
                <w:sz w:val="18"/>
                <w:szCs w:val="18"/>
              </w:rPr>
            </w:pPr>
          </w:p>
        </w:tc>
        <w:tc>
          <w:tcPr>
            <w:tcW w:w="1070" w:type="dxa"/>
            <w:tcBorders>
              <w:top w:val="single" w:sz="4" w:space="0" w:color="auto"/>
              <w:left w:val="single" w:sz="4" w:space="0" w:color="auto"/>
              <w:right w:val="single" w:sz="4" w:space="0" w:color="auto"/>
            </w:tcBorders>
            <w:vAlign w:val="center"/>
          </w:tcPr>
          <w:p w14:paraId="3804989A" w14:textId="77777777" w:rsidR="00670608" w:rsidRPr="00C06ADB" w:rsidRDefault="00670608" w:rsidP="00670608">
            <w:pPr>
              <w:bidi w:val="0"/>
              <w:spacing w:after="0" w:line="240" w:lineRule="auto"/>
              <w:jc w:val="center"/>
              <w:rPr>
                <w:rFonts w:asciiTheme="minorBidi" w:hAnsiTheme="minorBidi" w:cstheme="minorBidi"/>
                <w:sz w:val="18"/>
                <w:szCs w:val="18"/>
              </w:rPr>
            </w:pPr>
          </w:p>
        </w:tc>
        <w:tc>
          <w:tcPr>
            <w:tcW w:w="1543" w:type="dxa"/>
            <w:tcBorders>
              <w:top w:val="single" w:sz="4" w:space="0" w:color="auto"/>
              <w:left w:val="single" w:sz="4" w:space="0" w:color="auto"/>
              <w:right w:val="single" w:sz="4" w:space="0" w:color="auto"/>
            </w:tcBorders>
            <w:shd w:val="clear" w:color="auto" w:fill="auto"/>
            <w:noWrap/>
            <w:vAlign w:val="center"/>
          </w:tcPr>
          <w:p w14:paraId="235F0B1D" w14:textId="77777777" w:rsidR="00670608" w:rsidRPr="00C06ADB" w:rsidRDefault="00670608" w:rsidP="00670608">
            <w:pPr>
              <w:bidi w:val="0"/>
              <w:spacing w:after="0" w:line="240" w:lineRule="auto"/>
              <w:jc w:val="center"/>
              <w:rPr>
                <w:rFonts w:asciiTheme="minorBidi" w:hAnsiTheme="minorBidi" w:cstheme="minorBidi"/>
                <w:sz w:val="18"/>
                <w:szCs w:val="18"/>
              </w:rPr>
            </w:pPr>
          </w:p>
        </w:tc>
      </w:tr>
      <w:tr w:rsidR="00670608" w:rsidRPr="00C06ADB" w14:paraId="511AD545" w14:textId="77777777" w:rsidTr="00137121">
        <w:trPr>
          <w:trHeight w:val="389"/>
          <w:jc w:val="center"/>
        </w:trPr>
        <w:tc>
          <w:tcPr>
            <w:tcW w:w="4689" w:type="dxa"/>
            <w:tcBorders>
              <w:left w:val="single" w:sz="4" w:space="0" w:color="auto"/>
              <w:bottom w:val="single" w:sz="4" w:space="0" w:color="auto"/>
              <w:right w:val="single" w:sz="4" w:space="0" w:color="auto"/>
            </w:tcBorders>
            <w:shd w:val="clear" w:color="auto" w:fill="auto"/>
            <w:noWrap/>
            <w:vAlign w:val="center"/>
          </w:tcPr>
          <w:p w14:paraId="1E7A5B9E" w14:textId="77777777" w:rsidR="00670608" w:rsidRPr="00C06ADB" w:rsidRDefault="00670608" w:rsidP="00374130">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Number of verified cases of killing of journalists, associated media personnel, trade unionists and human rights advocates in the previous 12 months by Israeli Settlers and Army (Palestinian Center for Development and Media Freedom (MADA), 2021, Number)</w:t>
            </w:r>
          </w:p>
        </w:tc>
        <w:tc>
          <w:tcPr>
            <w:tcW w:w="1469" w:type="dxa"/>
            <w:tcBorders>
              <w:left w:val="single" w:sz="4" w:space="0" w:color="auto"/>
              <w:bottom w:val="single" w:sz="4" w:space="0" w:color="auto"/>
              <w:right w:val="single" w:sz="4" w:space="0" w:color="auto"/>
            </w:tcBorders>
            <w:shd w:val="clear" w:color="auto" w:fill="auto"/>
            <w:noWrap/>
            <w:vAlign w:val="center"/>
          </w:tcPr>
          <w:p w14:paraId="57197857"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49" w:type="dxa"/>
            <w:tcBorders>
              <w:left w:val="single" w:sz="4" w:space="0" w:color="auto"/>
              <w:bottom w:val="single" w:sz="4" w:space="0" w:color="auto"/>
              <w:right w:val="single" w:sz="4" w:space="0" w:color="auto"/>
            </w:tcBorders>
            <w:vAlign w:val="center"/>
          </w:tcPr>
          <w:p w14:paraId="072A8770"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0 (2020)</w:t>
            </w:r>
          </w:p>
        </w:tc>
        <w:tc>
          <w:tcPr>
            <w:tcW w:w="1070" w:type="dxa"/>
            <w:tcBorders>
              <w:left w:val="single" w:sz="4" w:space="0" w:color="auto"/>
              <w:bottom w:val="single" w:sz="4" w:space="0" w:color="auto"/>
              <w:right w:val="single" w:sz="4" w:space="0" w:color="auto"/>
            </w:tcBorders>
            <w:vAlign w:val="center"/>
          </w:tcPr>
          <w:p w14:paraId="059A8166"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w:t>
            </w:r>
          </w:p>
        </w:tc>
        <w:tc>
          <w:tcPr>
            <w:tcW w:w="1543" w:type="dxa"/>
            <w:tcBorders>
              <w:left w:val="single" w:sz="4" w:space="0" w:color="auto"/>
              <w:bottom w:val="single" w:sz="4" w:space="0" w:color="auto"/>
              <w:right w:val="single" w:sz="4" w:space="0" w:color="auto"/>
            </w:tcBorders>
            <w:shd w:val="clear" w:color="auto" w:fill="auto"/>
            <w:noWrap/>
            <w:vAlign w:val="center"/>
          </w:tcPr>
          <w:p w14:paraId="1362D1E4"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670608" w:rsidRPr="00C06ADB" w14:paraId="6A07A372" w14:textId="77777777" w:rsidTr="00137121">
        <w:trPr>
          <w:trHeight w:val="389"/>
          <w:jc w:val="center"/>
        </w:trPr>
        <w:tc>
          <w:tcPr>
            <w:tcW w:w="4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48FD0" w14:textId="77777777" w:rsidR="00670608" w:rsidRPr="00B10C76" w:rsidRDefault="00670608" w:rsidP="00232429">
            <w:pPr>
              <w:bidi w:val="0"/>
              <w:spacing w:after="0" w:line="240" w:lineRule="auto"/>
              <w:ind w:left="39"/>
              <w:jc w:val="both"/>
              <w:rPr>
                <w:rFonts w:asciiTheme="minorBidi" w:hAnsiTheme="minorBidi" w:cstheme="minorBidi"/>
                <w:sz w:val="18"/>
                <w:szCs w:val="18"/>
              </w:rPr>
            </w:pPr>
            <w:r w:rsidRPr="00B10C76">
              <w:rPr>
                <w:rFonts w:asciiTheme="minorBidi" w:hAnsiTheme="minorBidi" w:cstheme="minorBidi"/>
                <w:b/>
                <w:bCs/>
                <w:sz w:val="18"/>
                <w:szCs w:val="18"/>
              </w:rPr>
              <w:t>Indicator 16.a.1</w:t>
            </w:r>
            <w:r w:rsidRPr="00B10C76">
              <w:rPr>
                <w:rFonts w:asciiTheme="minorBidi" w:hAnsiTheme="minorBidi" w:cstheme="minorBidi"/>
                <w:sz w:val="18"/>
                <w:szCs w:val="18"/>
              </w:rPr>
              <w:t xml:space="preserve"> Existence of independent national human rights institutions in compliance with the Paris Principles (ICHR,</w:t>
            </w:r>
            <w:r w:rsidR="00232429" w:rsidRPr="00B10C76">
              <w:rPr>
                <w:rFonts w:asciiTheme="minorBidi" w:hAnsiTheme="minorBidi" w:cstheme="minorBidi" w:hint="cs"/>
                <w:sz w:val="18"/>
                <w:szCs w:val="18"/>
                <w:rtl/>
              </w:rPr>
              <w:t>2022</w:t>
            </w:r>
            <w:r w:rsidRPr="00B10C76">
              <w:rPr>
                <w:rFonts w:asciiTheme="minorBidi" w:hAnsiTheme="minorBidi" w:cstheme="minorBidi"/>
                <w:sz w:val="18"/>
                <w:szCs w:val="18"/>
              </w:rPr>
              <w:t xml:space="preserve">, </w:t>
            </w:r>
            <w:r w:rsidR="00FC14EC" w:rsidRPr="00B10C76">
              <w:rPr>
                <w:rFonts w:asciiTheme="minorBidi" w:hAnsiTheme="minorBidi" w:cstheme="minorBidi"/>
                <w:sz w:val="18"/>
                <w:szCs w:val="18"/>
              </w:rPr>
              <w:t>Text</w:t>
            </w:r>
            <w:r w:rsidRPr="00B10C76">
              <w:rPr>
                <w:rFonts w:asciiTheme="minorBidi" w:hAnsiTheme="minorBidi" w:cstheme="minorBidi"/>
                <w:sz w:val="18"/>
                <w:szCs w:val="18"/>
              </w:rPr>
              <w:t>)</w:t>
            </w:r>
          </w:p>
        </w:tc>
        <w:tc>
          <w:tcPr>
            <w:tcW w:w="14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DC693" w14:textId="77777777" w:rsidR="00670608" w:rsidRPr="00B10C76" w:rsidRDefault="00670608" w:rsidP="00670608">
            <w:pPr>
              <w:bidi w:val="0"/>
              <w:spacing w:after="0" w:line="240" w:lineRule="auto"/>
              <w:jc w:val="center"/>
              <w:rPr>
                <w:rFonts w:asciiTheme="minorBidi" w:hAnsiTheme="minorBidi" w:cstheme="minorBidi"/>
                <w:sz w:val="18"/>
                <w:szCs w:val="18"/>
              </w:rPr>
            </w:pPr>
            <w:r w:rsidRPr="00B10C76">
              <w:rPr>
                <w:rFonts w:asciiTheme="minorBidi" w:hAnsiTheme="minorBidi" w:cstheme="minorBidi"/>
                <w:sz w:val="18"/>
                <w:szCs w:val="18"/>
              </w:rPr>
              <w:t>Identical</w:t>
            </w:r>
          </w:p>
        </w:tc>
        <w:tc>
          <w:tcPr>
            <w:tcW w:w="1249" w:type="dxa"/>
            <w:tcBorders>
              <w:top w:val="single" w:sz="4" w:space="0" w:color="auto"/>
              <w:left w:val="single" w:sz="4" w:space="0" w:color="auto"/>
              <w:bottom w:val="single" w:sz="4" w:space="0" w:color="auto"/>
              <w:right w:val="single" w:sz="4" w:space="0" w:color="auto"/>
            </w:tcBorders>
            <w:vAlign w:val="center"/>
          </w:tcPr>
          <w:p w14:paraId="4A77CF17" w14:textId="77777777" w:rsidR="00FC14EC" w:rsidRPr="00B10C76" w:rsidRDefault="00670608" w:rsidP="00FC14EC">
            <w:pPr>
              <w:bidi w:val="0"/>
              <w:spacing w:after="0" w:line="240" w:lineRule="auto"/>
              <w:jc w:val="center"/>
              <w:rPr>
                <w:rFonts w:asciiTheme="minorBidi" w:hAnsiTheme="minorBidi" w:cstheme="minorBidi"/>
                <w:sz w:val="18"/>
                <w:szCs w:val="18"/>
              </w:rPr>
            </w:pPr>
            <w:r w:rsidRPr="00B10C76">
              <w:rPr>
                <w:rFonts w:asciiTheme="minorBidi" w:hAnsiTheme="minorBidi" w:cstheme="minorBidi"/>
                <w:sz w:val="18"/>
                <w:szCs w:val="18"/>
              </w:rPr>
              <w:t>Yes</w:t>
            </w:r>
          </w:p>
          <w:p w14:paraId="71508F74" w14:textId="77777777" w:rsidR="00670608" w:rsidRPr="00B10C76" w:rsidRDefault="00670608" w:rsidP="00137121">
            <w:pPr>
              <w:bidi w:val="0"/>
              <w:spacing w:after="0" w:line="240" w:lineRule="auto"/>
              <w:jc w:val="center"/>
              <w:rPr>
                <w:rFonts w:asciiTheme="minorBidi" w:hAnsiTheme="minorBidi" w:cstheme="minorBidi"/>
                <w:sz w:val="18"/>
                <w:szCs w:val="18"/>
              </w:rPr>
            </w:pPr>
            <w:r w:rsidRPr="00B10C76">
              <w:rPr>
                <w:rFonts w:asciiTheme="minorBidi" w:hAnsiTheme="minorBidi" w:cstheme="minorBidi"/>
                <w:sz w:val="18"/>
                <w:szCs w:val="18"/>
              </w:rPr>
              <w:t xml:space="preserve"> (</w:t>
            </w:r>
            <w:r w:rsidR="00137121" w:rsidRPr="00B10C76">
              <w:rPr>
                <w:rFonts w:asciiTheme="minorBidi" w:hAnsiTheme="minorBidi" w:cstheme="minorBidi"/>
                <w:sz w:val="18"/>
                <w:szCs w:val="18"/>
              </w:rPr>
              <w:t>2021</w:t>
            </w:r>
            <w:r w:rsidRPr="00B10C76">
              <w:rPr>
                <w:rFonts w:asciiTheme="minorBidi" w:hAnsiTheme="minorBidi" w:cstheme="minorBidi"/>
                <w:sz w:val="18"/>
                <w:szCs w:val="18"/>
              </w:rPr>
              <w:t>)</w:t>
            </w:r>
          </w:p>
        </w:tc>
        <w:tc>
          <w:tcPr>
            <w:tcW w:w="1070" w:type="dxa"/>
            <w:tcBorders>
              <w:top w:val="single" w:sz="4" w:space="0" w:color="auto"/>
              <w:left w:val="single" w:sz="4" w:space="0" w:color="auto"/>
              <w:bottom w:val="single" w:sz="4" w:space="0" w:color="auto"/>
              <w:right w:val="single" w:sz="4" w:space="0" w:color="auto"/>
            </w:tcBorders>
            <w:vAlign w:val="center"/>
          </w:tcPr>
          <w:p w14:paraId="3A9C36C6" w14:textId="77777777" w:rsidR="00670608" w:rsidRPr="00C06ADB" w:rsidRDefault="00670608" w:rsidP="00FC14EC">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Yes</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E177C"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No change</w:t>
            </w:r>
          </w:p>
        </w:tc>
      </w:tr>
      <w:tr w:rsidR="00670608" w:rsidRPr="00C06ADB" w14:paraId="7CFDDFEB" w14:textId="77777777" w:rsidTr="00137121">
        <w:trPr>
          <w:trHeight w:val="389"/>
          <w:jc w:val="center"/>
        </w:trPr>
        <w:tc>
          <w:tcPr>
            <w:tcW w:w="4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3D7B" w14:textId="77777777" w:rsidR="00670608" w:rsidRPr="00C06ADB" w:rsidRDefault="00670608" w:rsidP="00670608">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 xml:space="preserve">Indicator 16.b.1 </w:t>
            </w:r>
            <w:r w:rsidRPr="00C06ADB">
              <w:rPr>
                <w:rFonts w:asciiTheme="minorBidi" w:hAnsiTheme="minorBidi" w:cstheme="minorBidi"/>
                <w:sz w:val="18"/>
                <w:szCs w:val="18"/>
              </w:rPr>
              <w:t xml:space="preserve">Proportion of population reporting having personally felt discriminated against or harassed in the previous 12 months on the basis of a ground ofdiscrimination prohibited under international human rights law(PCBS, 2021, </w:t>
            </w:r>
            <w:r w:rsidR="00044874">
              <w:rPr>
                <w:rFonts w:asciiTheme="minorBidi" w:hAnsiTheme="minorBidi" w:cstheme="minorBidi"/>
                <w:sz w:val="18"/>
                <w:szCs w:val="18"/>
              </w:rPr>
              <w:t>p</w:t>
            </w:r>
            <w:r w:rsidRPr="00C06ADB">
              <w:rPr>
                <w:rFonts w:asciiTheme="minorBidi" w:hAnsiTheme="minorBidi" w:cstheme="minorBidi"/>
                <w:sz w:val="18"/>
                <w:szCs w:val="18"/>
              </w:rPr>
              <w:t>ercentage)</w:t>
            </w:r>
            <w:r w:rsidRPr="00C06ADB">
              <w:rPr>
                <w:rFonts w:asciiTheme="minorBidi" w:hAnsiTheme="minorBidi" w:cstheme="minorBidi"/>
                <w:b/>
                <w:bCs/>
                <w:sz w:val="18"/>
                <w:szCs w:val="18"/>
              </w:rPr>
              <w:t xml:space="preserve"> (repeated with indicator: 10.3.1)</w:t>
            </w:r>
          </w:p>
        </w:tc>
        <w:tc>
          <w:tcPr>
            <w:tcW w:w="1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17531"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49" w:type="dxa"/>
            <w:tcBorders>
              <w:top w:val="single" w:sz="4" w:space="0" w:color="auto"/>
              <w:left w:val="single" w:sz="4" w:space="0" w:color="auto"/>
              <w:bottom w:val="single" w:sz="4" w:space="0" w:color="auto"/>
              <w:right w:val="single" w:sz="4" w:space="0" w:color="auto"/>
            </w:tcBorders>
            <w:vAlign w:val="center"/>
          </w:tcPr>
          <w:p w14:paraId="6C39CD03"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10.5 (2018)</w:t>
            </w:r>
          </w:p>
        </w:tc>
        <w:tc>
          <w:tcPr>
            <w:tcW w:w="1070" w:type="dxa"/>
            <w:tcBorders>
              <w:top w:val="single" w:sz="4" w:space="0" w:color="auto"/>
              <w:left w:val="single" w:sz="4" w:space="0" w:color="auto"/>
              <w:bottom w:val="single" w:sz="4" w:space="0" w:color="auto"/>
              <w:right w:val="single" w:sz="4" w:space="0" w:color="auto"/>
            </w:tcBorders>
            <w:vAlign w:val="center"/>
          </w:tcPr>
          <w:p w14:paraId="007AE1BB"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10.2</w:t>
            </w:r>
          </w:p>
        </w:tc>
        <w:tc>
          <w:tcPr>
            <w:tcW w:w="1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27D4F"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bl>
    <w:p w14:paraId="328423C1" w14:textId="77777777" w:rsidR="0071415F" w:rsidRPr="000D2E4D" w:rsidRDefault="0071415F" w:rsidP="0071415F">
      <w:pPr>
        <w:autoSpaceDE w:val="0"/>
        <w:autoSpaceDN w:val="0"/>
        <w:bidi w:val="0"/>
        <w:adjustRightInd w:val="0"/>
        <w:spacing w:after="0" w:line="240" w:lineRule="auto"/>
        <w:jc w:val="both"/>
        <w:rPr>
          <w:rFonts w:ascii="Arial" w:hAnsi="Arial"/>
          <w:color w:val="000000"/>
          <w:sz w:val="18"/>
          <w:szCs w:val="18"/>
        </w:rPr>
      </w:pPr>
      <w:r w:rsidRPr="000D2E4D">
        <w:rPr>
          <w:rFonts w:ascii="Arial" w:hAnsi="Arial"/>
          <w:color w:val="000000"/>
          <w:sz w:val="18"/>
          <w:szCs w:val="18"/>
        </w:rPr>
        <w:t>*Data represent the West Bank only</w:t>
      </w:r>
    </w:p>
    <w:p w14:paraId="125C7490"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p>
    <w:p w14:paraId="7FF07CCB"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16.1.1 Number of victims of intentional homicide per 100,000 population, by age and sex</w:t>
      </w:r>
    </w:p>
    <w:p w14:paraId="47F078B3" w14:textId="77777777" w:rsidR="00A92234" w:rsidRPr="00B15ACB"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6F5335BA" w14:textId="64FD1537" w:rsidR="0071415F" w:rsidRPr="00142B44" w:rsidRDefault="0071415F" w:rsidP="00A858A6">
      <w:pPr>
        <w:autoSpaceDE w:val="0"/>
        <w:autoSpaceDN w:val="0"/>
        <w:bidi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In 202</w:t>
      </w:r>
      <w:r w:rsidR="00A858A6">
        <w:rPr>
          <w:rFonts w:ascii="Times New Roman" w:hAnsi="Times New Roman" w:cs="Times New Roman"/>
          <w:color w:val="000000"/>
          <w:sz w:val="24"/>
          <w:szCs w:val="24"/>
        </w:rPr>
        <w:t>2</w:t>
      </w:r>
      <w:r>
        <w:rPr>
          <w:rFonts w:ascii="Times New Roman" w:hAnsi="Times New Roman" w:cs="Times New Roman"/>
          <w:color w:val="000000"/>
          <w:sz w:val="24"/>
          <w:szCs w:val="24"/>
        </w:rPr>
        <w:t xml:space="preserve">, </w:t>
      </w:r>
      <w:r w:rsidR="00A858A6">
        <w:rPr>
          <w:rFonts w:ascii="Times New Roman" w:hAnsi="Times New Roman" w:cs="Times New Roman"/>
          <w:color w:val="000000"/>
          <w:sz w:val="24"/>
          <w:szCs w:val="24"/>
        </w:rPr>
        <w:t xml:space="preserve">33 </w:t>
      </w:r>
      <w:r w:rsidR="00044874">
        <w:rPr>
          <w:rFonts w:ascii="Times New Roman" w:hAnsi="Times New Roman" w:cs="Times New Roman"/>
          <w:color w:val="000000"/>
          <w:sz w:val="24"/>
          <w:szCs w:val="24"/>
        </w:rPr>
        <w:t xml:space="preserve">individuals were </w:t>
      </w:r>
      <w:r w:rsidRPr="008B4079">
        <w:rPr>
          <w:rFonts w:ascii="Times New Roman" w:hAnsi="Times New Roman" w:cs="Times New Roman"/>
          <w:color w:val="000000"/>
          <w:sz w:val="24"/>
          <w:szCs w:val="24"/>
        </w:rPr>
        <w:t xml:space="preserve">victims </w:t>
      </w:r>
      <w:r w:rsidR="00044874">
        <w:rPr>
          <w:rFonts w:ascii="Times New Roman" w:hAnsi="Times New Roman" w:cs="Times New Roman"/>
          <w:color w:val="000000"/>
          <w:sz w:val="24"/>
          <w:szCs w:val="24"/>
        </w:rPr>
        <w:t>of</w:t>
      </w:r>
      <w:r w:rsidRPr="008B4079">
        <w:rPr>
          <w:rFonts w:ascii="Times New Roman" w:hAnsi="Times New Roman" w:cs="Times New Roman"/>
          <w:color w:val="000000"/>
          <w:sz w:val="24"/>
          <w:szCs w:val="24"/>
        </w:rPr>
        <w:t xml:space="preserve"> intentional</w:t>
      </w:r>
      <w:r w:rsidR="00A858A6">
        <w:rPr>
          <w:rFonts w:ascii="Times New Roman" w:hAnsi="Times New Roman" w:cs="Times New Roman"/>
          <w:color w:val="000000"/>
          <w:sz w:val="24"/>
          <w:szCs w:val="24"/>
        </w:rPr>
        <w:t>,</w:t>
      </w:r>
      <w:r w:rsidRPr="008B4079">
        <w:rPr>
          <w:rFonts w:ascii="Times New Roman" w:hAnsi="Times New Roman" w:cs="Times New Roman"/>
          <w:color w:val="000000"/>
          <w:sz w:val="24"/>
          <w:szCs w:val="24"/>
        </w:rPr>
        <w:t xml:space="preserve"> the ratio per 100,000 </w:t>
      </w:r>
      <w:r w:rsidR="00044874">
        <w:rPr>
          <w:rFonts w:ascii="Times New Roman" w:hAnsi="Times New Roman" w:cs="Times New Roman"/>
          <w:color w:val="000000"/>
          <w:sz w:val="24"/>
          <w:szCs w:val="24"/>
        </w:rPr>
        <w:t xml:space="preserve">person of </w:t>
      </w:r>
      <w:r w:rsidRPr="008B4079">
        <w:rPr>
          <w:rFonts w:ascii="Times New Roman" w:hAnsi="Times New Roman" w:cs="Times New Roman"/>
          <w:color w:val="000000"/>
          <w:sz w:val="24"/>
          <w:szCs w:val="24"/>
        </w:rPr>
        <w:t xml:space="preserve">population is </w:t>
      </w:r>
      <w:r>
        <w:rPr>
          <w:rFonts w:ascii="Times New Roman" w:hAnsi="Times New Roman" w:cs="Times New Roman"/>
          <w:color w:val="000000"/>
          <w:sz w:val="24"/>
          <w:szCs w:val="24"/>
        </w:rPr>
        <w:t>1.</w:t>
      </w:r>
      <w:r w:rsidR="00A858A6">
        <w:rPr>
          <w:rFonts w:ascii="Times New Roman" w:hAnsi="Times New Roman" w:cs="Times New Roman"/>
          <w:color w:val="000000"/>
          <w:sz w:val="24"/>
          <w:szCs w:val="24"/>
        </w:rPr>
        <w:t>1</w:t>
      </w:r>
      <w:r w:rsidRPr="008B4079">
        <w:rPr>
          <w:rFonts w:ascii="Times New Roman" w:hAnsi="Times New Roman" w:cs="Times New Roman"/>
          <w:color w:val="000000"/>
          <w:sz w:val="24"/>
          <w:szCs w:val="24"/>
        </w:rPr>
        <w:t xml:space="preserve">. As noted in the provided data, the trend is </w:t>
      </w:r>
      <w:r>
        <w:rPr>
          <w:rFonts w:ascii="Times New Roman" w:hAnsi="Times New Roman" w:cs="Times New Roman"/>
          <w:color w:val="000000"/>
          <w:sz w:val="24"/>
          <w:szCs w:val="24"/>
        </w:rPr>
        <w:t>in</w:t>
      </w:r>
      <w:r w:rsidRPr="008B4079">
        <w:rPr>
          <w:rFonts w:ascii="Times New Roman" w:hAnsi="Times New Roman" w:cs="Times New Roman"/>
          <w:color w:val="000000"/>
          <w:sz w:val="24"/>
          <w:szCs w:val="24"/>
        </w:rPr>
        <w:t>creasing</w:t>
      </w:r>
      <w:r w:rsidR="00044874">
        <w:rPr>
          <w:rFonts w:ascii="Times New Roman" w:hAnsi="Times New Roman" w:cs="Times New Roman"/>
          <w:color w:val="000000"/>
          <w:sz w:val="24"/>
          <w:szCs w:val="24"/>
        </w:rPr>
        <w:t>, even though</w:t>
      </w:r>
      <w:r w:rsidRPr="008B4079">
        <w:rPr>
          <w:rFonts w:ascii="Times New Roman" w:hAnsi="Times New Roman" w:cs="Times New Roman"/>
          <w:color w:val="000000"/>
          <w:sz w:val="24"/>
          <w:szCs w:val="24"/>
        </w:rPr>
        <w:t xml:space="preserve"> the percentage of the females is significantly </w:t>
      </w:r>
      <w:r w:rsidR="00044874">
        <w:rPr>
          <w:rFonts w:ascii="Times New Roman" w:hAnsi="Times New Roman" w:cs="Times New Roman"/>
          <w:color w:val="000000"/>
          <w:sz w:val="24"/>
          <w:szCs w:val="24"/>
        </w:rPr>
        <w:t>lower</w:t>
      </w:r>
      <w:r w:rsidRPr="008B4079">
        <w:rPr>
          <w:rFonts w:ascii="Times New Roman" w:hAnsi="Times New Roman" w:cs="Times New Roman"/>
          <w:color w:val="000000"/>
          <w:sz w:val="24"/>
          <w:szCs w:val="24"/>
        </w:rPr>
        <w:t xml:space="preserve"> than males</w:t>
      </w:r>
      <w:r>
        <w:rPr>
          <w:rFonts w:ascii="Times New Roman" w:hAnsi="Times New Roman" w:cs="Times New Roman"/>
          <w:color w:val="000000"/>
          <w:sz w:val="24"/>
          <w:szCs w:val="24"/>
        </w:rPr>
        <w:t>.</w:t>
      </w:r>
    </w:p>
    <w:p w14:paraId="66412471"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6C1FF743" w14:textId="16D7E389" w:rsidR="0071415F" w:rsidRPr="00422BE3" w:rsidRDefault="0071415F" w:rsidP="00A858A6">
      <w:pPr>
        <w:tabs>
          <w:tab w:val="left" w:pos="9072"/>
        </w:tabs>
        <w:bidi w:val="0"/>
        <w:spacing w:after="0" w:line="240" w:lineRule="auto"/>
        <w:jc w:val="center"/>
        <w:rPr>
          <w:rFonts w:ascii="Arial" w:hAnsi="Arial"/>
          <w:b/>
          <w:bCs/>
        </w:rPr>
      </w:pPr>
      <w:r w:rsidRPr="00422BE3">
        <w:rPr>
          <w:rFonts w:ascii="Arial" w:hAnsi="Arial"/>
          <w:b/>
          <w:bCs/>
        </w:rPr>
        <w:t xml:space="preserve">Percentage of Victims of Intentional Homicide Per 100,000 Population, </w:t>
      </w:r>
      <w:r w:rsidR="00A032A4">
        <w:rPr>
          <w:rFonts w:ascii="Arial" w:hAnsi="Arial"/>
          <w:b/>
          <w:bCs/>
        </w:rPr>
        <w:t>2015</w:t>
      </w:r>
      <w:r w:rsidRPr="00422BE3">
        <w:rPr>
          <w:rFonts w:ascii="Arial" w:hAnsi="Arial"/>
          <w:b/>
          <w:bCs/>
        </w:rPr>
        <w:t>-</w:t>
      </w:r>
      <w:r>
        <w:rPr>
          <w:rFonts w:ascii="Arial" w:hAnsi="Arial"/>
          <w:b/>
          <w:bCs/>
        </w:rPr>
        <w:t>202</w:t>
      </w:r>
      <w:r w:rsidR="00A858A6">
        <w:rPr>
          <w:rFonts w:ascii="Arial" w:hAnsi="Arial"/>
          <w:b/>
          <w:bCs/>
        </w:rPr>
        <w:t>2</w:t>
      </w:r>
      <w:r w:rsidRPr="00422BE3">
        <w:rPr>
          <w:rFonts w:ascii="Arial" w:hAnsi="Arial"/>
          <w:b/>
          <w:bCs/>
        </w:rPr>
        <w:t xml:space="preserve">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3DAE98E" w14:textId="77777777" w:rsidTr="0091560E">
        <w:trPr>
          <w:trHeight w:val="3540"/>
        </w:trPr>
        <w:tc>
          <w:tcPr>
            <w:tcW w:w="9166" w:type="dxa"/>
            <w:shd w:val="clear" w:color="auto" w:fill="auto"/>
          </w:tcPr>
          <w:p w14:paraId="215DBAFB" w14:textId="77777777" w:rsidR="0071415F" w:rsidRPr="000D2E4D" w:rsidRDefault="0071415F" w:rsidP="0071415F">
            <w:pPr>
              <w:bidi w:val="0"/>
              <w:spacing w:after="0" w:line="240" w:lineRule="auto"/>
              <w:jc w:val="center"/>
              <w:rPr>
                <w:rFonts w:ascii="Times New Roman" w:hAnsi="Times New Roman" w:cs="Times New Roman"/>
                <w:color w:val="000000"/>
                <w:sz w:val="24"/>
                <w:szCs w:val="24"/>
                <w:lang w:val="it-IT"/>
              </w:rPr>
            </w:pPr>
            <w:r>
              <w:rPr>
                <w:rFonts w:ascii="Times New Roman" w:hAnsi="Times New Roman" w:cs="Times New Roman"/>
                <w:noProof/>
                <w:color w:val="000000"/>
                <w:sz w:val="24"/>
                <w:szCs w:val="24"/>
              </w:rPr>
              <w:drawing>
                <wp:inline distT="0" distB="0" distL="0" distR="0" wp14:anchorId="329C7CD4" wp14:editId="61C1F021">
                  <wp:extent cx="5335270" cy="2152650"/>
                  <wp:effectExtent l="0" t="0" r="0" b="0"/>
                  <wp:docPr id="23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tc>
      </w:tr>
    </w:tbl>
    <w:p w14:paraId="203EB32C" w14:textId="5EFC468C" w:rsidR="0071415F" w:rsidRPr="000D2E4D" w:rsidRDefault="0071415F" w:rsidP="00A858A6">
      <w:pPr>
        <w:bidi w:val="0"/>
        <w:spacing w:after="0" w:line="240" w:lineRule="auto"/>
        <w:jc w:val="both"/>
        <w:rPr>
          <w:rFonts w:ascii="Arial" w:hAnsi="Arial"/>
          <w:color w:val="000000"/>
          <w:sz w:val="18"/>
          <w:szCs w:val="18"/>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xml:space="preserve">, </w:t>
      </w:r>
      <w:r w:rsidR="00A032A4">
        <w:rPr>
          <w:rFonts w:ascii="Arial" w:hAnsi="Arial"/>
          <w:color w:val="000000"/>
          <w:sz w:val="18"/>
          <w:szCs w:val="18"/>
        </w:rPr>
        <w:t>2015</w:t>
      </w:r>
      <w:r w:rsidRPr="000D2E4D">
        <w:rPr>
          <w:rFonts w:ascii="Arial" w:hAnsi="Arial"/>
          <w:color w:val="000000"/>
          <w:sz w:val="18"/>
          <w:szCs w:val="18"/>
        </w:rPr>
        <w:t>-</w:t>
      </w:r>
      <w:r>
        <w:rPr>
          <w:rFonts w:ascii="Arial" w:hAnsi="Arial"/>
          <w:color w:val="000000"/>
          <w:sz w:val="18"/>
          <w:szCs w:val="18"/>
        </w:rPr>
        <w:t>202</w:t>
      </w:r>
      <w:r w:rsidR="00A858A6">
        <w:rPr>
          <w:rFonts w:ascii="Arial" w:hAnsi="Arial"/>
          <w:color w:val="000000"/>
          <w:sz w:val="18"/>
          <w:szCs w:val="18"/>
        </w:rPr>
        <w:t>2</w:t>
      </w:r>
      <w:r w:rsidRPr="000D2E4D">
        <w:rPr>
          <w:rFonts w:ascii="Arial" w:hAnsi="Arial"/>
          <w:color w:val="000000"/>
          <w:sz w:val="18"/>
          <w:szCs w:val="18"/>
        </w:rPr>
        <w:t>.  Ramallah - Palestine</w:t>
      </w:r>
      <w:r w:rsidRPr="000D2E4D">
        <w:rPr>
          <w:rFonts w:ascii="Arial" w:hAnsi="Arial"/>
          <w:color w:val="000000"/>
          <w:sz w:val="18"/>
          <w:szCs w:val="18"/>
          <w:rtl/>
        </w:rPr>
        <w:t>.</w:t>
      </w:r>
    </w:p>
    <w:p w14:paraId="206C5682" w14:textId="77777777" w:rsidR="0071415F" w:rsidRDefault="0071415F" w:rsidP="005374D2">
      <w:pPr>
        <w:bidi w:val="0"/>
        <w:spacing w:after="0" w:line="240" w:lineRule="auto"/>
        <w:jc w:val="both"/>
        <w:rPr>
          <w:rFonts w:ascii="Arial" w:hAnsi="Arial"/>
          <w:color w:val="000000"/>
          <w:sz w:val="18"/>
          <w:szCs w:val="18"/>
        </w:rPr>
      </w:pPr>
      <w:r w:rsidRPr="000D2E4D">
        <w:rPr>
          <w:rFonts w:ascii="Arial" w:hAnsi="Arial"/>
          <w:b/>
          <w:bCs/>
          <w:color w:val="000000"/>
          <w:sz w:val="18"/>
          <w:szCs w:val="18"/>
        </w:rPr>
        <w:t>Note:</w:t>
      </w:r>
      <w:r w:rsidRPr="000D2E4D">
        <w:rPr>
          <w:rFonts w:ascii="Arial" w:hAnsi="Arial"/>
          <w:color w:val="000000"/>
          <w:sz w:val="18"/>
          <w:szCs w:val="18"/>
        </w:rPr>
        <w:t xml:space="preserve"> Data excluded those parts of Jerusalem </w:t>
      </w:r>
      <w:r w:rsidR="00044874">
        <w:rPr>
          <w:rFonts w:ascii="Arial" w:hAnsi="Arial"/>
          <w:color w:val="000000"/>
          <w:sz w:val="18"/>
          <w:szCs w:val="18"/>
        </w:rPr>
        <w:t>that</w:t>
      </w:r>
      <w:r w:rsidRPr="000D2E4D">
        <w:rPr>
          <w:rFonts w:ascii="Arial" w:hAnsi="Arial"/>
          <w:color w:val="000000"/>
          <w:sz w:val="18"/>
          <w:szCs w:val="18"/>
        </w:rPr>
        <w:t>were annexed by Israeli Occupation in 1967.</w:t>
      </w:r>
    </w:p>
    <w:p w14:paraId="773F838D" w14:textId="77777777" w:rsidR="00B10C76" w:rsidRDefault="00B10C76" w:rsidP="007B34F3">
      <w:pPr>
        <w:tabs>
          <w:tab w:val="left" w:pos="9072"/>
        </w:tabs>
        <w:bidi w:val="0"/>
        <w:spacing w:after="0" w:line="240" w:lineRule="auto"/>
        <w:jc w:val="center"/>
        <w:rPr>
          <w:rFonts w:ascii="Arial" w:hAnsi="Arial"/>
          <w:b/>
          <w:bCs/>
        </w:rPr>
      </w:pPr>
    </w:p>
    <w:p w14:paraId="5AA6BF9E" w14:textId="77777777" w:rsidR="00B10C76" w:rsidRDefault="00B10C76" w:rsidP="00B10C76">
      <w:pPr>
        <w:tabs>
          <w:tab w:val="left" w:pos="9072"/>
        </w:tabs>
        <w:bidi w:val="0"/>
        <w:spacing w:after="0" w:line="240" w:lineRule="auto"/>
        <w:jc w:val="center"/>
        <w:rPr>
          <w:rFonts w:ascii="Arial" w:hAnsi="Arial"/>
          <w:b/>
          <w:bCs/>
        </w:rPr>
      </w:pPr>
    </w:p>
    <w:p w14:paraId="4A11F2EE" w14:textId="77777777" w:rsidR="00B10C76" w:rsidRDefault="00B10C76" w:rsidP="00B10C76">
      <w:pPr>
        <w:tabs>
          <w:tab w:val="left" w:pos="9072"/>
        </w:tabs>
        <w:bidi w:val="0"/>
        <w:spacing w:after="0" w:line="240" w:lineRule="auto"/>
        <w:jc w:val="center"/>
        <w:rPr>
          <w:rFonts w:ascii="Arial" w:hAnsi="Arial"/>
          <w:b/>
          <w:bCs/>
        </w:rPr>
      </w:pPr>
    </w:p>
    <w:p w14:paraId="2DA168D5" w14:textId="77777777" w:rsidR="00B10C76" w:rsidRDefault="00B10C76" w:rsidP="00B10C76">
      <w:pPr>
        <w:tabs>
          <w:tab w:val="left" w:pos="9072"/>
        </w:tabs>
        <w:bidi w:val="0"/>
        <w:spacing w:after="0" w:line="240" w:lineRule="auto"/>
        <w:jc w:val="center"/>
        <w:rPr>
          <w:rFonts w:ascii="Arial" w:hAnsi="Arial"/>
          <w:b/>
          <w:bCs/>
        </w:rPr>
      </w:pPr>
    </w:p>
    <w:p w14:paraId="243F7B16" w14:textId="77777777" w:rsidR="00B10C76" w:rsidRDefault="00B10C76" w:rsidP="00B10C76">
      <w:pPr>
        <w:tabs>
          <w:tab w:val="left" w:pos="9072"/>
        </w:tabs>
        <w:bidi w:val="0"/>
        <w:spacing w:after="0" w:line="240" w:lineRule="auto"/>
        <w:jc w:val="center"/>
        <w:rPr>
          <w:rFonts w:ascii="Arial" w:hAnsi="Arial"/>
          <w:b/>
          <w:bCs/>
        </w:rPr>
      </w:pPr>
    </w:p>
    <w:p w14:paraId="3261CE50" w14:textId="77777777" w:rsidR="00B10C76" w:rsidRDefault="00B10C76" w:rsidP="00B10C76">
      <w:pPr>
        <w:tabs>
          <w:tab w:val="left" w:pos="9072"/>
        </w:tabs>
        <w:bidi w:val="0"/>
        <w:spacing w:after="0" w:line="240" w:lineRule="auto"/>
        <w:jc w:val="center"/>
        <w:rPr>
          <w:rFonts w:ascii="Arial" w:hAnsi="Arial"/>
          <w:b/>
          <w:bCs/>
        </w:rPr>
      </w:pPr>
    </w:p>
    <w:p w14:paraId="6D34AC4D" w14:textId="564E8030" w:rsidR="0071415F" w:rsidRPr="00422BE3" w:rsidRDefault="0071415F" w:rsidP="00A858A6">
      <w:pPr>
        <w:tabs>
          <w:tab w:val="left" w:pos="9072"/>
        </w:tabs>
        <w:bidi w:val="0"/>
        <w:spacing w:after="0" w:line="240" w:lineRule="auto"/>
        <w:jc w:val="center"/>
        <w:rPr>
          <w:rFonts w:ascii="Arial" w:hAnsi="Arial"/>
          <w:b/>
          <w:bCs/>
        </w:rPr>
      </w:pPr>
      <w:r w:rsidRPr="00422BE3">
        <w:rPr>
          <w:rFonts w:ascii="Arial" w:hAnsi="Arial"/>
          <w:b/>
          <w:bCs/>
        </w:rPr>
        <w:lastRenderedPageBreak/>
        <w:t xml:space="preserve">Number of Victims of Intentional Homicide, </w:t>
      </w:r>
      <w:r w:rsidR="00A858A6">
        <w:rPr>
          <w:rFonts w:ascii="Arial" w:hAnsi="Arial"/>
          <w:b/>
          <w:bCs/>
        </w:rPr>
        <w:t>2015-2022 (Number)</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08FC8A46" w14:textId="77777777" w:rsidTr="007B34F3">
        <w:trPr>
          <w:trHeight w:val="3701"/>
        </w:trPr>
        <w:tc>
          <w:tcPr>
            <w:tcW w:w="9242" w:type="dxa"/>
            <w:shd w:val="clear" w:color="auto" w:fill="auto"/>
          </w:tcPr>
          <w:p w14:paraId="18C2ECA1" w14:textId="77777777" w:rsidR="0071415F" w:rsidRPr="000D2E4D" w:rsidRDefault="0071415F" w:rsidP="0071415F">
            <w:pPr>
              <w:bidi w:val="0"/>
              <w:spacing w:after="0" w:line="240" w:lineRule="auto"/>
              <w:jc w:val="center"/>
              <w:rPr>
                <w:rFonts w:ascii="Times New Roman" w:hAnsi="Times New Roman" w:cs="Times New Roman"/>
                <w:color w:val="000000"/>
                <w:sz w:val="24"/>
                <w:szCs w:val="24"/>
                <w:rtl/>
                <w:lang w:val="it-IT"/>
              </w:rPr>
            </w:pPr>
            <w:r>
              <w:rPr>
                <w:rFonts w:ascii="Times New Roman" w:hAnsi="Times New Roman" w:cs="Times New Roman"/>
                <w:noProof/>
                <w:color w:val="000000"/>
                <w:sz w:val="24"/>
                <w:szCs w:val="24"/>
              </w:rPr>
              <w:drawing>
                <wp:inline distT="0" distB="0" distL="0" distR="0" wp14:anchorId="63010AF3" wp14:editId="7EA187E4">
                  <wp:extent cx="5367020" cy="2345690"/>
                  <wp:effectExtent l="0" t="0" r="5080" b="0"/>
                  <wp:docPr id="235"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tc>
      </w:tr>
    </w:tbl>
    <w:p w14:paraId="5B51523B" w14:textId="6D1B05D8" w:rsidR="0071415F" w:rsidRPr="000D2E4D" w:rsidRDefault="0071415F" w:rsidP="00A858A6">
      <w:pPr>
        <w:bidi w:val="0"/>
        <w:spacing w:after="0" w:line="240" w:lineRule="auto"/>
        <w:jc w:val="both"/>
        <w:rPr>
          <w:rFonts w:ascii="Arial" w:hAnsi="Arial"/>
          <w:color w:val="000000"/>
          <w:sz w:val="18"/>
          <w:szCs w:val="18"/>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2015-</w:t>
      </w:r>
      <w:r>
        <w:rPr>
          <w:rFonts w:ascii="Arial" w:hAnsi="Arial"/>
          <w:color w:val="000000"/>
          <w:sz w:val="18"/>
          <w:szCs w:val="18"/>
        </w:rPr>
        <w:t>202</w:t>
      </w:r>
      <w:r w:rsidR="00A858A6">
        <w:rPr>
          <w:rFonts w:ascii="Arial" w:hAnsi="Arial"/>
          <w:color w:val="000000"/>
          <w:sz w:val="18"/>
          <w:szCs w:val="18"/>
        </w:rPr>
        <w:t>2</w:t>
      </w:r>
      <w:r w:rsidRPr="000D2E4D">
        <w:rPr>
          <w:rFonts w:ascii="Arial" w:hAnsi="Arial"/>
          <w:color w:val="000000"/>
          <w:sz w:val="18"/>
          <w:szCs w:val="18"/>
        </w:rPr>
        <w:t>.  Ramallah - Palestine</w:t>
      </w:r>
      <w:r w:rsidRPr="000D2E4D">
        <w:rPr>
          <w:rFonts w:ascii="Arial" w:hAnsi="Arial"/>
          <w:color w:val="000000"/>
          <w:sz w:val="18"/>
          <w:szCs w:val="18"/>
          <w:rtl/>
        </w:rPr>
        <w:t>.</w:t>
      </w:r>
    </w:p>
    <w:p w14:paraId="59CC811E" w14:textId="77777777" w:rsidR="0071415F" w:rsidRPr="000D2E4D" w:rsidRDefault="0071415F" w:rsidP="007B34F3">
      <w:pPr>
        <w:bidi w:val="0"/>
        <w:spacing w:after="0" w:line="240" w:lineRule="auto"/>
        <w:jc w:val="both"/>
        <w:rPr>
          <w:rFonts w:ascii="Arial" w:hAnsi="Arial"/>
          <w:color w:val="000000"/>
          <w:sz w:val="18"/>
          <w:szCs w:val="18"/>
        </w:rPr>
      </w:pPr>
      <w:r w:rsidRPr="000D2E4D">
        <w:rPr>
          <w:rFonts w:ascii="Arial" w:hAnsi="Arial"/>
          <w:b/>
          <w:bCs/>
          <w:color w:val="000000"/>
          <w:sz w:val="18"/>
          <w:szCs w:val="18"/>
        </w:rPr>
        <w:t>Note</w:t>
      </w:r>
      <w:r w:rsidRPr="000D2E4D">
        <w:rPr>
          <w:rFonts w:ascii="Arial" w:hAnsi="Arial"/>
          <w:color w:val="000000"/>
          <w:sz w:val="18"/>
          <w:szCs w:val="18"/>
        </w:rPr>
        <w:t>: Data excluded those parts of Jerusalem which were annexed by Israeli Occupation in 1967.</w:t>
      </w:r>
    </w:p>
    <w:p w14:paraId="15823404"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p>
    <w:p w14:paraId="3F12484F"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FF452D">
        <w:rPr>
          <w:rFonts w:ascii="Times New Roman" w:hAnsi="Times New Roman" w:cs="Times New Roman"/>
          <w:b/>
          <w:bCs/>
          <w:i/>
          <w:iCs/>
          <w:sz w:val="24"/>
          <w:szCs w:val="24"/>
        </w:rPr>
        <w:t xml:space="preserve">Indicator 16.1.2  Conflict-related deaths per 100,000 </w:t>
      </w:r>
      <w:r w:rsidR="00455595">
        <w:rPr>
          <w:rFonts w:ascii="Times New Roman" w:hAnsi="Times New Roman" w:cs="Times New Roman"/>
          <w:b/>
          <w:bCs/>
          <w:i/>
          <w:iCs/>
          <w:sz w:val="24"/>
          <w:szCs w:val="24"/>
        </w:rPr>
        <w:t xml:space="preserve">persons of </w:t>
      </w:r>
      <w:r w:rsidRPr="00FF452D">
        <w:rPr>
          <w:rFonts w:ascii="Times New Roman" w:hAnsi="Times New Roman" w:cs="Times New Roman"/>
          <w:b/>
          <w:bCs/>
          <w:i/>
          <w:iCs/>
          <w:sz w:val="24"/>
          <w:szCs w:val="24"/>
        </w:rPr>
        <w:t>population, by sex, age and cause</w:t>
      </w:r>
    </w:p>
    <w:p w14:paraId="3B6CC3C9" w14:textId="77777777" w:rsidR="00A92234" w:rsidRPr="00FF452D"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569FBBA0"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In 2021, 354</w:t>
      </w:r>
      <w:r w:rsidR="00455595">
        <w:rPr>
          <w:rFonts w:ascii="Times New Roman" w:hAnsi="Times New Roman" w:cs="Times New Roman"/>
          <w:color w:val="000000"/>
          <w:sz w:val="24"/>
          <w:szCs w:val="24"/>
        </w:rPr>
        <w:t>c</w:t>
      </w:r>
      <w:r w:rsidRPr="0060000A">
        <w:rPr>
          <w:rFonts w:ascii="Times New Roman" w:hAnsi="Times New Roman" w:cs="Times New Roman"/>
          <w:color w:val="000000"/>
          <w:sz w:val="24"/>
          <w:szCs w:val="24"/>
        </w:rPr>
        <w:t>onflict-related deaths</w:t>
      </w:r>
      <w:r w:rsidR="00455595">
        <w:rPr>
          <w:rFonts w:ascii="Times New Roman" w:hAnsi="Times New Roman" w:cs="Times New Roman"/>
          <w:color w:val="000000"/>
          <w:sz w:val="24"/>
          <w:szCs w:val="24"/>
        </w:rPr>
        <w:t xml:space="preserve">occurred </w:t>
      </w:r>
      <w:r w:rsidRPr="008B4079">
        <w:rPr>
          <w:rFonts w:ascii="Times New Roman" w:hAnsi="Times New Roman" w:cs="Times New Roman"/>
          <w:color w:val="000000"/>
          <w:sz w:val="24"/>
          <w:szCs w:val="24"/>
        </w:rPr>
        <w:t xml:space="preserve">of which </w:t>
      </w:r>
      <w:r>
        <w:rPr>
          <w:rFonts w:ascii="Times New Roman" w:hAnsi="Times New Roman" w:cs="Times New Roman"/>
          <w:color w:val="000000"/>
          <w:sz w:val="24"/>
          <w:szCs w:val="24"/>
        </w:rPr>
        <w:t>285</w:t>
      </w:r>
      <w:r w:rsidRPr="008B4079">
        <w:rPr>
          <w:rFonts w:ascii="Times New Roman" w:hAnsi="Times New Roman" w:cs="Times New Roman"/>
          <w:color w:val="000000"/>
          <w:sz w:val="24"/>
          <w:szCs w:val="24"/>
        </w:rPr>
        <w:t xml:space="preserve">cases </w:t>
      </w:r>
      <w:r w:rsidR="00455595">
        <w:rPr>
          <w:rFonts w:ascii="Times New Roman" w:hAnsi="Times New Roman" w:cs="Times New Roman"/>
          <w:color w:val="000000"/>
          <w:sz w:val="24"/>
          <w:szCs w:val="24"/>
        </w:rPr>
        <w:t xml:space="preserve">involved males </w:t>
      </w:r>
      <w:r w:rsidRPr="008B4079">
        <w:rPr>
          <w:rFonts w:ascii="Times New Roman" w:hAnsi="Times New Roman" w:cs="Times New Roman"/>
          <w:color w:val="000000"/>
          <w:sz w:val="24"/>
          <w:szCs w:val="24"/>
        </w:rPr>
        <w:t xml:space="preserve">and </w:t>
      </w:r>
      <w:r>
        <w:rPr>
          <w:rFonts w:ascii="Times New Roman" w:hAnsi="Times New Roman" w:cs="Times New Roman"/>
          <w:color w:val="000000"/>
          <w:sz w:val="24"/>
          <w:szCs w:val="24"/>
        </w:rPr>
        <w:t>69</w:t>
      </w:r>
      <w:r w:rsidR="00455595">
        <w:rPr>
          <w:rFonts w:ascii="Times New Roman" w:hAnsi="Times New Roman" w:cs="Times New Roman"/>
          <w:color w:val="000000"/>
          <w:sz w:val="24"/>
          <w:szCs w:val="24"/>
        </w:rPr>
        <w:t xml:space="preserve">cases involved </w:t>
      </w:r>
      <w:r w:rsidRPr="008B4079">
        <w:rPr>
          <w:rFonts w:ascii="Times New Roman" w:hAnsi="Times New Roman" w:cs="Times New Roman"/>
          <w:color w:val="000000"/>
          <w:sz w:val="24"/>
          <w:szCs w:val="24"/>
        </w:rPr>
        <w:t xml:space="preserve">females, the ratio per 100,000 </w:t>
      </w:r>
      <w:r w:rsidR="00455595">
        <w:rPr>
          <w:rFonts w:ascii="Times New Roman" w:hAnsi="Times New Roman" w:cs="Times New Roman"/>
          <w:color w:val="000000"/>
          <w:sz w:val="24"/>
          <w:szCs w:val="24"/>
        </w:rPr>
        <w:t xml:space="preserve">persons of </w:t>
      </w:r>
      <w:r w:rsidRPr="008B4079">
        <w:rPr>
          <w:rFonts w:ascii="Times New Roman" w:hAnsi="Times New Roman" w:cs="Times New Roman"/>
          <w:color w:val="000000"/>
          <w:sz w:val="24"/>
          <w:szCs w:val="24"/>
        </w:rPr>
        <w:t xml:space="preserve">population is </w:t>
      </w:r>
      <w:r>
        <w:rPr>
          <w:rFonts w:ascii="Times New Roman" w:hAnsi="Times New Roman" w:cs="Times New Roman"/>
          <w:color w:val="000000"/>
          <w:sz w:val="24"/>
          <w:szCs w:val="24"/>
        </w:rPr>
        <w:t>6.8</w:t>
      </w:r>
      <w:r w:rsidRPr="008B4079">
        <w:rPr>
          <w:rFonts w:ascii="Times New Roman" w:hAnsi="Times New Roman" w:cs="Times New Roman"/>
          <w:color w:val="000000"/>
          <w:sz w:val="24"/>
          <w:szCs w:val="24"/>
        </w:rPr>
        <w:t xml:space="preserve">. </w:t>
      </w:r>
    </w:p>
    <w:p w14:paraId="48EDDF83"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68A47E21" w14:textId="77777777"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Percentage of </w:t>
      </w:r>
      <w:r w:rsidRPr="0060000A">
        <w:rPr>
          <w:rFonts w:ascii="Arial" w:hAnsi="Arial"/>
          <w:b/>
          <w:bCs/>
        </w:rPr>
        <w:t xml:space="preserve">Conflict-related </w:t>
      </w:r>
      <w:r w:rsidR="00455595">
        <w:rPr>
          <w:rFonts w:ascii="Arial" w:hAnsi="Arial"/>
          <w:b/>
          <w:bCs/>
        </w:rPr>
        <w:t>D</w:t>
      </w:r>
      <w:r w:rsidRPr="0060000A">
        <w:rPr>
          <w:rFonts w:ascii="Arial" w:hAnsi="Arial"/>
          <w:b/>
          <w:bCs/>
        </w:rPr>
        <w:t xml:space="preserve">eaths </w:t>
      </w:r>
      <w:r w:rsidRPr="00422BE3">
        <w:rPr>
          <w:rFonts w:ascii="Arial" w:hAnsi="Arial"/>
          <w:b/>
          <w:bCs/>
        </w:rPr>
        <w:t xml:space="preserve">Per 100,000 Population, </w:t>
      </w:r>
      <w:r>
        <w:rPr>
          <w:rFonts w:ascii="Arial" w:hAnsi="Arial"/>
          <w:b/>
          <w:bCs/>
        </w:rPr>
        <w:t>2015-2021</w:t>
      </w:r>
      <w:r w:rsidRPr="00422BE3">
        <w:rPr>
          <w:rFonts w:ascii="Arial" w:hAnsi="Arial"/>
          <w:b/>
          <w:bCs/>
        </w:rPr>
        <w:t xml:space="preserve">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314B5FAE" w14:textId="77777777" w:rsidTr="00235995">
        <w:trPr>
          <w:trHeight w:val="2982"/>
        </w:trPr>
        <w:tc>
          <w:tcPr>
            <w:tcW w:w="9242" w:type="dxa"/>
            <w:shd w:val="clear" w:color="auto" w:fill="auto"/>
          </w:tcPr>
          <w:p w14:paraId="09879427" w14:textId="77777777" w:rsidR="0071415F" w:rsidRPr="000D2E4D" w:rsidRDefault="0071415F" w:rsidP="0071415F">
            <w:pPr>
              <w:bidi w:val="0"/>
              <w:spacing w:after="0" w:line="240" w:lineRule="auto"/>
              <w:jc w:val="center"/>
              <w:rPr>
                <w:rFonts w:ascii="Times New Roman" w:hAnsi="Times New Roman" w:cs="Times New Roman"/>
                <w:color w:val="000000"/>
                <w:sz w:val="24"/>
                <w:szCs w:val="24"/>
                <w:lang w:val="it-IT"/>
              </w:rPr>
            </w:pPr>
            <w:r>
              <w:rPr>
                <w:rFonts w:ascii="Times New Roman" w:hAnsi="Times New Roman" w:cs="Times New Roman"/>
                <w:noProof/>
                <w:color w:val="000000"/>
                <w:sz w:val="24"/>
                <w:szCs w:val="24"/>
              </w:rPr>
              <w:drawing>
                <wp:inline distT="0" distB="0" distL="0" distR="0" wp14:anchorId="46161278" wp14:editId="57CF6D25">
                  <wp:extent cx="5334000" cy="1866900"/>
                  <wp:effectExtent l="0" t="0" r="0" b="0"/>
                  <wp:docPr id="252" name="Chart 2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tc>
      </w:tr>
    </w:tbl>
    <w:p w14:paraId="33A262F0" w14:textId="77777777" w:rsidR="0071415F" w:rsidRDefault="0071415F" w:rsidP="00235995">
      <w:pPr>
        <w:bidi w:val="0"/>
        <w:spacing w:after="0" w:line="240" w:lineRule="auto"/>
        <w:ind w:left="720" w:hanging="720"/>
        <w:jc w:val="both"/>
        <w:rPr>
          <w:rFonts w:ascii="Times New Roman" w:hAnsi="Times New Roman" w:cs="Times New Roman"/>
          <w:color w:val="000000"/>
          <w:sz w:val="24"/>
          <w:szCs w:val="24"/>
        </w:rPr>
      </w:pPr>
      <w:r w:rsidRPr="000D2E4D">
        <w:rPr>
          <w:rFonts w:ascii="Arial" w:hAnsi="Arial"/>
          <w:b/>
          <w:bCs/>
          <w:color w:val="000000"/>
          <w:sz w:val="18"/>
          <w:szCs w:val="18"/>
        </w:rPr>
        <w:t xml:space="preserve">Source: </w:t>
      </w:r>
      <w:r w:rsidRPr="0060000A">
        <w:rPr>
          <w:rFonts w:ascii="Arial" w:hAnsi="Arial"/>
          <w:b/>
          <w:bCs/>
          <w:color w:val="000000"/>
          <w:sz w:val="18"/>
          <w:szCs w:val="18"/>
        </w:rPr>
        <w:t>Office of the United Nations for Human Rights (OHCHR)</w:t>
      </w:r>
      <w:r w:rsidRPr="000D2E4D">
        <w:rPr>
          <w:rFonts w:ascii="Arial" w:hAnsi="Arial"/>
          <w:b/>
          <w:bCs/>
          <w:color w:val="000000"/>
          <w:sz w:val="18"/>
          <w:szCs w:val="18"/>
        </w:rPr>
        <w:t xml:space="preserv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20</w:t>
      </w:r>
      <w:r>
        <w:rPr>
          <w:rFonts w:ascii="Arial" w:hAnsi="Arial"/>
          <w:color w:val="000000"/>
          <w:sz w:val="18"/>
          <w:szCs w:val="18"/>
        </w:rPr>
        <w:t>15</w:t>
      </w:r>
      <w:r w:rsidRPr="000D2E4D">
        <w:rPr>
          <w:rFonts w:ascii="Arial" w:hAnsi="Arial"/>
          <w:color w:val="000000"/>
          <w:sz w:val="18"/>
          <w:szCs w:val="18"/>
        </w:rPr>
        <w:t>-</w:t>
      </w:r>
      <w:r>
        <w:rPr>
          <w:rFonts w:ascii="Arial" w:hAnsi="Arial"/>
          <w:color w:val="000000"/>
          <w:sz w:val="18"/>
          <w:szCs w:val="18"/>
        </w:rPr>
        <w:t>2021</w:t>
      </w:r>
      <w:r w:rsidR="007B34F3">
        <w:rPr>
          <w:rFonts w:ascii="Arial" w:hAnsi="Arial"/>
          <w:color w:val="000000"/>
          <w:sz w:val="18"/>
          <w:szCs w:val="18"/>
        </w:rPr>
        <w:t xml:space="preserve">. </w:t>
      </w:r>
      <w:r w:rsidRPr="000D2E4D">
        <w:rPr>
          <w:rFonts w:ascii="Arial" w:hAnsi="Arial"/>
          <w:color w:val="000000"/>
          <w:sz w:val="18"/>
          <w:szCs w:val="18"/>
        </w:rPr>
        <w:t>Ramallah - Palestine</w:t>
      </w:r>
      <w:r w:rsidRPr="000D2E4D">
        <w:rPr>
          <w:rFonts w:ascii="Arial" w:hAnsi="Arial"/>
          <w:color w:val="000000"/>
          <w:sz w:val="18"/>
          <w:szCs w:val="18"/>
          <w:rtl/>
        </w:rPr>
        <w:t>.</w:t>
      </w:r>
    </w:p>
    <w:p w14:paraId="77BA6B06"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p>
    <w:p w14:paraId="45A8BD37" w14:textId="77777777"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Number of </w:t>
      </w:r>
      <w:r w:rsidRPr="0060000A">
        <w:rPr>
          <w:rFonts w:ascii="Arial" w:hAnsi="Arial"/>
          <w:b/>
          <w:bCs/>
        </w:rPr>
        <w:t xml:space="preserve">Conflict-related </w:t>
      </w:r>
      <w:r w:rsidR="007B34F3" w:rsidRPr="0060000A">
        <w:rPr>
          <w:rFonts w:ascii="Arial" w:hAnsi="Arial"/>
          <w:b/>
          <w:bCs/>
        </w:rPr>
        <w:t>Death</w:t>
      </w:r>
      <w:r w:rsidRPr="0060000A">
        <w:rPr>
          <w:rFonts w:ascii="Arial" w:hAnsi="Arial"/>
          <w:b/>
          <w:bCs/>
        </w:rPr>
        <w:t xml:space="preserve">s </w:t>
      </w:r>
      <w:r w:rsidR="007B34F3" w:rsidRPr="00422BE3">
        <w:rPr>
          <w:rFonts w:ascii="Arial" w:hAnsi="Arial"/>
          <w:b/>
          <w:bCs/>
        </w:rPr>
        <w:t>b</w:t>
      </w:r>
      <w:r w:rsidRPr="00422BE3">
        <w:rPr>
          <w:rFonts w:ascii="Arial" w:hAnsi="Arial"/>
          <w:b/>
          <w:bCs/>
        </w:rPr>
        <w:t xml:space="preserve">y Sex, </w:t>
      </w:r>
      <w:r>
        <w:rPr>
          <w:rFonts w:ascii="Arial" w:hAnsi="Arial"/>
          <w:b/>
          <w:bCs/>
        </w:rPr>
        <w:t>2015-2021</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B398A7A" w14:textId="77777777" w:rsidTr="0071415F">
        <w:tc>
          <w:tcPr>
            <w:tcW w:w="9060" w:type="dxa"/>
            <w:shd w:val="clear" w:color="auto" w:fill="auto"/>
          </w:tcPr>
          <w:p w14:paraId="756FC084" w14:textId="77777777" w:rsidR="0071415F" w:rsidRPr="000D2E4D" w:rsidRDefault="0071415F" w:rsidP="0071415F">
            <w:pPr>
              <w:bidi w:val="0"/>
              <w:spacing w:after="0" w:line="240" w:lineRule="auto"/>
              <w:jc w:val="center"/>
              <w:rPr>
                <w:rFonts w:ascii="Times New Roman" w:hAnsi="Times New Roman" w:cs="Times New Roman"/>
                <w:color w:val="000000"/>
                <w:sz w:val="24"/>
                <w:szCs w:val="24"/>
                <w:rtl/>
                <w:lang w:val="it-IT"/>
              </w:rPr>
            </w:pPr>
            <w:r>
              <w:rPr>
                <w:rFonts w:ascii="Times New Roman" w:hAnsi="Times New Roman" w:cs="Times New Roman"/>
                <w:noProof/>
                <w:color w:val="000000"/>
                <w:sz w:val="24"/>
                <w:szCs w:val="24"/>
              </w:rPr>
              <w:drawing>
                <wp:inline distT="0" distB="0" distL="0" distR="0" wp14:anchorId="4B9AFF54" wp14:editId="14422005">
                  <wp:extent cx="5367020" cy="1708923"/>
                  <wp:effectExtent l="0" t="0" r="5080" b="5715"/>
                  <wp:docPr id="25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tc>
      </w:tr>
    </w:tbl>
    <w:p w14:paraId="49825458" w14:textId="77777777" w:rsidR="00455595" w:rsidRPr="006E49BE" w:rsidRDefault="00311D55" w:rsidP="006E49BE">
      <w:pPr>
        <w:bidi w:val="0"/>
        <w:spacing w:after="0" w:line="240" w:lineRule="auto"/>
        <w:ind w:left="720" w:hanging="720"/>
        <w:jc w:val="both"/>
        <w:rPr>
          <w:rFonts w:ascii="Arial" w:hAnsi="Arial"/>
          <w:color w:val="000000"/>
          <w:sz w:val="18"/>
          <w:szCs w:val="18"/>
        </w:rPr>
      </w:pPr>
      <w:r w:rsidRPr="000D2E4D">
        <w:rPr>
          <w:rFonts w:ascii="Arial" w:hAnsi="Arial"/>
          <w:b/>
          <w:bCs/>
          <w:color w:val="000000"/>
          <w:sz w:val="18"/>
          <w:szCs w:val="18"/>
        </w:rPr>
        <w:t xml:space="preserve">Source: </w:t>
      </w:r>
      <w:r w:rsidRPr="0060000A">
        <w:rPr>
          <w:rFonts w:ascii="Arial" w:hAnsi="Arial"/>
          <w:b/>
          <w:bCs/>
          <w:color w:val="000000"/>
          <w:sz w:val="18"/>
          <w:szCs w:val="18"/>
        </w:rPr>
        <w:t>Office of the United Nations for Human Rights (OHCHR)</w:t>
      </w:r>
      <w:r w:rsidRPr="000D2E4D">
        <w:rPr>
          <w:rFonts w:ascii="Arial" w:hAnsi="Arial"/>
          <w:b/>
          <w:bCs/>
          <w:color w:val="000000"/>
          <w:sz w:val="18"/>
          <w:szCs w:val="18"/>
        </w:rPr>
        <w:t xml:space="preserv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20</w:t>
      </w:r>
      <w:r>
        <w:rPr>
          <w:rFonts w:ascii="Arial" w:hAnsi="Arial"/>
          <w:color w:val="000000"/>
          <w:sz w:val="18"/>
          <w:szCs w:val="18"/>
        </w:rPr>
        <w:t>15</w:t>
      </w:r>
      <w:r w:rsidRPr="000D2E4D">
        <w:rPr>
          <w:rFonts w:ascii="Arial" w:hAnsi="Arial"/>
          <w:color w:val="000000"/>
          <w:sz w:val="18"/>
          <w:szCs w:val="18"/>
        </w:rPr>
        <w:t>-</w:t>
      </w:r>
      <w:r>
        <w:rPr>
          <w:rFonts w:ascii="Arial" w:hAnsi="Arial"/>
          <w:color w:val="000000"/>
          <w:sz w:val="18"/>
          <w:szCs w:val="18"/>
        </w:rPr>
        <w:t xml:space="preserve">2021. </w:t>
      </w:r>
      <w:r w:rsidRPr="000D2E4D">
        <w:rPr>
          <w:rFonts w:ascii="Arial" w:hAnsi="Arial"/>
          <w:color w:val="000000"/>
          <w:sz w:val="18"/>
          <w:szCs w:val="18"/>
        </w:rPr>
        <w:t>Ramallah - Palestine</w:t>
      </w:r>
      <w:r w:rsidRPr="000D2E4D">
        <w:rPr>
          <w:rFonts w:ascii="Arial" w:hAnsi="Arial"/>
          <w:color w:val="000000"/>
          <w:sz w:val="18"/>
          <w:szCs w:val="18"/>
          <w:rtl/>
        </w:rPr>
        <w:t>.</w:t>
      </w:r>
    </w:p>
    <w:p w14:paraId="27EA8EA2" w14:textId="77777777" w:rsidR="0071415F" w:rsidRDefault="0071415F" w:rsidP="00455D32">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Indicator 16.</w:t>
      </w:r>
      <w:r>
        <w:rPr>
          <w:rFonts w:ascii="Times New Roman" w:hAnsi="Times New Roman" w:cs="Times New Roman"/>
          <w:b/>
          <w:bCs/>
          <w:i/>
          <w:iCs/>
          <w:sz w:val="24"/>
          <w:szCs w:val="24"/>
        </w:rPr>
        <w:t xml:space="preserve">1.3 </w:t>
      </w:r>
      <w:r w:rsidRPr="0032381A">
        <w:rPr>
          <w:rFonts w:ascii="Times New Roman" w:hAnsi="Times New Roman" w:cs="Times New Roman"/>
          <w:b/>
          <w:bCs/>
          <w:i/>
          <w:iCs/>
          <w:sz w:val="24"/>
          <w:szCs w:val="24"/>
        </w:rPr>
        <w:t>Proportion of population subjected to physical, psychological or sexual violence in the previous 12 months</w:t>
      </w:r>
    </w:p>
    <w:p w14:paraId="6C6EAE72" w14:textId="77777777" w:rsidR="00344EA7" w:rsidRPr="00455D32"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6D274432" w14:textId="77777777" w:rsidR="0071415F" w:rsidRPr="00D42F51" w:rsidRDefault="0071415F" w:rsidP="008B1026">
      <w:pPr>
        <w:shd w:val="clear" w:color="auto" w:fill="FFFFFF"/>
        <w:bidi w:val="0"/>
        <w:spacing w:after="0" w:line="240" w:lineRule="auto"/>
        <w:ind w:left="45"/>
        <w:jc w:val="both"/>
        <w:textAlignment w:val="center"/>
        <w:rPr>
          <w:rFonts w:ascii="Times New Roman" w:hAnsi="Times New Roman" w:cs="Times New Roman"/>
          <w:color w:val="000000"/>
          <w:sz w:val="24"/>
          <w:szCs w:val="24"/>
          <w:rtl/>
        </w:rPr>
      </w:pPr>
      <w:r w:rsidRPr="00D42F51">
        <w:rPr>
          <w:rFonts w:ascii="Times New Roman" w:hAnsi="Times New Roman" w:cs="Times New Roman"/>
          <w:sz w:val="24"/>
          <w:szCs w:val="24"/>
        </w:rPr>
        <w:t xml:space="preserve">The percentage of households </w:t>
      </w:r>
      <w:r w:rsidR="00455595">
        <w:rPr>
          <w:rFonts w:ascii="Times New Roman" w:hAnsi="Times New Roman" w:cs="Times New Roman"/>
          <w:sz w:val="24"/>
          <w:szCs w:val="24"/>
        </w:rPr>
        <w:t>that</w:t>
      </w:r>
      <w:r w:rsidRPr="00D42F51">
        <w:rPr>
          <w:rFonts w:ascii="Times New Roman" w:hAnsi="Times New Roman" w:cs="Times New Roman"/>
          <w:sz w:val="24"/>
          <w:szCs w:val="24"/>
        </w:rPr>
        <w:t xml:space="preserve"> were victims of physical assault during previous 12 months in Palestine decreased from </w:t>
      </w:r>
      <w:r w:rsidR="008B1026">
        <w:rPr>
          <w:rFonts w:ascii="Times New Roman" w:hAnsi="Times New Roman" w:cs="Times New Roman" w:hint="cs"/>
          <w:sz w:val="24"/>
          <w:szCs w:val="24"/>
          <w:rtl/>
        </w:rPr>
        <w:t>0.9</w:t>
      </w:r>
      <w:r w:rsidRPr="00D42F51">
        <w:rPr>
          <w:rFonts w:ascii="Times New Roman" w:hAnsi="Times New Roman" w:cs="Times New Roman"/>
          <w:sz w:val="24"/>
          <w:szCs w:val="24"/>
        </w:rPr>
        <w:t>% in 20</w:t>
      </w:r>
      <w:r w:rsidR="008B1026">
        <w:rPr>
          <w:rFonts w:ascii="Times New Roman" w:hAnsi="Times New Roman" w:cs="Times New Roman"/>
          <w:sz w:val="24"/>
          <w:szCs w:val="24"/>
        </w:rPr>
        <w:t>16</w:t>
      </w:r>
      <w:r w:rsidRPr="00D42F51">
        <w:rPr>
          <w:rFonts w:ascii="Times New Roman" w:hAnsi="Times New Roman" w:cs="Times New Roman"/>
          <w:sz w:val="24"/>
          <w:szCs w:val="24"/>
        </w:rPr>
        <w:t xml:space="preserve"> to 0.6% in 2020</w:t>
      </w:r>
      <w:r w:rsidRPr="00D42F51">
        <w:rPr>
          <w:rFonts w:ascii="Times New Roman" w:hAnsi="Times New Roman" w:cs="Times New Roman"/>
          <w:color w:val="000000"/>
          <w:sz w:val="24"/>
          <w:szCs w:val="24"/>
          <w:rtl/>
        </w:rPr>
        <w:t>.</w:t>
      </w:r>
    </w:p>
    <w:p w14:paraId="16702AE0" w14:textId="77777777" w:rsidR="0071415F" w:rsidRDefault="0071415F" w:rsidP="0071415F">
      <w:pPr>
        <w:tabs>
          <w:tab w:val="left" w:pos="9072"/>
        </w:tabs>
        <w:bidi w:val="0"/>
        <w:spacing w:after="0" w:line="240" w:lineRule="auto"/>
        <w:rPr>
          <w:rFonts w:ascii="Arial" w:hAnsi="Arial"/>
          <w:b/>
          <w:bCs/>
          <w:rtl/>
        </w:rPr>
      </w:pPr>
    </w:p>
    <w:p w14:paraId="68299ED3"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Percentage </w:t>
      </w:r>
      <w:r w:rsidRPr="0032381A">
        <w:rPr>
          <w:rFonts w:ascii="Arial" w:hAnsi="Arial"/>
          <w:b/>
          <w:bCs/>
        </w:rPr>
        <w:t xml:space="preserve">of </w:t>
      </w:r>
      <w:r w:rsidR="00455595">
        <w:rPr>
          <w:rFonts w:ascii="Arial" w:hAnsi="Arial"/>
          <w:b/>
          <w:bCs/>
        </w:rPr>
        <w:t>H</w:t>
      </w:r>
      <w:r w:rsidRPr="0032381A">
        <w:rPr>
          <w:rFonts w:ascii="Arial" w:hAnsi="Arial"/>
          <w:b/>
          <w:bCs/>
        </w:rPr>
        <w:t xml:space="preserve">ouseholds </w:t>
      </w:r>
      <w:r w:rsidR="00455595">
        <w:rPr>
          <w:rFonts w:ascii="Arial" w:hAnsi="Arial"/>
          <w:b/>
          <w:bCs/>
        </w:rPr>
        <w:t>that</w:t>
      </w:r>
      <w:r w:rsidRPr="0032381A">
        <w:rPr>
          <w:rFonts w:ascii="Arial" w:hAnsi="Arial"/>
          <w:b/>
          <w:bCs/>
        </w:rPr>
        <w:t xml:space="preserve"> were </w:t>
      </w:r>
      <w:r w:rsidR="00455595">
        <w:rPr>
          <w:rFonts w:ascii="Arial" w:hAnsi="Arial"/>
          <w:b/>
          <w:bCs/>
        </w:rPr>
        <w:t>V</w:t>
      </w:r>
      <w:r w:rsidRPr="0032381A">
        <w:rPr>
          <w:rFonts w:ascii="Arial" w:hAnsi="Arial"/>
          <w:b/>
          <w:bCs/>
        </w:rPr>
        <w:t xml:space="preserve">ictims of </w:t>
      </w:r>
      <w:r w:rsidR="00455595">
        <w:rPr>
          <w:rFonts w:ascii="Arial" w:hAnsi="Arial"/>
          <w:b/>
          <w:bCs/>
        </w:rPr>
        <w:t>P</w:t>
      </w:r>
      <w:r w:rsidRPr="0032381A">
        <w:rPr>
          <w:rFonts w:ascii="Arial" w:hAnsi="Arial"/>
          <w:b/>
          <w:bCs/>
        </w:rPr>
        <w:t xml:space="preserve">hysical </w:t>
      </w:r>
      <w:r w:rsidR="00455595">
        <w:rPr>
          <w:rFonts w:ascii="Arial" w:hAnsi="Arial"/>
          <w:b/>
          <w:bCs/>
        </w:rPr>
        <w:t>A</w:t>
      </w:r>
      <w:r w:rsidRPr="0032381A">
        <w:rPr>
          <w:rFonts w:ascii="Arial" w:hAnsi="Arial"/>
          <w:b/>
          <w:bCs/>
        </w:rPr>
        <w:t>ssault</w:t>
      </w:r>
      <w:r w:rsidRPr="00422BE3">
        <w:rPr>
          <w:rFonts w:ascii="Arial" w:hAnsi="Arial"/>
          <w:b/>
          <w:bCs/>
        </w:rPr>
        <w:t>,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DA8BD0C" w14:textId="77777777" w:rsidTr="0071415F">
        <w:tc>
          <w:tcPr>
            <w:tcW w:w="9286" w:type="dxa"/>
            <w:shd w:val="clear" w:color="auto" w:fill="auto"/>
          </w:tcPr>
          <w:p w14:paraId="1FBF017C"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14:anchorId="47D325E0" wp14:editId="0A60D5D9">
                  <wp:extent cx="5351145" cy="2194560"/>
                  <wp:effectExtent l="0" t="0" r="1905" b="0"/>
                  <wp:docPr id="23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tc>
      </w:tr>
    </w:tbl>
    <w:p w14:paraId="4D696EBE" w14:textId="77777777" w:rsidR="0071415F" w:rsidRPr="00EE4018" w:rsidRDefault="0071415F" w:rsidP="00311D55">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 xml:space="preserve">Source: Palestinian Central Bureau of </w:t>
      </w:r>
      <w:r w:rsidR="00C66B88" w:rsidRPr="00B15ACB">
        <w:rPr>
          <w:rFonts w:ascii="Arial" w:hAnsi="Arial"/>
          <w:b/>
          <w:bCs/>
          <w:sz w:val="18"/>
          <w:szCs w:val="18"/>
        </w:rPr>
        <w:t>Statistics,</w:t>
      </w:r>
      <w:r w:rsidR="00C66B88">
        <w:rPr>
          <w:rFonts w:ascii="Arial" w:hAnsi="Arial"/>
          <w:sz w:val="18"/>
          <w:szCs w:val="18"/>
        </w:rPr>
        <w:t xml:space="preserve"> Victimization</w:t>
      </w:r>
      <w:r w:rsidR="008B1026">
        <w:rPr>
          <w:rFonts w:ascii="Arial" w:hAnsi="Arial"/>
          <w:sz w:val="18"/>
          <w:szCs w:val="18"/>
        </w:rPr>
        <w:t xml:space="preserve"> Survey</w:t>
      </w:r>
      <w:r w:rsidR="00311D55">
        <w:rPr>
          <w:rFonts w:ascii="Arial" w:hAnsi="Arial"/>
          <w:sz w:val="18"/>
          <w:szCs w:val="18"/>
        </w:rPr>
        <w:t>Database</w:t>
      </w:r>
      <w:r w:rsidR="0040480C">
        <w:rPr>
          <w:rFonts w:ascii="Arial" w:hAnsi="Arial"/>
          <w:sz w:val="18"/>
          <w:szCs w:val="18"/>
        </w:rPr>
        <w:t>,</w:t>
      </w:r>
      <w:r w:rsidR="008B1026">
        <w:rPr>
          <w:rFonts w:ascii="Arial" w:hAnsi="Arial"/>
          <w:sz w:val="18"/>
          <w:szCs w:val="18"/>
        </w:rPr>
        <w:t xml:space="preserve"> 2016</w:t>
      </w:r>
      <w:r w:rsidRPr="00EE4018">
        <w:rPr>
          <w:rFonts w:ascii="Arial" w:hAnsi="Arial"/>
          <w:sz w:val="18"/>
          <w:szCs w:val="18"/>
        </w:rPr>
        <w:t xml:space="preserve">- </w:t>
      </w:r>
      <w:r>
        <w:rPr>
          <w:rFonts w:ascii="Arial" w:hAnsi="Arial"/>
          <w:sz w:val="18"/>
          <w:szCs w:val="18"/>
        </w:rPr>
        <w:t>2020</w:t>
      </w:r>
      <w:r w:rsidR="0040480C">
        <w:rPr>
          <w:rFonts w:ascii="Arial" w:hAnsi="Arial"/>
          <w:sz w:val="18"/>
          <w:szCs w:val="18"/>
        </w:rPr>
        <w:t>.</w:t>
      </w:r>
      <w:r w:rsidRPr="00EE4018">
        <w:rPr>
          <w:rFonts w:ascii="Arial" w:hAnsi="Arial"/>
          <w:sz w:val="18"/>
          <w:szCs w:val="18"/>
        </w:rPr>
        <w:t>Ramallah - Palestine</w:t>
      </w:r>
      <w:r w:rsidRPr="00EE4018">
        <w:rPr>
          <w:rFonts w:ascii="Arial" w:hAnsi="Arial"/>
          <w:sz w:val="18"/>
          <w:szCs w:val="18"/>
          <w:rtl/>
        </w:rPr>
        <w:t>.</w:t>
      </w:r>
    </w:p>
    <w:p w14:paraId="60CA52C0" w14:textId="77777777" w:rsidR="0071415F" w:rsidRDefault="0071415F" w:rsidP="0071415F">
      <w:pPr>
        <w:shd w:val="clear" w:color="auto" w:fill="FFFFFF"/>
        <w:bidi w:val="0"/>
        <w:spacing w:after="0" w:line="240" w:lineRule="auto"/>
        <w:ind w:left="45"/>
        <w:jc w:val="both"/>
        <w:textAlignment w:val="center"/>
        <w:rPr>
          <w:rFonts w:ascii="Simplified Arabic" w:hAnsi="Simplified Arabic" w:cs="Simplified Arabic"/>
          <w:color w:val="000000"/>
          <w:sz w:val="24"/>
          <w:szCs w:val="24"/>
        </w:rPr>
      </w:pPr>
    </w:p>
    <w:p w14:paraId="4CD586E3" w14:textId="77777777" w:rsidR="0071415F" w:rsidRPr="00747052" w:rsidRDefault="0071415F" w:rsidP="008B1026">
      <w:pPr>
        <w:shd w:val="clear" w:color="auto" w:fill="FFFFFF"/>
        <w:bidi w:val="0"/>
        <w:spacing w:after="0" w:line="240" w:lineRule="auto"/>
        <w:ind w:left="45"/>
        <w:jc w:val="both"/>
        <w:textAlignment w:val="center"/>
        <w:rPr>
          <w:rFonts w:ascii="Times New Roman" w:hAnsi="Times New Roman" w:cs="Times New Roman"/>
          <w:sz w:val="24"/>
          <w:szCs w:val="24"/>
          <w:rtl/>
        </w:rPr>
      </w:pPr>
      <w:r w:rsidRPr="00BB332F">
        <w:rPr>
          <w:rFonts w:ascii="Times New Roman" w:hAnsi="Times New Roman" w:cs="Times New Roman"/>
          <w:sz w:val="24"/>
          <w:szCs w:val="24"/>
        </w:rPr>
        <w:t xml:space="preserve">The percentage of households </w:t>
      </w:r>
      <w:r w:rsidR="00455595">
        <w:rPr>
          <w:rFonts w:ascii="Times New Roman" w:hAnsi="Times New Roman" w:cs="Times New Roman"/>
          <w:sz w:val="24"/>
          <w:szCs w:val="24"/>
        </w:rPr>
        <w:t>that</w:t>
      </w:r>
      <w:r w:rsidRPr="00BB332F">
        <w:rPr>
          <w:rFonts w:ascii="Times New Roman" w:hAnsi="Times New Roman" w:cs="Times New Roman"/>
          <w:sz w:val="24"/>
          <w:szCs w:val="24"/>
        </w:rPr>
        <w:t xml:space="preserve"> were victims of theft, robbery or theft attempts (excluding vehicles</w:t>
      </w:r>
      <w:r>
        <w:rPr>
          <w:rFonts w:ascii="Times New Roman" w:hAnsi="Times New Roman" w:cs="Times New Roman"/>
          <w:sz w:val="24"/>
          <w:szCs w:val="24"/>
        </w:rPr>
        <w:t>)</w:t>
      </w:r>
      <w:r w:rsidRPr="00BB332F">
        <w:rPr>
          <w:rFonts w:ascii="Times New Roman" w:hAnsi="Times New Roman" w:cs="Times New Roman"/>
          <w:sz w:val="24"/>
          <w:szCs w:val="24"/>
        </w:rPr>
        <w:t xml:space="preserve"> during</w:t>
      </w:r>
      <w:r>
        <w:rPr>
          <w:rFonts w:ascii="Times New Roman" w:hAnsi="Times New Roman" w:cs="Times New Roman"/>
          <w:sz w:val="24"/>
          <w:szCs w:val="24"/>
        </w:rPr>
        <w:t xml:space="preserve"> previous12</w:t>
      </w:r>
      <w:r w:rsidR="008B1026">
        <w:rPr>
          <w:rFonts w:ascii="Times New Roman" w:hAnsi="Times New Roman" w:cs="Times New Roman"/>
          <w:sz w:val="24"/>
          <w:szCs w:val="24"/>
        </w:rPr>
        <w:t xml:space="preserve"> months in Palestine in</w:t>
      </w:r>
      <w:r w:rsidRPr="00BB332F">
        <w:rPr>
          <w:rFonts w:ascii="Times New Roman" w:hAnsi="Times New Roman" w:cs="Times New Roman"/>
          <w:sz w:val="24"/>
          <w:szCs w:val="24"/>
        </w:rPr>
        <w:t xml:space="preserve">creased from </w:t>
      </w:r>
      <w:r w:rsidR="008B1026">
        <w:rPr>
          <w:rFonts w:ascii="Times New Roman" w:hAnsi="Times New Roman" w:cs="Times New Roman"/>
          <w:sz w:val="24"/>
          <w:szCs w:val="24"/>
        </w:rPr>
        <w:t>4.2</w:t>
      </w:r>
      <w:r w:rsidRPr="00BB332F">
        <w:rPr>
          <w:rFonts w:ascii="Times New Roman" w:hAnsi="Times New Roman" w:cs="Times New Roman"/>
          <w:sz w:val="24"/>
          <w:szCs w:val="24"/>
        </w:rPr>
        <w:t>% in 20</w:t>
      </w:r>
      <w:r w:rsidR="008B1026">
        <w:rPr>
          <w:rFonts w:ascii="Times New Roman" w:hAnsi="Times New Roman" w:cs="Times New Roman"/>
          <w:sz w:val="24"/>
          <w:szCs w:val="24"/>
        </w:rPr>
        <w:t>16</w:t>
      </w:r>
      <w:r w:rsidRPr="00BB332F">
        <w:rPr>
          <w:rFonts w:ascii="Times New Roman" w:hAnsi="Times New Roman" w:cs="Times New Roman"/>
          <w:sz w:val="24"/>
          <w:szCs w:val="24"/>
        </w:rPr>
        <w:t xml:space="preserve"> to </w:t>
      </w:r>
      <w:r>
        <w:rPr>
          <w:rFonts w:ascii="Times New Roman" w:hAnsi="Times New Roman" w:cs="Times New Roman"/>
          <w:sz w:val="24"/>
          <w:szCs w:val="24"/>
        </w:rPr>
        <w:t>3.2</w:t>
      </w:r>
      <w:r w:rsidRPr="00BB332F">
        <w:rPr>
          <w:rFonts w:ascii="Times New Roman" w:hAnsi="Times New Roman" w:cs="Times New Roman"/>
          <w:sz w:val="24"/>
          <w:szCs w:val="24"/>
        </w:rPr>
        <w:t>% in 2020</w:t>
      </w:r>
      <w:r w:rsidRPr="00BB332F">
        <w:rPr>
          <w:rFonts w:ascii="Times New Roman" w:hAnsi="Times New Roman" w:cs="Times New Roman"/>
          <w:sz w:val="24"/>
          <w:szCs w:val="24"/>
          <w:rtl/>
        </w:rPr>
        <w:t>.</w:t>
      </w:r>
    </w:p>
    <w:p w14:paraId="36A484F6" w14:textId="77777777" w:rsidR="0071415F" w:rsidRDefault="0071415F" w:rsidP="0071415F">
      <w:pPr>
        <w:tabs>
          <w:tab w:val="left" w:pos="9072"/>
        </w:tabs>
        <w:bidi w:val="0"/>
        <w:spacing w:after="0" w:line="240" w:lineRule="auto"/>
        <w:rPr>
          <w:rFonts w:ascii="Arial" w:hAnsi="Arial"/>
          <w:b/>
          <w:bCs/>
        </w:rPr>
      </w:pPr>
    </w:p>
    <w:p w14:paraId="608DAAAE"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Percentage </w:t>
      </w:r>
      <w:r w:rsidRPr="0032381A">
        <w:rPr>
          <w:rFonts w:ascii="Arial" w:hAnsi="Arial"/>
          <w:b/>
          <w:bCs/>
        </w:rPr>
        <w:t xml:space="preserve">of </w:t>
      </w:r>
      <w:r w:rsidR="00455595">
        <w:rPr>
          <w:rFonts w:ascii="Arial" w:hAnsi="Arial"/>
          <w:b/>
          <w:bCs/>
        </w:rPr>
        <w:t>H</w:t>
      </w:r>
      <w:r w:rsidRPr="0032381A">
        <w:rPr>
          <w:rFonts w:ascii="Arial" w:hAnsi="Arial"/>
          <w:b/>
          <w:bCs/>
        </w:rPr>
        <w:t xml:space="preserve">ouseholds </w:t>
      </w:r>
      <w:r w:rsidR="00455595">
        <w:rPr>
          <w:rFonts w:ascii="Arial" w:hAnsi="Arial"/>
          <w:b/>
          <w:bCs/>
        </w:rPr>
        <w:t>that</w:t>
      </w:r>
      <w:r w:rsidRPr="00F73D07">
        <w:rPr>
          <w:rFonts w:ascii="Arial" w:hAnsi="Arial"/>
          <w:b/>
          <w:bCs/>
        </w:rPr>
        <w:t xml:space="preserve">were </w:t>
      </w:r>
      <w:r w:rsidR="00455595">
        <w:rPr>
          <w:rFonts w:ascii="Arial" w:hAnsi="Arial"/>
          <w:b/>
          <w:bCs/>
        </w:rPr>
        <w:t>V</w:t>
      </w:r>
      <w:r w:rsidRPr="00F73D07">
        <w:rPr>
          <w:rFonts w:ascii="Arial" w:hAnsi="Arial"/>
          <w:b/>
          <w:bCs/>
        </w:rPr>
        <w:t xml:space="preserve">ictims of </w:t>
      </w:r>
      <w:r w:rsidR="00455595">
        <w:rPr>
          <w:rFonts w:ascii="Arial" w:hAnsi="Arial"/>
          <w:b/>
          <w:bCs/>
        </w:rPr>
        <w:t>T</w:t>
      </w:r>
      <w:r w:rsidRPr="00F73D07">
        <w:rPr>
          <w:rFonts w:ascii="Arial" w:hAnsi="Arial"/>
          <w:b/>
          <w:bCs/>
        </w:rPr>
        <w:t xml:space="preserve">heft, </w:t>
      </w:r>
      <w:r w:rsidR="00455595">
        <w:rPr>
          <w:rFonts w:ascii="Arial" w:hAnsi="Arial"/>
          <w:b/>
          <w:bCs/>
        </w:rPr>
        <w:t>R</w:t>
      </w:r>
      <w:r w:rsidRPr="00F73D07">
        <w:rPr>
          <w:rFonts w:ascii="Arial" w:hAnsi="Arial"/>
          <w:b/>
          <w:bCs/>
        </w:rPr>
        <w:t xml:space="preserve">obbery or </w:t>
      </w:r>
      <w:r w:rsidR="00455595">
        <w:rPr>
          <w:rFonts w:ascii="Arial" w:hAnsi="Arial"/>
          <w:b/>
          <w:bCs/>
        </w:rPr>
        <w:t>T</w:t>
      </w:r>
      <w:r w:rsidRPr="00F73D07">
        <w:rPr>
          <w:rFonts w:ascii="Arial" w:hAnsi="Arial"/>
          <w:b/>
          <w:bCs/>
        </w:rPr>
        <w:t xml:space="preserve">heft </w:t>
      </w:r>
      <w:r w:rsidR="00455595">
        <w:rPr>
          <w:rFonts w:ascii="Arial" w:hAnsi="Arial"/>
          <w:b/>
          <w:bCs/>
        </w:rPr>
        <w:t>A</w:t>
      </w:r>
      <w:r w:rsidRPr="00F73D07">
        <w:rPr>
          <w:rFonts w:ascii="Arial" w:hAnsi="Arial"/>
          <w:b/>
          <w:bCs/>
        </w:rPr>
        <w:t>ttempts (excluding vehicles),</w:t>
      </w:r>
      <w:r w:rsidRPr="00422BE3">
        <w:rPr>
          <w:rFonts w:ascii="Arial" w:hAnsi="Arial"/>
          <w:b/>
          <w:bCs/>
        </w:rPr>
        <w:t xml:space="preserve">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E143540" w14:textId="77777777" w:rsidTr="007B34F3">
        <w:tc>
          <w:tcPr>
            <w:tcW w:w="9060" w:type="dxa"/>
            <w:shd w:val="clear" w:color="auto" w:fill="auto"/>
          </w:tcPr>
          <w:p w14:paraId="35D9C2D5"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14:anchorId="3FF8A6A5" wp14:editId="411DE65A">
                  <wp:extent cx="5351145" cy="2194560"/>
                  <wp:effectExtent l="0" t="0" r="1905" b="0"/>
                  <wp:docPr id="237"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tc>
      </w:tr>
    </w:tbl>
    <w:p w14:paraId="684BCA37" w14:textId="77777777" w:rsidR="007B34F3" w:rsidRPr="00EE4018" w:rsidRDefault="0040480C" w:rsidP="00311D55">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 xml:space="preserve">Source: Palestinian Central Bureau of </w:t>
      </w:r>
      <w:r w:rsidR="00C66B88" w:rsidRPr="00B15ACB">
        <w:rPr>
          <w:rFonts w:ascii="Arial" w:hAnsi="Arial"/>
          <w:b/>
          <w:bCs/>
          <w:sz w:val="18"/>
          <w:szCs w:val="18"/>
        </w:rPr>
        <w:t>Statistics,</w:t>
      </w:r>
      <w:r w:rsidR="00C66B88">
        <w:rPr>
          <w:rFonts w:ascii="Arial" w:hAnsi="Arial"/>
          <w:sz w:val="18"/>
          <w:szCs w:val="18"/>
        </w:rPr>
        <w:t xml:space="preserve"> Victimization</w:t>
      </w:r>
      <w:r>
        <w:rPr>
          <w:rFonts w:ascii="Arial" w:hAnsi="Arial"/>
          <w:sz w:val="18"/>
          <w:szCs w:val="18"/>
        </w:rPr>
        <w:t xml:space="preserve"> Survey</w:t>
      </w:r>
      <w:r w:rsidR="00311D55">
        <w:rPr>
          <w:rFonts w:ascii="Arial" w:hAnsi="Arial"/>
          <w:sz w:val="18"/>
          <w:szCs w:val="18"/>
        </w:rPr>
        <w:t>Database</w:t>
      </w:r>
      <w:r>
        <w:rPr>
          <w:rFonts w:ascii="Arial" w:hAnsi="Arial"/>
          <w:sz w:val="18"/>
          <w:szCs w:val="18"/>
        </w:rPr>
        <w:t>, 2016</w:t>
      </w:r>
      <w:r w:rsidRPr="00EE4018">
        <w:rPr>
          <w:rFonts w:ascii="Arial" w:hAnsi="Arial"/>
          <w:sz w:val="18"/>
          <w:szCs w:val="18"/>
        </w:rPr>
        <w:t xml:space="preserve">- </w:t>
      </w:r>
      <w:r>
        <w:rPr>
          <w:rFonts w:ascii="Arial" w:hAnsi="Arial"/>
          <w:sz w:val="18"/>
          <w:szCs w:val="18"/>
        </w:rPr>
        <w:t>2020.</w:t>
      </w:r>
      <w:r w:rsidRPr="00EE4018">
        <w:rPr>
          <w:rFonts w:ascii="Arial" w:hAnsi="Arial"/>
          <w:sz w:val="18"/>
          <w:szCs w:val="18"/>
        </w:rPr>
        <w:t xml:space="preserve"> Ramallah - Palestine</w:t>
      </w:r>
      <w:r w:rsidR="007B34F3" w:rsidRPr="00EE4018">
        <w:rPr>
          <w:rFonts w:ascii="Arial" w:hAnsi="Arial"/>
          <w:sz w:val="18"/>
          <w:szCs w:val="18"/>
          <w:rtl/>
        </w:rPr>
        <w:t>.</w:t>
      </w:r>
    </w:p>
    <w:p w14:paraId="3E998476"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227B6C99"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Pr="00B15ACB">
        <w:rPr>
          <w:rFonts w:ascii="Times New Roman" w:hAnsi="Times New Roman" w:cs="Times New Roman"/>
          <w:b/>
          <w:bCs/>
          <w:i/>
          <w:iCs/>
          <w:sz w:val="24"/>
          <w:szCs w:val="24"/>
          <w:rtl/>
        </w:rPr>
        <w:t>16.1.4</w:t>
      </w:r>
      <w:r w:rsidRPr="00B15ACB">
        <w:rPr>
          <w:rFonts w:ascii="Times New Roman" w:hAnsi="Times New Roman" w:cs="Times New Roman"/>
          <w:b/>
          <w:bCs/>
          <w:i/>
          <w:iCs/>
          <w:sz w:val="24"/>
          <w:szCs w:val="24"/>
        </w:rPr>
        <w:t xml:space="preserve"> Proportion of People that Feel Safe Walking Alone Around the Area they Live </w:t>
      </w:r>
    </w:p>
    <w:p w14:paraId="7401F93A"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0AC32980" w14:textId="77777777" w:rsidR="0071415F" w:rsidRPr="00CC0B59"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In</w:t>
      </w:r>
      <w:r>
        <w:rPr>
          <w:rFonts w:ascii="Times New Roman" w:hAnsi="Times New Roman" w:cs="Times New Roman"/>
          <w:sz w:val="24"/>
          <w:szCs w:val="24"/>
        </w:rPr>
        <w:t xml:space="preserve"> 2021</w:t>
      </w:r>
      <w:r w:rsidRPr="00CC0B59">
        <w:rPr>
          <w:rFonts w:ascii="Times New Roman" w:hAnsi="Times New Roman" w:cs="Times New Roman"/>
          <w:sz w:val="24"/>
          <w:szCs w:val="24"/>
        </w:rPr>
        <w:t xml:space="preserve">, </w:t>
      </w:r>
      <w:r>
        <w:rPr>
          <w:rFonts w:ascii="Times New Roman" w:hAnsi="Times New Roman" w:cs="Times New Roman"/>
          <w:sz w:val="24"/>
          <w:szCs w:val="24"/>
        </w:rPr>
        <w:t>89.5</w:t>
      </w:r>
      <w:r w:rsidRPr="00CC0B59">
        <w:rPr>
          <w:rFonts w:ascii="Times New Roman" w:hAnsi="Times New Roman" w:cs="Times New Roman"/>
          <w:sz w:val="24"/>
          <w:szCs w:val="24"/>
        </w:rPr>
        <w:t>% of persons (18 years and above) fe</w:t>
      </w:r>
      <w:r w:rsidR="00455595">
        <w:rPr>
          <w:rFonts w:ascii="Times New Roman" w:hAnsi="Times New Roman" w:cs="Times New Roman"/>
          <w:sz w:val="24"/>
          <w:szCs w:val="24"/>
        </w:rPr>
        <w:t>lt</w:t>
      </w:r>
      <w:r w:rsidRPr="00CC0B59">
        <w:rPr>
          <w:rFonts w:ascii="Times New Roman" w:hAnsi="Times New Roman" w:cs="Times New Roman"/>
          <w:sz w:val="24"/>
          <w:szCs w:val="24"/>
        </w:rPr>
        <w:t xml:space="preserve"> safe walking alone </w:t>
      </w:r>
      <w:r w:rsidR="00455595">
        <w:rPr>
          <w:rFonts w:ascii="Times New Roman" w:hAnsi="Times New Roman" w:cs="Times New Roman"/>
          <w:sz w:val="24"/>
          <w:szCs w:val="24"/>
        </w:rPr>
        <w:t xml:space="preserve">in </w:t>
      </w:r>
      <w:r w:rsidRPr="00CC0B59">
        <w:rPr>
          <w:rFonts w:ascii="Times New Roman" w:hAnsi="Times New Roman" w:cs="Times New Roman"/>
          <w:sz w:val="24"/>
          <w:szCs w:val="24"/>
        </w:rPr>
        <w:t>the area they live</w:t>
      </w:r>
      <w:r w:rsidR="00455595">
        <w:rPr>
          <w:rFonts w:ascii="Times New Roman" w:hAnsi="Times New Roman" w:cs="Times New Roman"/>
          <w:sz w:val="24"/>
          <w:szCs w:val="24"/>
        </w:rPr>
        <w:t>;</w:t>
      </w:r>
      <w:r w:rsidRPr="00CC0B59">
        <w:rPr>
          <w:rFonts w:ascii="Times New Roman" w:hAnsi="Times New Roman" w:cs="Times New Roman"/>
          <w:sz w:val="24"/>
          <w:szCs w:val="24"/>
        </w:rPr>
        <w:t xml:space="preserve"> with a slight </w:t>
      </w:r>
      <w:r>
        <w:rPr>
          <w:rFonts w:ascii="Times New Roman" w:hAnsi="Times New Roman" w:cs="Times New Roman"/>
          <w:sz w:val="24"/>
          <w:szCs w:val="24"/>
        </w:rPr>
        <w:t>de</w:t>
      </w:r>
      <w:r w:rsidRPr="00CC0B59">
        <w:rPr>
          <w:rFonts w:ascii="Times New Roman" w:hAnsi="Times New Roman" w:cs="Times New Roman"/>
          <w:sz w:val="24"/>
          <w:szCs w:val="24"/>
        </w:rPr>
        <w:t xml:space="preserve">crease in Gaza Strip, this percentage is bit </w:t>
      </w:r>
      <w:r>
        <w:rPr>
          <w:rFonts w:ascii="Times New Roman" w:hAnsi="Times New Roman" w:cs="Times New Roman"/>
          <w:sz w:val="24"/>
          <w:szCs w:val="24"/>
        </w:rPr>
        <w:t>lower</w:t>
      </w:r>
      <w:r w:rsidRPr="00CC0B59">
        <w:rPr>
          <w:rFonts w:ascii="Times New Roman" w:hAnsi="Times New Roman" w:cs="Times New Roman"/>
          <w:sz w:val="24"/>
          <w:szCs w:val="24"/>
        </w:rPr>
        <w:t xml:space="preserve"> than it was in </w:t>
      </w:r>
      <w:r>
        <w:rPr>
          <w:rFonts w:ascii="Times New Roman" w:hAnsi="Times New Roman" w:cs="Times New Roman"/>
          <w:sz w:val="24"/>
          <w:szCs w:val="24"/>
        </w:rPr>
        <w:t>2018</w:t>
      </w:r>
      <w:r w:rsidRPr="00CC0B59">
        <w:rPr>
          <w:rFonts w:ascii="Times New Roman" w:hAnsi="Times New Roman" w:cs="Times New Roman"/>
          <w:sz w:val="24"/>
          <w:szCs w:val="24"/>
        </w:rPr>
        <w:t xml:space="preserve"> as it was about </w:t>
      </w:r>
      <w:r>
        <w:rPr>
          <w:rFonts w:ascii="Times New Roman" w:hAnsi="Times New Roman" w:cs="Times New Roman"/>
          <w:sz w:val="24"/>
          <w:szCs w:val="24"/>
        </w:rPr>
        <w:t>92.0</w:t>
      </w:r>
      <w:r w:rsidRPr="00CC0B59">
        <w:rPr>
          <w:rFonts w:ascii="Times New Roman" w:hAnsi="Times New Roman" w:cs="Times New Roman"/>
          <w:sz w:val="24"/>
          <w:szCs w:val="24"/>
        </w:rPr>
        <w:t xml:space="preserve">%. </w:t>
      </w:r>
    </w:p>
    <w:p w14:paraId="7C1BB7B0" w14:textId="77777777"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lastRenderedPageBreak/>
        <w:t>Percentage of Persons (18 Years and above) that Feel Safe Walking Alone Around The Area They Live, 2016, 2018</w:t>
      </w:r>
      <w:r>
        <w:rPr>
          <w:rFonts w:ascii="Arial" w:hAnsi="Arial"/>
          <w:b/>
          <w:bCs/>
        </w:rPr>
        <w:t>, 2021</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3FF3F79E" w14:textId="77777777" w:rsidTr="0071415F">
        <w:trPr>
          <w:trHeight w:val="3571"/>
        </w:trPr>
        <w:tc>
          <w:tcPr>
            <w:tcW w:w="9242" w:type="dxa"/>
            <w:shd w:val="clear" w:color="auto" w:fill="auto"/>
          </w:tcPr>
          <w:p w14:paraId="4E62D0E0"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331ADF71" wp14:editId="28FAB63D">
                  <wp:extent cx="5576570" cy="2181225"/>
                  <wp:effectExtent l="0" t="0" r="5080" b="0"/>
                  <wp:docPr id="238"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tc>
      </w:tr>
    </w:tbl>
    <w:p w14:paraId="0D6F44DD" w14:textId="77777777" w:rsidR="007B34F3" w:rsidRDefault="0071415F" w:rsidP="00311D55">
      <w:pPr>
        <w:autoSpaceDE w:val="0"/>
        <w:autoSpaceDN w:val="0"/>
        <w:bidi w:val="0"/>
        <w:adjustRightInd w:val="0"/>
        <w:spacing w:after="0" w:line="240" w:lineRule="auto"/>
        <w:jc w:val="both"/>
        <w:rPr>
          <w:rFonts w:ascii="Arial" w:hAnsi="Arial"/>
          <w:sz w:val="18"/>
          <w:szCs w:val="18"/>
        </w:rPr>
      </w:pPr>
      <w:r w:rsidRPr="00B15ACB">
        <w:rPr>
          <w:rFonts w:ascii="Arial" w:hAnsi="Arial"/>
          <w:b/>
          <w:bCs/>
          <w:sz w:val="18"/>
          <w:szCs w:val="18"/>
        </w:rPr>
        <w:t xml:space="preserve">Source: </w:t>
      </w:r>
      <w:r w:rsidR="0040480C" w:rsidRPr="00B15ACB">
        <w:rPr>
          <w:rFonts w:ascii="Arial" w:hAnsi="Arial"/>
          <w:b/>
          <w:bCs/>
          <w:sz w:val="18"/>
          <w:szCs w:val="18"/>
        </w:rPr>
        <w:t xml:space="preserve">Palestinian Central Bureau of </w:t>
      </w:r>
      <w:r w:rsidR="00C66B88" w:rsidRPr="00B15ACB">
        <w:rPr>
          <w:rFonts w:ascii="Arial" w:hAnsi="Arial"/>
          <w:b/>
          <w:bCs/>
          <w:sz w:val="18"/>
          <w:szCs w:val="18"/>
        </w:rPr>
        <w:t>Statistics,</w:t>
      </w:r>
      <w:r w:rsidR="00C66B88">
        <w:rPr>
          <w:rFonts w:ascii="Arial" w:hAnsi="Arial"/>
          <w:sz w:val="18"/>
          <w:szCs w:val="18"/>
        </w:rPr>
        <w:t xml:space="preserve"> Victimization</w:t>
      </w:r>
      <w:r w:rsidR="0040480C">
        <w:rPr>
          <w:rFonts w:ascii="Arial" w:hAnsi="Arial"/>
          <w:sz w:val="18"/>
          <w:szCs w:val="18"/>
        </w:rPr>
        <w:t xml:space="preserve"> Survey</w:t>
      </w:r>
      <w:r w:rsidR="00311D55">
        <w:rPr>
          <w:rFonts w:ascii="Arial" w:hAnsi="Arial"/>
          <w:sz w:val="18"/>
          <w:szCs w:val="18"/>
        </w:rPr>
        <w:t>Database</w:t>
      </w:r>
      <w:r w:rsidR="0040480C">
        <w:rPr>
          <w:rFonts w:ascii="Arial" w:hAnsi="Arial"/>
          <w:sz w:val="18"/>
          <w:szCs w:val="18"/>
        </w:rPr>
        <w:t>, 2016.</w:t>
      </w:r>
      <w:r w:rsidR="0040480C" w:rsidRPr="00EE4018">
        <w:rPr>
          <w:rFonts w:ascii="Arial" w:hAnsi="Arial"/>
          <w:sz w:val="18"/>
          <w:szCs w:val="18"/>
        </w:rPr>
        <w:t xml:space="preserve"> Ramallah - Palestine</w:t>
      </w:r>
      <w:r w:rsidRPr="00EE4018">
        <w:rPr>
          <w:rFonts w:ascii="Arial" w:hAnsi="Arial"/>
          <w:sz w:val="18"/>
          <w:szCs w:val="18"/>
          <w:rtl/>
        </w:rPr>
        <w:t>.</w:t>
      </w:r>
    </w:p>
    <w:p w14:paraId="00B18B4F" w14:textId="77777777" w:rsidR="0071415F" w:rsidRPr="00EE4018" w:rsidRDefault="0071415F" w:rsidP="00E300A7">
      <w:pPr>
        <w:autoSpaceDE w:val="0"/>
        <w:autoSpaceDN w:val="0"/>
        <w:bidi w:val="0"/>
        <w:adjustRightInd w:val="0"/>
        <w:spacing w:after="0" w:line="240" w:lineRule="auto"/>
        <w:ind w:left="720" w:firstLine="11"/>
        <w:jc w:val="both"/>
        <w:rPr>
          <w:rFonts w:ascii="Arial" w:hAnsi="Arial"/>
          <w:sz w:val="18"/>
          <w:szCs w:val="18"/>
        </w:rPr>
      </w:pPr>
      <w:r w:rsidRPr="00B15ACB">
        <w:rPr>
          <w:rFonts w:ascii="Arial" w:hAnsi="Arial"/>
          <w:b/>
          <w:bCs/>
          <w:sz w:val="18"/>
          <w:szCs w:val="18"/>
        </w:rPr>
        <w:t xml:space="preserve">Palestinian Central Bureau of </w:t>
      </w:r>
      <w:r w:rsidR="00C66B88" w:rsidRPr="00B15ACB">
        <w:rPr>
          <w:rFonts w:ascii="Arial" w:hAnsi="Arial"/>
          <w:b/>
          <w:bCs/>
          <w:sz w:val="18"/>
          <w:szCs w:val="18"/>
        </w:rPr>
        <w:t>Statistics,</w:t>
      </w:r>
      <w:r w:rsidR="00C66B88" w:rsidRPr="00EE4018">
        <w:rPr>
          <w:rFonts w:ascii="Arial" w:hAnsi="Arial"/>
          <w:sz w:val="18"/>
          <w:szCs w:val="18"/>
        </w:rPr>
        <w:t xml:space="preserve"> Rule</w:t>
      </w:r>
      <w:r w:rsidRPr="00EE4018">
        <w:rPr>
          <w:rFonts w:ascii="Arial" w:hAnsi="Arial"/>
          <w:sz w:val="18"/>
          <w:szCs w:val="18"/>
        </w:rPr>
        <w:t xml:space="preserve"> of Law and Access to Justice Survey </w:t>
      </w:r>
      <w:r w:rsidR="00311D55" w:rsidRPr="00EE4018">
        <w:rPr>
          <w:rFonts w:ascii="Arial" w:hAnsi="Arial"/>
          <w:sz w:val="18"/>
          <w:szCs w:val="18"/>
        </w:rPr>
        <w:t>Database</w:t>
      </w:r>
      <w:r w:rsidR="00311D55">
        <w:rPr>
          <w:rFonts w:ascii="Arial" w:hAnsi="Arial"/>
          <w:sz w:val="18"/>
          <w:szCs w:val="18"/>
        </w:rPr>
        <w:t>,</w:t>
      </w:r>
      <w:r w:rsidRPr="00EE4018">
        <w:rPr>
          <w:rFonts w:ascii="Arial" w:hAnsi="Arial"/>
          <w:sz w:val="18"/>
          <w:szCs w:val="18"/>
        </w:rPr>
        <w:t>2018</w:t>
      </w:r>
      <w:r w:rsidR="00311D55">
        <w:rPr>
          <w:rFonts w:ascii="Arial" w:hAnsi="Arial"/>
          <w:sz w:val="18"/>
          <w:szCs w:val="18"/>
        </w:rPr>
        <w:t xml:space="preserve"> and</w:t>
      </w:r>
      <w:r>
        <w:rPr>
          <w:rFonts w:ascii="Arial" w:hAnsi="Arial"/>
          <w:sz w:val="18"/>
          <w:szCs w:val="18"/>
        </w:rPr>
        <w:t xml:space="preserve"> 2021</w:t>
      </w:r>
      <w:r w:rsidRPr="00EE4018">
        <w:rPr>
          <w:rFonts w:ascii="Arial" w:hAnsi="Arial"/>
          <w:sz w:val="18"/>
          <w:szCs w:val="18"/>
        </w:rPr>
        <w:t>. Ramallah - Palestine</w:t>
      </w:r>
      <w:r w:rsidRPr="00EE4018">
        <w:rPr>
          <w:rFonts w:ascii="Arial" w:hAnsi="Arial"/>
          <w:sz w:val="18"/>
          <w:szCs w:val="18"/>
          <w:rtl/>
        </w:rPr>
        <w:t>.</w:t>
      </w:r>
    </w:p>
    <w:p w14:paraId="363A11F1" w14:textId="77777777" w:rsidR="0071415F" w:rsidRPr="00455D32" w:rsidRDefault="0071415F" w:rsidP="0071415F">
      <w:pPr>
        <w:tabs>
          <w:tab w:val="left" w:pos="9072"/>
        </w:tabs>
        <w:bidi w:val="0"/>
        <w:spacing w:after="0" w:line="240" w:lineRule="auto"/>
        <w:jc w:val="center"/>
        <w:rPr>
          <w:rFonts w:ascii="Arial" w:hAnsi="Arial"/>
          <w:b/>
          <w:bCs/>
          <w:color w:val="000000" w:themeColor="text1"/>
          <w:sz w:val="24"/>
          <w:szCs w:val="24"/>
          <w:rtl/>
        </w:rPr>
      </w:pPr>
    </w:p>
    <w:p w14:paraId="6CCF25E3" w14:textId="77777777" w:rsidR="0071415F" w:rsidRPr="006B7F41" w:rsidRDefault="0071415F" w:rsidP="0071415F">
      <w:pPr>
        <w:tabs>
          <w:tab w:val="left" w:pos="9072"/>
        </w:tabs>
        <w:bidi w:val="0"/>
        <w:spacing w:after="0" w:line="240" w:lineRule="auto"/>
        <w:jc w:val="center"/>
        <w:rPr>
          <w:rFonts w:ascii="Arial" w:hAnsi="Arial"/>
          <w:b/>
          <w:bCs/>
          <w:color w:val="000000" w:themeColor="text1"/>
          <w:rtl/>
        </w:rPr>
      </w:pPr>
      <w:r w:rsidRPr="006B7F41">
        <w:rPr>
          <w:rFonts w:ascii="Arial" w:hAnsi="Arial"/>
          <w:b/>
          <w:bCs/>
          <w:color w:val="000000" w:themeColor="text1"/>
        </w:rPr>
        <w:t xml:space="preserve">Percentage of Persons (18 Years and above) that Feel Safe Walking Alone Around </w:t>
      </w:r>
      <w:r>
        <w:rPr>
          <w:rFonts w:ascii="Arial" w:hAnsi="Arial"/>
          <w:b/>
          <w:bCs/>
          <w:color w:val="000000" w:themeColor="text1"/>
        </w:rPr>
        <w:t>t</w:t>
      </w:r>
      <w:r w:rsidRPr="006B7F41">
        <w:rPr>
          <w:rFonts w:ascii="Arial" w:hAnsi="Arial"/>
          <w:b/>
          <w:bCs/>
          <w:color w:val="000000" w:themeColor="text1"/>
        </w:rPr>
        <w:t>he Area They Live by Sex</w:t>
      </w:r>
      <w:r>
        <w:rPr>
          <w:rFonts w:ascii="Arial" w:hAnsi="Arial"/>
          <w:b/>
          <w:bCs/>
          <w:color w:val="000000" w:themeColor="text1"/>
        </w:rPr>
        <w:t xml:space="preserve"> and</w:t>
      </w:r>
      <w:r w:rsidRPr="006B7F41">
        <w:rPr>
          <w:rFonts w:ascii="Arial" w:hAnsi="Arial"/>
          <w:b/>
          <w:bCs/>
          <w:color w:val="000000" w:themeColor="text1"/>
        </w:rPr>
        <w:t xml:space="preserve"> Region Locality </w:t>
      </w:r>
      <w:r w:rsidR="00455595">
        <w:rPr>
          <w:rFonts w:ascii="Arial" w:hAnsi="Arial"/>
          <w:b/>
          <w:bCs/>
          <w:color w:val="000000" w:themeColor="text1"/>
        </w:rPr>
        <w:t>T</w:t>
      </w:r>
      <w:r w:rsidRPr="006B7F41">
        <w:rPr>
          <w:rFonts w:ascii="Arial" w:hAnsi="Arial"/>
          <w:b/>
          <w:bCs/>
          <w:color w:val="000000" w:themeColor="text1"/>
        </w:rPr>
        <w:t>ype 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6C2A057D" w14:textId="77777777" w:rsidTr="0071415F">
        <w:trPr>
          <w:trHeight w:val="3571"/>
        </w:trPr>
        <w:tc>
          <w:tcPr>
            <w:tcW w:w="9242" w:type="dxa"/>
            <w:shd w:val="clear" w:color="auto" w:fill="auto"/>
          </w:tcPr>
          <w:p w14:paraId="61ED6AE0"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352E00E0" wp14:editId="40E46C7D">
                  <wp:extent cx="5614670" cy="2234565"/>
                  <wp:effectExtent l="0" t="0" r="5080" b="0"/>
                  <wp:docPr id="8"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tc>
      </w:tr>
    </w:tbl>
    <w:p w14:paraId="23217EC1" w14:textId="77777777" w:rsidR="0071415F" w:rsidRPr="00EE4018" w:rsidRDefault="0071415F" w:rsidP="004D5D75">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 xml:space="preserve">Source: Palestinian Central Bureau of </w:t>
      </w:r>
      <w:r w:rsidR="00C66B88" w:rsidRPr="00B15ACB">
        <w:rPr>
          <w:rFonts w:ascii="Arial" w:hAnsi="Arial"/>
          <w:b/>
          <w:bCs/>
          <w:sz w:val="18"/>
          <w:szCs w:val="18"/>
        </w:rPr>
        <w:t>Statistics,</w:t>
      </w:r>
      <w:r w:rsidR="00C66B88" w:rsidRPr="00EE4018">
        <w:rPr>
          <w:rFonts w:ascii="Arial" w:hAnsi="Arial"/>
          <w:sz w:val="18"/>
          <w:szCs w:val="18"/>
        </w:rPr>
        <w:t xml:space="preserve"> Rule</w:t>
      </w:r>
      <w:r w:rsidRPr="00EE4018">
        <w:rPr>
          <w:rFonts w:ascii="Arial" w:hAnsi="Arial"/>
          <w:sz w:val="18"/>
          <w:szCs w:val="18"/>
        </w:rPr>
        <w:t xml:space="preserve"> of Law and Access to Justice Survey </w:t>
      </w:r>
      <w:r w:rsidR="004D5D75" w:rsidRPr="00EE4018">
        <w:rPr>
          <w:rFonts w:ascii="Arial" w:hAnsi="Arial"/>
          <w:sz w:val="18"/>
          <w:szCs w:val="18"/>
        </w:rPr>
        <w:t>Database</w:t>
      </w:r>
      <w:r w:rsidR="004D5D75">
        <w:rPr>
          <w:rFonts w:ascii="Arial" w:hAnsi="Arial"/>
          <w:sz w:val="18"/>
          <w:szCs w:val="18"/>
        </w:rPr>
        <w:t xml:space="preserve">, </w:t>
      </w:r>
      <w:r>
        <w:rPr>
          <w:rFonts w:ascii="Arial" w:hAnsi="Arial"/>
          <w:sz w:val="18"/>
          <w:szCs w:val="18"/>
        </w:rPr>
        <w:t>2021</w:t>
      </w:r>
      <w:r w:rsidRPr="00EE4018">
        <w:rPr>
          <w:rFonts w:ascii="Arial" w:hAnsi="Arial"/>
          <w:sz w:val="18"/>
          <w:szCs w:val="18"/>
        </w:rPr>
        <w:t>. Ramallah - Palestine</w:t>
      </w:r>
      <w:r w:rsidRPr="00EE4018">
        <w:rPr>
          <w:rFonts w:ascii="Arial" w:hAnsi="Arial"/>
          <w:sz w:val="18"/>
          <w:szCs w:val="18"/>
          <w:rtl/>
        </w:rPr>
        <w:t>.</w:t>
      </w:r>
    </w:p>
    <w:p w14:paraId="57086CC8" w14:textId="77777777" w:rsidR="0071415F" w:rsidRPr="001C2A06" w:rsidRDefault="0071415F" w:rsidP="0071415F">
      <w:pPr>
        <w:autoSpaceDE w:val="0"/>
        <w:autoSpaceDN w:val="0"/>
        <w:bidi w:val="0"/>
        <w:adjustRightInd w:val="0"/>
        <w:spacing w:after="0" w:line="240" w:lineRule="auto"/>
        <w:jc w:val="both"/>
        <w:rPr>
          <w:rFonts w:ascii="Times New Roman" w:hAnsi="Times New Roman" w:cs="Times New Roman"/>
          <w:b/>
          <w:i/>
          <w:color w:val="000000"/>
          <w:sz w:val="24"/>
          <w:szCs w:val="24"/>
        </w:rPr>
      </w:pPr>
    </w:p>
    <w:p w14:paraId="7942171C"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16.2.1 Proportion of children age</w:t>
      </w:r>
      <w:r w:rsidR="00455595">
        <w:rPr>
          <w:rFonts w:ascii="Times New Roman" w:hAnsi="Times New Roman" w:cs="Times New Roman"/>
          <w:b/>
          <w:bCs/>
          <w:i/>
          <w:iCs/>
          <w:sz w:val="24"/>
          <w:szCs w:val="24"/>
        </w:rPr>
        <w:t>s</w:t>
      </w:r>
      <w:r w:rsidRPr="00B15ACB">
        <w:rPr>
          <w:rFonts w:ascii="Times New Roman" w:hAnsi="Times New Roman" w:cs="Times New Roman"/>
          <w:b/>
          <w:bCs/>
          <w:i/>
          <w:iCs/>
          <w:sz w:val="24"/>
          <w:szCs w:val="24"/>
        </w:rPr>
        <w:t xml:space="preserve"> 1-17 years </w:t>
      </w:r>
      <w:r w:rsidR="00455595">
        <w:rPr>
          <w:rFonts w:ascii="Times New Roman" w:hAnsi="Times New Roman" w:cs="Times New Roman"/>
          <w:b/>
          <w:bCs/>
          <w:i/>
          <w:iCs/>
          <w:sz w:val="24"/>
          <w:szCs w:val="24"/>
        </w:rPr>
        <w:t>that</w:t>
      </w:r>
      <w:r w:rsidRPr="00B15ACB">
        <w:rPr>
          <w:rFonts w:ascii="Times New Roman" w:hAnsi="Times New Roman" w:cs="Times New Roman"/>
          <w:b/>
          <w:bCs/>
          <w:i/>
          <w:iCs/>
          <w:sz w:val="24"/>
          <w:szCs w:val="24"/>
        </w:rPr>
        <w:t xml:space="preserve"> experienced any physical punishment and/or psychological aggression by caregivers in the past month</w:t>
      </w:r>
    </w:p>
    <w:p w14:paraId="777D80EF"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24C84318" w14:textId="77777777" w:rsidR="0071415F" w:rsidRDefault="00455595"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About </w:t>
      </w:r>
      <w:r w:rsidR="0071415F">
        <w:rPr>
          <w:rFonts w:ascii="Times New Roman" w:hAnsi="Times New Roman" w:cs="Times New Roman"/>
          <w:color w:val="000000"/>
          <w:sz w:val="24"/>
          <w:szCs w:val="24"/>
        </w:rPr>
        <w:t>90.1</w:t>
      </w:r>
      <w:r w:rsidR="0071415F" w:rsidRPr="00B15ACB">
        <w:rPr>
          <w:rFonts w:ascii="Times New Roman" w:hAnsi="Times New Roman" w:cs="Times New Roman"/>
          <w:sz w:val="24"/>
          <w:szCs w:val="24"/>
        </w:rPr>
        <w:t>% of children age</w:t>
      </w:r>
      <w:r>
        <w:rPr>
          <w:rFonts w:ascii="Times New Roman" w:hAnsi="Times New Roman" w:cs="Times New Roman"/>
          <w:sz w:val="24"/>
          <w:szCs w:val="24"/>
        </w:rPr>
        <w:t>s</w:t>
      </w:r>
      <w:r w:rsidR="0071415F" w:rsidRPr="00B15ACB">
        <w:rPr>
          <w:rFonts w:ascii="Times New Roman" w:hAnsi="Times New Roman" w:cs="Times New Roman"/>
          <w:sz w:val="24"/>
          <w:szCs w:val="24"/>
        </w:rPr>
        <w:t xml:space="preserve"> (1-14 years) experienced a physical punishment and/or psychological aggression by caregivers</w:t>
      </w:r>
      <w:r w:rsidR="0071415F">
        <w:rPr>
          <w:rFonts w:ascii="Times New Roman" w:hAnsi="Times New Roman" w:cs="Times New Roman"/>
          <w:sz w:val="24"/>
          <w:szCs w:val="24"/>
        </w:rPr>
        <w:t xml:space="preserve"> in 2019</w:t>
      </w:r>
      <w:r w:rsidR="0071415F" w:rsidRPr="00B15ACB">
        <w:rPr>
          <w:rFonts w:ascii="Times New Roman" w:hAnsi="Times New Roman" w:cs="Times New Roman"/>
          <w:sz w:val="24"/>
          <w:szCs w:val="24"/>
        </w:rPr>
        <w:t xml:space="preserve">, </w:t>
      </w:r>
      <w:r>
        <w:rPr>
          <w:rFonts w:ascii="Times New Roman" w:hAnsi="Times New Roman" w:cs="Times New Roman"/>
          <w:sz w:val="24"/>
          <w:szCs w:val="24"/>
        </w:rPr>
        <w:t xml:space="preserve">the </w:t>
      </w:r>
      <w:r w:rsidR="0071415F" w:rsidRPr="00B15ACB">
        <w:rPr>
          <w:rFonts w:ascii="Times New Roman" w:hAnsi="Times New Roman" w:cs="Times New Roman"/>
          <w:sz w:val="24"/>
          <w:szCs w:val="24"/>
        </w:rPr>
        <w:t xml:space="preserve">Gaza Strip has </w:t>
      </w:r>
      <w:r>
        <w:rPr>
          <w:rFonts w:ascii="Times New Roman" w:hAnsi="Times New Roman" w:cs="Times New Roman"/>
          <w:sz w:val="24"/>
          <w:szCs w:val="24"/>
        </w:rPr>
        <w:t xml:space="preserve">a </w:t>
      </w:r>
      <w:r w:rsidR="0071415F" w:rsidRPr="00B15ACB">
        <w:rPr>
          <w:rFonts w:ascii="Times New Roman" w:hAnsi="Times New Roman" w:cs="Times New Roman"/>
          <w:sz w:val="24"/>
          <w:szCs w:val="24"/>
        </w:rPr>
        <w:t xml:space="preserve">higher percentage at about </w:t>
      </w:r>
      <w:r w:rsidR="0071415F">
        <w:rPr>
          <w:rFonts w:ascii="Times New Roman" w:hAnsi="Times New Roman" w:cs="Times New Roman"/>
          <w:sz w:val="24"/>
          <w:szCs w:val="24"/>
        </w:rPr>
        <w:t>92.3</w:t>
      </w:r>
      <w:r w:rsidR="0071415F" w:rsidRPr="00B15ACB">
        <w:rPr>
          <w:rFonts w:ascii="Times New Roman" w:hAnsi="Times New Roman" w:cs="Times New Roman"/>
          <w:sz w:val="24"/>
          <w:szCs w:val="24"/>
        </w:rPr>
        <w:t xml:space="preserve">% compared with </w:t>
      </w:r>
      <w:r w:rsidR="0071415F">
        <w:rPr>
          <w:rFonts w:ascii="Times New Roman" w:hAnsi="Times New Roman" w:cs="Times New Roman"/>
          <w:sz w:val="24"/>
          <w:szCs w:val="24"/>
        </w:rPr>
        <w:t>88.3</w:t>
      </w:r>
      <w:r w:rsidR="0071415F" w:rsidRPr="00B15ACB">
        <w:rPr>
          <w:rFonts w:ascii="Times New Roman" w:hAnsi="Times New Roman" w:cs="Times New Roman"/>
          <w:sz w:val="24"/>
          <w:szCs w:val="24"/>
        </w:rPr>
        <w:t xml:space="preserve"> % in the West Bank.</w:t>
      </w:r>
    </w:p>
    <w:p w14:paraId="31C2A358" w14:textId="77777777" w:rsidR="0071415F" w:rsidRDefault="0071415F" w:rsidP="0071415F">
      <w:pPr>
        <w:tabs>
          <w:tab w:val="left" w:pos="9072"/>
        </w:tabs>
        <w:bidi w:val="0"/>
        <w:spacing w:after="0" w:line="240" w:lineRule="auto"/>
        <w:rPr>
          <w:rFonts w:asciiTheme="minorBidi" w:hAnsiTheme="minorBidi"/>
          <w:b/>
          <w:bCs/>
        </w:rPr>
      </w:pPr>
    </w:p>
    <w:p w14:paraId="13014695" w14:textId="77777777" w:rsidR="0071415F" w:rsidRDefault="0071415F" w:rsidP="0071415F">
      <w:pPr>
        <w:tabs>
          <w:tab w:val="left" w:pos="9072"/>
        </w:tabs>
        <w:bidi w:val="0"/>
        <w:spacing w:after="0" w:line="240" w:lineRule="auto"/>
        <w:jc w:val="center"/>
        <w:rPr>
          <w:rFonts w:asciiTheme="minorBidi" w:hAnsiTheme="minorBidi"/>
          <w:b/>
          <w:bCs/>
        </w:rPr>
      </w:pPr>
    </w:p>
    <w:p w14:paraId="32FD6CEA" w14:textId="77777777" w:rsidR="007F4CA4" w:rsidRDefault="007F4CA4" w:rsidP="007F4CA4">
      <w:pPr>
        <w:tabs>
          <w:tab w:val="left" w:pos="9072"/>
        </w:tabs>
        <w:bidi w:val="0"/>
        <w:spacing w:after="0" w:line="240" w:lineRule="auto"/>
        <w:jc w:val="center"/>
        <w:rPr>
          <w:rFonts w:asciiTheme="minorBidi" w:hAnsiTheme="minorBidi"/>
          <w:b/>
          <w:bCs/>
        </w:rPr>
      </w:pPr>
    </w:p>
    <w:p w14:paraId="3F481BFC" w14:textId="77777777" w:rsidR="007F4CA4" w:rsidRDefault="007F4CA4" w:rsidP="007F4CA4">
      <w:pPr>
        <w:tabs>
          <w:tab w:val="left" w:pos="9072"/>
        </w:tabs>
        <w:bidi w:val="0"/>
        <w:spacing w:after="0" w:line="240" w:lineRule="auto"/>
        <w:jc w:val="center"/>
        <w:rPr>
          <w:rFonts w:asciiTheme="minorBidi" w:hAnsiTheme="minorBidi"/>
          <w:b/>
          <w:bCs/>
        </w:rPr>
      </w:pPr>
    </w:p>
    <w:p w14:paraId="4C665741" w14:textId="77777777" w:rsidR="006E49BE" w:rsidRDefault="006E49BE" w:rsidP="006E49BE">
      <w:pPr>
        <w:tabs>
          <w:tab w:val="left" w:pos="9072"/>
        </w:tabs>
        <w:bidi w:val="0"/>
        <w:spacing w:after="0" w:line="240" w:lineRule="auto"/>
        <w:jc w:val="center"/>
        <w:rPr>
          <w:rFonts w:asciiTheme="minorBidi" w:hAnsiTheme="minorBidi"/>
          <w:b/>
          <w:bCs/>
        </w:rPr>
      </w:pPr>
    </w:p>
    <w:p w14:paraId="0D2E481C" w14:textId="77777777" w:rsidR="006E49BE" w:rsidRDefault="006E49BE" w:rsidP="006E49BE">
      <w:pPr>
        <w:tabs>
          <w:tab w:val="left" w:pos="9072"/>
        </w:tabs>
        <w:bidi w:val="0"/>
        <w:spacing w:after="0" w:line="240" w:lineRule="auto"/>
        <w:jc w:val="center"/>
        <w:rPr>
          <w:rFonts w:asciiTheme="minorBidi" w:hAnsiTheme="minorBidi"/>
          <w:b/>
          <w:bCs/>
        </w:rPr>
      </w:pPr>
    </w:p>
    <w:p w14:paraId="43911870" w14:textId="77777777" w:rsidR="006E49BE" w:rsidRDefault="006E49BE" w:rsidP="006E49BE">
      <w:pPr>
        <w:tabs>
          <w:tab w:val="left" w:pos="9072"/>
        </w:tabs>
        <w:bidi w:val="0"/>
        <w:spacing w:after="0" w:line="240" w:lineRule="auto"/>
        <w:jc w:val="center"/>
        <w:rPr>
          <w:rFonts w:asciiTheme="minorBidi" w:hAnsiTheme="minorBidi"/>
          <w:b/>
          <w:bCs/>
        </w:rPr>
      </w:pPr>
    </w:p>
    <w:p w14:paraId="3063585B" w14:textId="77777777" w:rsidR="006E49BE" w:rsidRDefault="006E49BE" w:rsidP="006E49BE">
      <w:pPr>
        <w:tabs>
          <w:tab w:val="left" w:pos="9072"/>
        </w:tabs>
        <w:bidi w:val="0"/>
        <w:spacing w:after="0" w:line="240" w:lineRule="auto"/>
        <w:jc w:val="center"/>
        <w:rPr>
          <w:rFonts w:asciiTheme="minorBidi" w:hAnsiTheme="minorBidi"/>
          <w:b/>
          <w:bCs/>
        </w:rPr>
      </w:pPr>
    </w:p>
    <w:p w14:paraId="6E416276" w14:textId="77777777" w:rsidR="007F4CA4" w:rsidRDefault="007F4CA4" w:rsidP="005374D2">
      <w:pPr>
        <w:tabs>
          <w:tab w:val="left" w:pos="9072"/>
        </w:tabs>
        <w:bidi w:val="0"/>
        <w:spacing w:after="0" w:line="240" w:lineRule="auto"/>
        <w:rPr>
          <w:rFonts w:asciiTheme="minorBidi" w:hAnsiTheme="minorBidi"/>
          <w:b/>
          <w:bCs/>
        </w:rPr>
      </w:pPr>
    </w:p>
    <w:p w14:paraId="5D6B4D0A" w14:textId="77777777" w:rsidR="0071415F" w:rsidRPr="00EE12C9" w:rsidRDefault="0071415F" w:rsidP="0071415F">
      <w:pPr>
        <w:tabs>
          <w:tab w:val="left" w:pos="9072"/>
        </w:tabs>
        <w:bidi w:val="0"/>
        <w:spacing w:after="0" w:line="240" w:lineRule="auto"/>
        <w:jc w:val="center"/>
        <w:rPr>
          <w:rFonts w:asciiTheme="minorBidi" w:hAnsiTheme="minorBidi"/>
          <w:b/>
          <w:bCs/>
        </w:rPr>
      </w:pPr>
      <w:r w:rsidRPr="00EE12C9">
        <w:rPr>
          <w:rFonts w:asciiTheme="minorBidi" w:hAnsiTheme="minorBidi"/>
          <w:b/>
          <w:bCs/>
        </w:rPr>
        <w:lastRenderedPageBreak/>
        <w:t xml:space="preserve">Percentage of Children Aged (1-14 Years) who Experienced any Physical Punishment and/ or Psychological Aggression by Caregivers by Sex, Year </w:t>
      </w:r>
      <w:r>
        <w:rPr>
          <w:rFonts w:asciiTheme="minorBidi" w:hAnsiTheme="minorBidi"/>
          <w:b/>
          <w:bCs/>
        </w:rPr>
        <w:t>2019</w:t>
      </w:r>
      <w:r w:rsidRPr="00EE12C9">
        <w:rPr>
          <w:rFonts w:asciiTheme="minorBidi" w:hAnsiTheme="minorBidi"/>
          <w:b/>
          <w:bCs/>
        </w:rPr>
        <w:t xml:space="preserve"> (%).</w:t>
      </w:r>
    </w:p>
    <w:tbl>
      <w:tblPr>
        <w:tblStyle w:val="TableGrid"/>
        <w:tblW w:w="0" w:type="auto"/>
        <w:tblLook w:val="04A0" w:firstRow="1" w:lastRow="0" w:firstColumn="1" w:lastColumn="0" w:noHBand="0" w:noVBand="1"/>
      </w:tblPr>
      <w:tblGrid>
        <w:gridCol w:w="9060"/>
      </w:tblGrid>
      <w:tr w:rsidR="0071415F" w:rsidRPr="00A44E81" w14:paraId="17052237" w14:textId="77777777" w:rsidTr="0071415F">
        <w:trPr>
          <w:trHeight w:val="3729"/>
        </w:trPr>
        <w:tc>
          <w:tcPr>
            <w:tcW w:w="9291" w:type="dxa"/>
          </w:tcPr>
          <w:p w14:paraId="7877625A" w14:textId="77777777" w:rsidR="0071415F" w:rsidRPr="00A44E81" w:rsidRDefault="0071415F" w:rsidP="0071415F">
            <w:pPr>
              <w:tabs>
                <w:tab w:val="left" w:pos="2021"/>
              </w:tabs>
              <w:bidi w:val="0"/>
              <w:spacing w:after="0" w:line="240" w:lineRule="auto"/>
              <w:jc w:val="both"/>
              <w:rPr>
                <w:rFonts w:ascii="Times New Roman" w:hAnsi="Times New Roman" w:cs="Times New Roman"/>
                <w:b/>
                <w:bCs/>
                <w:color w:val="000000"/>
                <w:sz w:val="24"/>
                <w:szCs w:val="24"/>
                <w:lang w:val="en-US"/>
              </w:rPr>
            </w:pPr>
            <w:r w:rsidRPr="00A44E81">
              <w:rPr>
                <w:rFonts w:ascii="Times New Roman" w:hAnsi="Times New Roman" w:cs="Times New Roman"/>
                <w:b/>
                <w:bCs/>
                <w:noProof/>
                <w:color w:val="000000"/>
                <w:sz w:val="24"/>
                <w:szCs w:val="24"/>
              </w:rPr>
              <w:drawing>
                <wp:inline distT="0" distB="0" distL="0" distR="0" wp14:anchorId="1622CC75" wp14:editId="500A5E33">
                  <wp:extent cx="5619750" cy="2339975"/>
                  <wp:effectExtent l="0" t="0" r="0" b="3175"/>
                  <wp:docPr id="239"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tc>
      </w:tr>
    </w:tbl>
    <w:p w14:paraId="3AFE53D9" w14:textId="77777777" w:rsidR="0071415F" w:rsidRPr="0040480C" w:rsidRDefault="0071415F" w:rsidP="004D5D75">
      <w:pPr>
        <w:bidi w:val="0"/>
        <w:spacing w:after="0" w:line="240" w:lineRule="auto"/>
        <w:ind w:left="720" w:hanging="720"/>
        <w:jc w:val="both"/>
        <w:rPr>
          <w:rFonts w:asciiTheme="minorBidi" w:hAnsiTheme="minorBidi" w:cstheme="minorBidi"/>
          <w:color w:val="000000" w:themeColor="text1"/>
          <w:sz w:val="18"/>
          <w:szCs w:val="18"/>
        </w:rPr>
      </w:pPr>
      <w:r w:rsidRPr="0040480C">
        <w:rPr>
          <w:rFonts w:asciiTheme="minorBidi" w:hAnsiTheme="minorBidi" w:cstheme="minorBidi"/>
          <w:b/>
          <w:bCs/>
          <w:color w:val="000000" w:themeColor="text1"/>
          <w:sz w:val="18"/>
          <w:szCs w:val="18"/>
        </w:rPr>
        <w:t>Source: Palestinian Central Bureau of Statistics,</w:t>
      </w:r>
      <w:r w:rsidRPr="0040480C">
        <w:rPr>
          <w:rFonts w:asciiTheme="minorBidi" w:hAnsiTheme="minorBidi" w:cstheme="minorBidi"/>
          <w:color w:val="000000" w:themeColor="text1"/>
          <w:sz w:val="18"/>
          <w:szCs w:val="18"/>
        </w:rPr>
        <w:t xml:space="preserve"> Palestinian Multiple Indicator Cluster Survey </w:t>
      </w:r>
      <w:r w:rsidR="004D5D75" w:rsidRPr="0040480C">
        <w:rPr>
          <w:rFonts w:asciiTheme="minorBidi" w:hAnsiTheme="minorBidi" w:cstheme="minorBidi"/>
          <w:color w:val="000000" w:themeColor="text1"/>
          <w:sz w:val="18"/>
          <w:szCs w:val="18"/>
        </w:rPr>
        <w:t>Database</w:t>
      </w:r>
      <w:r w:rsidR="004D5D75">
        <w:rPr>
          <w:rFonts w:asciiTheme="minorBidi" w:hAnsiTheme="minorBidi" w:cstheme="minorBidi"/>
          <w:color w:val="000000" w:themeColor="text1"/>
          <w:sz w:val="18"/>
          <w:szCs w:val="18"/>
        </w:rPr>
        <w:t>,</w:t>
      </w:r>
      <w:r w:rsidRPr="0040480C">
        <w:rPr>
          <w:rFonts w:asciiTheme="minorBidi" w:hAnsiTheme="minorBidi" w:cstheme="minorBidi"/>
          <w:color w:val="000000" w:themeColor="text1"/>
          <w:sz w:val="18"/>
          <w:szCs w:val="18"/>
        </w:rPr>
        <w:t>2019</w:t>
      </w:r>
      <w:r w:rsidR="0040480C" w:rsidRPr="0040480C">
        <w:rPr>
          <w:rFonts w:asciiTheme="minorBidi" w:hAnsiTheme="minorBidi" w:cstheme="minorBidi"/>
          <w:color w:val="000000" w:themeColor="text1"/>
          <w:sz w:val="18"/>
          <w:szCs w:val="18"/>
        </w:rPr>
        <w:t>-2020</w:t>
      </w:r>
      <w:r w:rsidRPr="0040480C">
        <w:rPr>
          <w:rFonts w:asciiTheme="minorBidi" w:hAnsiTheme="minorBidi" w:cstheme="minorBidi"/>
          <w:color w:val="000000" w:themeColor="text1"/>
          <w:sz w:val="18"/>
          <w:szCs w:val="18"/>
        </w:rPr>
        <w:t>. Ramallah - Palestine</w:t>
      </w:r>
      <w:r w:rsidRPr="0040480C">
        <w:rPr>
          <w:rFonts w:asciiTheme="minorBidi" w:hAnsiTheme="minorBidi" w:cstheme="minorBidi"/>
          <w:color w:val="000000" w:themeColor="text1"/>
          <w:sz w:val="18"/>
          <w:szCs w:val="18"/>
          <w:rtl/>
        </w:rPr>
        <w:t>.</w:t>
      </w:r>
    </w:p>
    <w:p w14:paraId="49E38AB1" w14:textId="77777777" w:rsidR="0071415F" w:rsidRPr="0040480C" w:rsidRDefault="0071415F" w:rsidP="0040480C">
      <w:pPr>
        <w:autoSpaceDE w:val="0"/>
        <w:autoSpaceDN w:val="0"/>
        <w:bidi w:val="0"/>
        <w:adjustRightInd w:val="0"/>
        <w:spacing w:after="0" w:line="240" w:lineRule="auto"/>
        <w:ind w:left="720" w:hanging="720"/>
        <w:jc w:val="both"/>
        <w:rPr>
          <w:rFonts w:asciiTheme="minorBidi" w:hAnsiTheme="minorBidi" w:cstheme="minorBidi"/>
          <w:sz w:val="16"/>
          <w:szCs w:val="16"/>
          <w:rtl/>
        </w:rPr>
      </w:pPr>
    </w:p>
    <w:p w14:paraId="394C807E" w14:textId="77777777" w:rsidR="0071415F" w:rsidRPr="00B15ACB"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Male children (1-14) </w:t>
      </w:r>
      <w:r w:rsidR="0034455A">
        <w:rPr>
          <w:rFonts w:ascii="Times New Roman" w:hAnsi="Times New Roman" w:cs="Times New Roman"/>
          <w:sz w:val="24"/>
          <w:szCs w:val="24"/>
        </w:rPr>
        <w:t xml:space="preserve">experienced </w:t>
      </w:r>
      <w:r w:rsidRPr="00B15ACB">
        <w:rPr>
          <w:rFonts w:ascii="Times New Roman" w:hAnsi="Times New Roman" w:cs="Times New Roman"/>
          <w:sz w:val="24"/>
          <w:szCs w:val="24"/>
        </w:rPr>
        <w:t xml:space="preserve">slightly </w:t>
      </w:r>
      <w:r w:rsidR="00455595">
        <w:rPr>
          <w:rFonts w:ascii="Times New Roman" w:hAnsi="Times New Roman" w:cs="Times New Roman"/>
          <w:sz w:val="24"/>
          <w:szCs w:val="24"/>
        </w:rPr>
        <w:t>more</w:t>
      </w:r>
      <w:r w:rsidRPr="00B15ACB">
        <w:rPr>
          <w:rFonts w:ascii="Times New Roman" w:hAnsi="Times New Roman" w:cs="Times New Roman"/>
          <w:sz w:val="24"/>
          <w:szCs w:val="24"/>
        </w:rPr>
        <w:t xml:space="preserve"> physical punishment and/or psychological aggression by caregivers at </w:t>
      </w:r>
      <w:r>
        <w:rPr>
          <w:rFonts w:ascii="Times New Roman" w:hAnsi="Times New Roman" w:cs="Times New Roman"/>
          <w:sz w:val="24"/>
          <w:szCs w:val="24"/>
        </w:rPr>
        <w:t>92.3</w:t>
      </w:r>
      <w:r w:rsidRPr="00B15ACB">
        <w:rPr>
          <w:rFonts w:ascii="Times New Roman" w:hAnsi="Times New Roman" w:cs="Times New Roman"/>
          <w:sz w:val="24"/>
          <w:szCs w:val="24"/>
        </w:rPr>
        <w:t>% of total males w</w:t>
      </w:r>
      <w:r w:rsidR="00455595">
        <w:rPr>
          <w:rFonts w:ascii="Times New Roman" w:hAnsi="Times New Roman" w:cs="Times New Roman"/>
          <w:sz w:val="24"/>
          <w:szCs w:val="24"/>
        </w:rPr>
        <w:t xml:space="preserve">ith </w:t>
      </w:r>
      <w:r>
        <w:rPr>
          <w:rFonts w:ascii="Times New Roman" w:hAnsi="Times New Roman" w:cs="Times New Roman"/>
          <w:sz w:val="24"/>
          <w:szCs w:val="24"/>
        </w:rPr>
        <w:t>87.9</w:t>
      </w:r>
      <w:r w:rsidRPr="00B15ACB">
        <w:rPr>
          <w:rFonts w:ascii="Times New Roman" w:hAnsi="Times New Roman" w:cs="Times New Roman"/>
          <w:sz w:val="24"/>
          <w:szCs w:val="24"/>
        </w:rPr>
        <w:t xml:space="preserve">% </w:t>
      </w:r>
      <w:r w:rsidR="00455595">
        <w:rPr>
          <w:rFonts w:ascii="Times New Roman" w:hAnsi="Times New Roman" w:cs="Times New Roman"/>
          <w:sz w:val="24"/>
          <w:szCs w:val="24"/>
        </w:rPr>
        <w:t xml:space="preserve">of </w:t>
      </w:r>
      <w:r w:rsidRPr="00B15ACB">
        <w:rPr>
          <w:rFonts w:ascii="Times New Roman" w:hAnsi="Times New Roman" w:cs="Times New Roman"/>
          <w:sz w:val="24"/>
          <w:szCs w:val="24"/>
        </w:rPr>
        <w:t xml:space="preserve"> females in </w:t>
      </w:r>
      <w:r>
        <w:rPr>
          <w:rFonts w:ascii="Times New Roman" w:hAnsi="Times New Roman" w:cs="Times New Roman"/>
          <w:sz w:val="24"/>
          <w:szCs w:val="24"/>
        </w:rPr>
        <w:t>2019</w:t>
      </w:r>
      <w:r w:rsidRPr="00B15ACB">
        <w:rPr>
          <w:rFonts w:ascii="Times New Roman" w:hAnsi="Times New Roman" w:cs="Times New Roman"/>
          <w:sz w:val="24"/>
          <w:szCs w:val="24"/>
        </w:rPr>
        <w:t>.</w:t>
      </w:r>
    </w:p>
    <w:p w14:paraId="46EA3398" w14:textId="77777777" w:rsidR="0071415F" w:rsidRPr="00F73D07"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21CA358C"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Pr>
          <w:rFonts w:ascii="Times New Roman" w:hAnsi="Times New Roman" w:cs="Times New Roman" w:hint="cs"/>
          <w:b/>
          <w:bCs/>
          <w:i/>
          <w:iCs/>
          <w:sz w:val="24"/>
          <w:szCs w:val="24"/>
          <w:rtl/>
        </w:rPr>
        <w:t>16.2.3</w:t>
      </w:r>
      <w:r w:rsidRPr="00F73D07">
        <w:rPr>
          <w:rFonts w:ascii="Times New Roman" w:hAnsi="Times New Roman" w:cs="Times New Roman"/>
          <w:b/>
          <w:bCs/>
          <w:i/>
          <w:iCs/>
          <w:sz w:val="24"/>
          <w:szCs w:val="24"/>
        </w:rPr>
        <w:t>Proportion of young women and men age</w:t>
      </w:r>
      <w:r w:rsidR="00455595">
        <w:rPr>
          <w:rFonts w:ascii="Times New Roman" w:hAnsi="Times New Roman" w:cs="Times New Roman"/>
          <w:b/>
          <w:bCs/>
          <w:i/>
          <w:iCs/>
          <w:sz w:val="24"/>
          <w:szCs w:val="24"/>
        </w:rPr>
        <w:t>s</w:t>
      </w:r>
      <w:r w:rsidRPr="00F73D07">
        <w:rPr>
          <w:rFonts w:ascii="Times New Roman" w:hAnsi="Times New Roman" w:cs="Times New Roman"/>
          <w:b/>
          <w:bCs/>
          <w:i/>
          <w:iCs/>
          <w:sz w:val="24"/>
          <w:szCs w:val="24"/>
        </w:rPr>
        <w:t xml:space="preserve"> 18‑29 years </w:t>
      </w:r>
      <w:r w:rsidR="00455595">
        <w:rPr>
          <w:rFonts w:ascii="Times New Roman" w:hAnsi="Times New Roman" w:cs="Times New Roman"/>
          <w:b/>
          <w:bCs/>
          <w:i/>
          <w:iCs/>
          <w:sz w:val="24"/>
          <w:szCs w:val="24"/>
        </w:rPr>
        <w:t>that</w:t>
      </w:r>
      <w:r w:rsidRPr="00F73D07">
        <w:rPr>
          <w:rFonts w:ascii="Times New Roman" w:hAnsi="Times New Roman" w:cs="Times New Roman"/>
          <w:b/>
          <w:bCs/>
          <w:i/>
          <w:iCs/>
          <w:sz w:val="24"/>
          <w:szCs w:val="24"/>
        </w:rPr>
        <w:t xml:space="preserve"> experienced sexual violence by age 18</w:t>
      </w:r>
    </w:p>
    <w:p w14:paraId="657501D7" w14:textId="77777777" w:rsidR="00344EA7" w:rsidRPr="00F73D07"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54D487F8" w14:textId="77777777" w:rsidR="0071415F" w:rsidRDefault="00455595" w:rsidP="00CF007C">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About </w:t>
      </w:r>
      <w:r w:rsidR="0071415F">
        <w:rPr>
          <w:rFonts w:ascii="Times New Roman" w:hAnsi="Times New Roman" w:cs="Times New Roman" w:hint="cs"/>
          <w:sz w:val="24"/>
          <w:szCs w:val="24"/>
          <w:rtl/>
        </w:rPr>
        <w:t>2.8</w:t>
      </w:r>
      <w:r w:rsidR="0071415F">
        <w:rPr>
          <w:rFonts w:ascii="Times New Roman" w:hAnsi="Times New Roman" w:cs="Times New Roman"/>
          <w:sz w:val="24"/>
          <w:szCs w:val="24"/>
        </w:rPr>
        <w:t xml:space="preserve">% </w:t>
      </w:r>
      <w:r w:rsidR="0071415F" w:rsidRPr="00BB332F">
        <w:rPr>
          <w:rFonts w:ascii="Times New Roman" w:hAnsi="Times New Roman" w:cs="Times New Roman"/>
          <w:sz w:val="24"/>
          <w:szCs w:val="24"/>
        </w:rPr>
        <w:t>of young women and men aged 18‑29 years experienced sexual violence by age 18</w:t>
      </w:r>
      <w:r w:rsidR="0071415F">
        <w:rPr>
          <w:rFonts w:ascii="Times New Roman" w:hAnsi="Times New Roman" w:cs="Times New Roman"/>
          <w:sz w:val="24"/>
          <w:szCs w:val="24"/>
        </w:rPr>
        <w:t xml:space="preserve"> in 2019</w:t>
      </w:r>
      <w:r>
        <w:rPr>
          <w:rFonts w:ascii="Times New Roman" w:hAnsi="Times New Roman" w:cs="Times New Roman"/>
          <w:sz w:val="24"/>
          <w:szCs w:val="24"/>
        </w:rPr>
        <w:t>; the</w:t>
      </w:r>
      <w:r w:rsidR="0071415F">
        <w:rPr>
          <w:rFonts w:ascii="Times New Roman" w:hAnsi="Times New Roman" w:cs="Times New Roman"/>
          <w:sz w:val="24"/>
          <w:szCs w:val="24"/>
        </w:rPr>
        <w:t xml:space="preserve"> West Bank</w:t>
      </w:r>
      <w:r w:rsidR="0071415F" w:rsidRPr="00B15ACB">
        <w:rPr>
          <w:rFonts w:ascii="Times New Roman" w:hAnsi="Times New Roman" w:cs="Times New Roman"/>
          <w:sz w:val="24"/>
          <w:szCs w:val="24"/>
        </w:rPr>
        <w:t xml:space="preserve"> has </w:t>
      </w:r>
      <w:r>
        <w:rPr>
          <w:rFonts w:ascii="Times New Roman" w:hAnsi="Times New Roman" w:cs="Times New Roman"/>
          <w:sz w:val="24"/>
          <w:szCs w:val="24"/>
        </w:rPr>
        <w:t xml:space="preserve">a </w:t>
      </w:r>
      <w:r w:rsidR="0071415F" w:rsidRPr="00B15ACB">
        <w:rPr>
          <w:rFonts w:ascii="Times New Roman" w:hAnsi="Times New Roman" w:cs="Times New Roman"/>
          <w:sz w:val="24"/>
          <w:szCs w:val="24"/>
        </w:rPr>
        <w:t xml:space="preserve">higher percentage at about </w:t>
      </w:r>
      <w:r w:rsidR="0071415F">
        <w:rPr>
          <w:rFonts w:ascii="Times New Roman" w:hAnsi="Times New Roman" w:cs="Times New Roman"/>
          <w:sz w:val="24"/>
          <w:szCs w:val="24"/>
        </w:rPr>
        <w:t>3.3</w:t>
      </w:r>
      <w:r w:rsidR="0071415F" w:rsidRPr="00B15ACB">
        <w:rPr>
          <w:rFonts w:ascii="Times New Roman" w:hAnsi="Times New Roman" w:cs="Times New Roman"/>
          <w:sz w:val="24"/>
          <w:szCs w:val="24"/>
        </w:rPr>
        <w:t xml:space="preserve">% compared with </w:t>
      </w:r>
      <w:r w:rsidR="0071415F">
        <w:rPr>
          <w:rFonts w:ascii="Times New Roman" w:hAnsi="Times New Roman" w:cs="Times New Roman"/>
          <w:sz w:val="24"/>
          <w:szCs w:val="24"/>
        </w:rPr>
        <w:t>2.0</w:t>
      </w:r>
      <w:r w:rsidR="0071415F" w:rsidRPr="00B15ACB">
        <w:rPr>
          <w:rFonts w:ascii="Times New Roman" w:hAnsi="Times New Roman" w:cs="Times New Roman"/>
          <w:sz w:val="24"/>
          <w:szCs w:val="24"/>
        </w:rPr>
        <w:t xml:space="preserve"> % in </w:t>
      </w:r>
      <w:r>
        <w:rPr>
          <w:rFonts w:ascii="Times New Roman" w:hAnsi="Times New Roman" w:cs="Times New Roman"/>
          <w:sz w:val="24"/>
          <w:szCs w:val="24"/>
        </w:rPr>
        <w:t xml:space="preserve">the </w:t>
      </w:r>
      <w:r w:rsidR="0071415F">
        <w:rPr>
          <w:rFonts w:ascii="Times New Roman" w:hAnsi="Times New Roman" w:cs="Times New Roman"/>
          <w:sz w:val="24"/>
          <w:szCs w:val="24"/>
        </w:rPr>
        <w:t>Gaza Strip</w:t>
      </w:r>
      <w:r w:rsidR="0071415F" w:rsidRPr="00B15ACB">
        <w:rPr>
          <w:rFonts w:ascii="Times New Roman" w:hAnsi="Times New Roman" w:cs="Times New Roman"/>
          <w:sz w:val="24"/>
          <w:szCs w:val="24"/>
        </w:rPr>
        <w:t>.</w:t>
      </w:r>
    </w:p>
    <w:p w14:paraId="78712063" w14:textId="77777777" w:rsidR="00455D32" w:rsidRDefault="00455D32" w:rsidP="00455D32">
      <w:pPr>
        <w:autoSpaceDE w:val="0"/>
        <w:autoSpaceDN w:val="0"/>
        <w:bidi w:val="0"/>
        <w:adjustRightInd w:val="0"/>
        <w:spacing w:after="0" w:line="240" w:lineRule="auto"/>
        <w:jc w:val="both"/>
        <w:rPr>
          <w:rFonts w:ascii="Times New Roman" w:hAnsi="Times New Roman" w:cs="Times New Roman"/>
          <w:sz w:val="24"/>
          <w:szCs w:val="24"/>
        </w:rPr>
      </w:pPr>
    </w:p>
    <w:p w14:paraId="26F47A5D" w14:textId="77777777" w:rsidR="0071415F" w:rsidRPr="00C06ADB" w:rsidRDefault="0071415F" w:rsidP="0071415F">
      <w:pPr>
        <w:autoSpaceDE w:val="0"/>
        <w:autoSpaceDN w:val="0"/>
        <w:bidi w:val="0"/>
        <w:adjustRightInd w:val="0"/>
        <w:spacing w:after="0" w:line="240" w:lineRule="auto"/>
        <w:jc w:val="center"/>
        <w:rPr>
          <w:rFonts w:asciiTheme="minorBidi" w:hAnsiTheme="minorBidi" w:cstheme="minorBidi"/>
          <w:sz w:val="24"/>
          <w:szCs w:val="24"/>
        </w:rPr>
      </w:pPr>
      <w:r w:rsidRPr="00C06ADB">
        <w:rPr>
          <w:rFonts w:asciiTheme="minorBidi" w:hAnsiTheme="minorBidi" w:cstheme="minorBidi"/>
          <w:b/>
          <w:bCs/>
        </w:rPr>
        <w:t xml:space="preserve">Percentage of </w:t>
      </w:r>
      <w:r w:rsidR="00455595">
        <w:rPr>
          <w:rFonts w:asciiTheme="minorBidi" w:hAnsiTheme="minorBidi" w:cstheme="minorBidi"/>
          <w:b/>
          <w:bCs/>
        </w:rPr>
        <w:t>Y</w:t>
      </w:r>
      <w:r w:rsidRPr="00C06ADB">
        <w:rPr>
          <w:rFonts w:asciiTheme="minorBidi" w:hAnsiTheme="minorBidi" w:cstheme="minorBidi"/>
          <w:b/>
          <w:bCs/>
        </w:rPr>
        <w:t xml:space="preserve">oung </w:t>
      </w:r>
      <w:r w:rsidR="00455595">
        <w:rPr>
          <w:rFonts w:asciiTheme="minorBidi" w:hAnsiTheme="minorBidi" w:cstheme="minorBidi"/>
          <w:b/>
          <w:bCs/>
        </w:rPr>
        <w:t>W</w:t>
      </w:r>
      <w:r w:rsidRPr="00C06ADB">
        <w:rPr>
          <w:rFonts w:asciiTheme="minorBidi" w:hAnsiTheme="minorBidi" w:cstheme="minorBidi"/>
          <w:b/>
          <w:bCs/>
        </w:rPr>
        <w:t xml:space="preserve">omen and </w:t>
      </w:r>
      <w:r w:rsidR="00455595">
        <w:rPr>
          <w:rFonts w:asciiTheme="minorBidi" w:hAnsiTheme="minorBidi" w:cstheme="minorBidi"/>
          <w:b/>
          <w:bCs/>
        </w:rPr>
        <w:t>M</w:t>
      </w:r>
      <w:r w:rsidRPr="00C06ADB">
        <w:rPr>
          <w:rFonts w:asciiTheme="minorBidi" w:hAnsiTheme="minorBidi" w:cstheme="minorBidi"/>
          <w:b/>
          <w:bCs/>
        </w:rPr>
        <w:t>en aged 18</w:t>
      </w:r>
      <w:r w:rsidRPr="00C06ADB">
        <w:rPr>
          <w:rFonts w:ascii="Cambria Math" w:hAnsi="Cambria Math" w:cs="Cambria Math"/>
          <w:b/>
          <w:bCs/>
        </w:rPr>
        <w:t>‑</w:t>
      </w:r>
      <w:r w:rsidRPr="00C06ADB">
        <w:rPr>
          <w:rFonts w:asciiTheme="minorBidi" w:hAnsiTheme="minorBidi" w:cstheme="minorBidi"/>
          <w:b/>
          <w:bCs/>
        </w:rPr>
        <w:t xml:space="preserve">29 years who </w:t>
      </w:r>
      <w:r w:rsidR="00455595">
        <w:rPr>
          <w:rFonts w:asciiTheme="minorBidi" w:hAnsiTheme="minorBidi" w:cstheme="minorBidi"/>
          <w:b/>
          <w:bCs/>
        </w:rPr>
        <w:t>E</w:t>
      </w:r>
      <w:r w:rsidRPr="00C06ADB">
        <w:rPr>
          <w:rFonts w:asciiTheme="minorBidi" w:hAnsiTheme="minorBidi" w:cstheme="minorBidi"/>
          <w:b/>
          <w:bCs/>
        </w:rPr>
        <w:t xml:space="preserve">xperienced </w:t>
      </w:r>
      <w:r w:rsidR="00455595">
        <w:rPr>
          <w:rFonts w:asciiTheme="minorBidi" w:hAnsiTheme="minorBidi" w:cstheme="minorBidi"/>
          <w:b/>
          <w:bCs/>
        </w:rPr>
        <w:t>S</w:t>
      </w:r>
      <w:r w:rsidRPr="00C06ADB">
        <w:rPr>
          <w:rFonts w:asciiTheme="minorBidi" w:hAnsiTheme="minorBidi" w:cstheme="minorBidi"/>
          <w:b/>
          <w:bCs/>
        </w:rPr>
        <w:t xml:space="preserve">exual </w:t>
      </w:r>
      <w:r w:rsidR="00455595">
        <w:rPr>
          <w:rFonts w:asciiTheme="minorBidi" w:hAnsiTheme="minorBidi" w:cstheme="minorBidi"/>
          <w:b/>
          <w:bCs/>
        </w:rPr>
        <w:t>V</w:t>
      </w:r>
      <w:r w:rsidRPr="00C06ADB">
        <w:rPr>
          <w:rFonts w:asciiTheme="minorBidi" w:hAnsiTheme="minorBidi" w:cstheme="minorBidi"/>
          <w:b/>
          <w:bCs/>
        </w:rPr>
        <w:t xml:space="preserve">iolence by </w:t>
      </w:r>
      <w:r w:rsidR="00455595">
        <w:rPr>
          <w:rFonts w:asciiTheme="minorBidi" w:hAnsiTheme="minorBidi" w:cstheme="minorBidi"/>
          <w:b/>
          <w:bCs/>
        </w:rPr>
        <w:t>A</w:t>
      </w:r>
      <w:r w:rsidRPr="00C06ADB">
        <w:rPr>
          <w:rFonts w:asciiTheme="minorBidi" w:hAnsiTheme="minorBidi" w:cstheme="minorBidi"/>
          <w:b/>
          <w:bCs/>
        </w:rPr>
        <w:t>ge 18 by Region and Sex, 2019 (%)</w:t>
      </w:r>
    </w:p>
    <w:tbl>
      <w:tblPr>
        <w:tblStyle w:val="TableGrid"/>
        <w:tblW w:w="0" w:type="auto"/>
        <w:tblLook w:val="04A0" w:firstRow="1" w:lastRow="0" w:firstColumn="1" w:lastColumn="0" w:noHBand="0" w:noVBand="1"/>
      </w:tblPr>
      <w:tblGrid>
        <w:gridCol w:w="9060"/>
      </w:tblGrid>
      <w:tr w:rsidR="0071415F" w:rsidRPr="00A44E81" w14:paraId="07821D63" w14:textId="77777777" w:rsidTr="0071415F">
        <w:trPr>
          <w:trHeight w:val="3738"/>
        </w:trPr>
        <w:tc>
          <w:tcPr>
            <w:tcW w:w="9291" w:type="dxa"/>
          </w:tcPr>
          <w:p w14:paraId="0C071A21" w14:textId="77777777" w:rsidR="0071415F" w:rsidRPr="00A44E81" w:rsidRDefault="0071415F" w:rsidP="0071415F">
            <w:pPr>
              <w:tabs>
                <w:tab w:val="left" w:pos="2021"/>
              </w:tabs>
              <w:bidi w:val="0"/>
              <w:spacing w:after="0" w:line="240" w:lineRule="auto"/>
              <w:jc w:val="both"/>
              <w:rPr>
                <w:rFonts w:ascii="Times New Roman" w:hAnsi="Times New Roman" w:cs="Times New Roman"/>
                <w:b/>
                <w:bCs/>
                <w:color w:val="000000"/>
                <w:sz w:val="24"/>
                <w:szCs w:val="24"/>
                <w:lang w:val="en-US"/>
              </w:rPr>
            </w:pPr>
            <w:r w:rsidRPr="00A44E81">
              <w:rPr>
                <w:rFonts w:ascii="Times New Roman" w:hAnsi="Times New Roman" w:cs="Times New Roman"/>
                <w:b/>
                <w:bCs/>
                <w:noProof/>
                <w:color w:val="000000"/>
                <w:sz w:val="24"/>
                <w:szCs w:val="24"/>
              </w:rPr>
              <w:drawing>
                <wp:inline distT="0" distB="0" distL="0" distR="0" wp14:anchorId="38CC9F1F" wp14:editId="1D0144E0">
                  <wp:extent cx="5563257" cy="2339975"/>
                  <wp:effectExtent l="0" t="0" r="0" b="3175"/>
                  <wp:docPr id="24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tc>
      </w:tr>
    </w:tbl>
    <w:p w14:paraId="25AE17B0" w14:textId="77777777" w:rsidR="0071415F" w:rsidRPr="0040480C" w:rsidRDefault="0071415F" w:rsidP="009F756D">
      <w:pPr>
        <w:tabs>
          <w:tab w:val="left" w:pos="9072"/>
        </w:tabs>
        <w:bidi w:val="0"/>
        <w:spacing w:after="0" w:line="240" w:lineRule="auto"/>
        <w:ind w:left="720" w:hanging="720"/>
        <w:rPr>
          <w:rFonts w:asciiTheme="minorBidi" w:hAnsiTheme="minorBidi" w:cstheme="minorBidi"/>
          <w:b/>
          <w:bCs/>
          <w:rtl/>
        </w:rPr>
      </w:pPr>
      <w:r w:rsidRPr="0040480C">
        <w:rPr>
          <w:rFonts w:asciiTheme="minorBidi" w:hAnsiTheme="minorBidi" w:cstheme="minorBidi"/>
          <w:b/>
          <w:bCs/>
          <w:color w:val="000000" w:themeColor="text1"/>
          <w:sz w:val="18"/>
          <w:szCs w:val="18"/>
        </w:rPr>
        <w:t xml:space="preserve">Source: </w:t>
      </w:r>
      <w:r w:rsidRPr="0040480C">
        <w:rPr>
          <w:rFonts w:asciiTheme="minorBidi" w:hAnsiTheme="minorBidi" w:cstheme="minorBidi"/>
          <w:b/>
          <w:bCs/>
          <w:color w:val="000000"/>
          <w:sz w:val="18"/>
          <w:szCs w:val="18"/>
        </w:rPr>
        <w:t xml:space="preserve">Palestinian Central Bureau of </w:t>
      </w:r>
      <w:r w:rsidR="00C66B88" w:rsidRPr="0040480C">
        <w:rPr>
          <w:rFonts w:asciiTheme="minorBidi" w:hAnsiTheme="minorBidi" w:cstheme="minorBidi"/>
          <w:b/>
          <w:bCs/>
          <w:color w:val="000000"/>
          <w:sz w:val="18"/>
          <w:szCs w:val="18"/>
        </w:rPr>
        <w:t>Statistics</w:t>
      </w:r>
      <w:r w:rsidR="00C66B88" w:rsidRPr="0040480C">
        <w:rPr>
          <w:rFonts w:asciiTheme="minorBidi" w:hAnsiTheme="minorBidi" w:cstheme="minorBidi"/>
          <w:color w:val="000000"/>
          <w:sz w:val="18"/>
          <w:szCs w:val="18"/>
        </w:rPr>
        <w:t>, Violence</w:t>
      </w:r>
      <w:r w:rsidRPr="0040480C">
        <w:rPr>
          <w:rFonts w:asciiTheme="minorBidi" w:hAnsiTheme="minorBidi" w:cstheme="minorBidi"/>
          <w:color w:val="000000"/>
          <w:sz w:val="18"/>
          <w:szCs w:val="18"/>
        </w:rPr>
        <w:t xml:space="preserve"> Survey in the Palestinian </w:t>
      </w:r>
      <w:r w:rsidR="00C66B88" w:rsidRPr="0040480C">
        <w:rPr>
          <w:rFonts w:asciiTheme="minorBidi" w:hAnsiTheme="minorBidi" w:cstheme="minorBidi"/>
          <w:color w:val="000000"/>
          <w:sz w:val="18"/>
          <w:szCs w:val="18"/>
        </w:rPr>
        <w:t>Society Database</w:t>
      </w:r>
      <w:r w:rsidRPr="0040480C">
        <w:rPr>
          <w:rFonts w:asciiTheme="minorBidi" w:hAnsiTheme="minorBidi" w:cstheme="minorBidi"/>
          <w:color w:val="000000"/>
          <w:sz w:val="18"/>
          <w:szCs w:val="18"/>
        </w:rPr>
        <w:t>, 2019</w:t>
      </w:r>
      <w:r w:rsidR="00455D32">
        <w:rPr>
          <w:rFonts w:asciiTheme="minorBidi" w:hAnsiTheme="minorBidi" w:cstheme="minorBidi"/>
          <w:color w:val="000000"/>
          <w:sz w:val="18"/>
          <w:szCs w:val="18"/>
        </w:rPr>
        <w:t xml:space="preserve">. </w:t>
      </w:r>
      <w:r w:rsidRPr="0040480C">
        <w:rPr>
          <w:rFonts w:asciiTheme="minorBidi" w:hAnsiTheme="minorBidi" w:cstheme="minorBidi"/>
          <w:color w:val="000000"/>
          <w:sz w:val="18"/>
          <w:szCs w:val="18"/>
        </w:rPr>
        <w:t>Ramallah - Palestine.</w:t>
      </w:r>
    </w:p>
    <w:p w14:paraId="22CF81AC"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0DAE68F2" w14:textId="77777777" w:rsidR="0071415F" w:rsidRPr="00BD254B" w:rsidRDefault="0071415F" w:rsidP="0071415F">
      <w:pPr>
        <w:autoSpaceDE w:val="0"/>
        <w:autoSpaceDN w:val="0"/>
        <w:bidi w:val="0"/>
        <w:adjustRightInd w:val="0"/>
        <w:spacing w:after="0" w:line="240" w:lineRule="auto"/>
        <w:jc w:val="both"/>
        <w:rPr>
          <w:rFonts w:ascii="Times New Roman" w:hAnsi="Times New Roman" w:cs="Times New Roman"/>
          <w:sz w:val="24"/>
          <w:szCs w:val="24"/>
          <w:rtl/>
        </w:rPr>
      </w:pPr>
      <w:r w:rsidRPr="00BD254B">
        <w:rPr>
          <w:rFonts w:ascii="Times New Roman" w:hAnsi="Times New Roman" w:cs="Times New Roman"/>
          <w:sz w:val="24"/>
          <w:szCs w:val="24"/>
        </w:rPr>
        <w:t>Young men (18-29)</w:t>
      </w:r>
      <w:r w:rsidRPr="00BB332F">
        <w:rPr>
          <w:rFonts w:ascii="Times New Roman" w:hAnsi="Times New Roman" w:cs="Times New Roman"/>
          <w:sz w:val="24"/>
          <w:szCs w:val="24"/>
        </w:rPr>
        <w:t>yearsexperienced sexual violence by age 18</w:t>
      </w:r>
      <w:r w:rsidR="00451115">
        <w:rPr>
          <w:rFonts w:ascii="Times New Roman" w:hAnsi="Times New Roman" w:cs="Times New Roman"/>
          <w:sz w:val="24"/>
          <w:szCs w:val="24"/>
        </w:rPr>
        <w:t xml:space="preserve">more </w:t>
      </w:r>
      <w:r w:rsidRPr="00BD254B">
        <w:rPr>
          <w:rFonts w:ascii="Times New Roman" w:hAnsi="Times New Roman" w:cs="Times New Roman"/>
          <w:sz w:val="24"/>
          <w:szCs w:val="24"/>
        </w:rPr>
        <w:t xml:space="preserve">than young </w:t>
      </w:r>
      <w:r w:rsidR="00C66B88" w:rsidRPr="00BB332F">
        <w:rPr>
          <w:rFonts w:ascii="Times New Roman" w:hAnsi="Times New Roman" w:cs="Times New Roman"/>
          <w:sz w:val="24"/>
          <w:szCs w:val="24"/>
        </w:rPr>
        <w:t>women</w:t>
      </w:r>
      <w:r w:rsidRPr="00BD254B">
        <w:rPr>
          <w:rFonts w:ascii="Times New Roman" w:hAnsi="Times New Roman" w:cs="Times New Roman"/>
          <w:sz w:val="24"/>
          <w:szCs w:val="24"/>
        </w:rPr>
        <w:t>(18-29)</w:t>
      </w:r>
      <w:r w:rsidRPr="00BB332F">
        <w:rPr>
          <w:rFonts w:ascii="Times New Roman" w:hAnsi="Times New Roman" w:cs="Times New Roman"/>
          <w:sz w:val="24"/>
          <w:szCs w:val="24"/>
        </w:rPr>
        <w:t>years</w:t>
      </w:r>
      <w:r>
        <w:rPr>
          <w:rFonts w:ascii="Times New Roman" w:hAnsi="Times New Roman" w:cs="Times New Roman"/>
          <w:sz w:val="24"/>
          <w:szCs w:val="24"/>
        </w:rPr>
        <w:t>; 3.4</w:t>
      </w:r>
      <w:r w:rsidRPr="00BD254B">
        <w:rPr>
          <w:rFonts w:ascii="Times New Roman" w:hAnsi="Times New Roman" w:cs="Times New Roman"/>
          <w:sz w:val="24"/>
          <w:szCs w:val="24"/>
        </w:rPr>
        <w:t>% for male</w:t>
      </w:r>
      <w:r w:rsidR="00451115">
        <w:rPr>
          <w:rFonts w:ascii="Times New Roman" w:hAnsi="Times New Roman" w:cs="Times New Roman"/>
          <w:sz w:val="24"/>
          <w:szCs w:val="24"/>
        </w:rPr>
        <w:t>s</w:t>
      </w:r>
      <w:r w:rsidRPr="00BD254B">
        <w:rPr>
          <w:rFonts w:ascii="Times New Roman" w:hAnsi="Times New Roman" w:cs="Times New Roman"/>
          <w:sz w:val="24"/>
          <w:szCs w:val="24"/>
        </w:rPr>
        <w:t xml:space="preserve"> compared to </w:t>
      </w:r>
      <w:r>
        <w:rPr>
          <w:rFonts w:ascii="Times New Roman" w:hAnsi="Times New Roman" w:cs="Times New Roman"/>
          <w:sz w:val="24"/>
          <w:szCs w:val="24"/>
        </w:rPr>
        <w:t>1.9</w:t>
      </w:r>
      <w:r w:rsidRPr="00BD254B">
        <w:rPr>
          <w:rFonts w:ascii="Times New Roman" w:hAnsi="Times New Roman" w:cs="Times New Roman"/>
          <w:sz w:val="24"/>
          <w:szCs w:val="24"/>
        </w:rPr>
        <w:t>% for female in 2019</w:t>
      </w:r>
      <w:r w:rsidRPr="00BD254B">
        <w:rPr>
          <w:rFonts w:ascii="Times New Roman" w:hAnsi="Times New Roman" w:cs="Times New Roman"/>
          <w:sz w:val="24"/>
          <w:szCs w:val="24"/>
          <w:rtl/>
        </w:rPr>
        <w:t>.</w:t>
      </w:r>
    </w:p>
    <w:p w14:paraId="76FCCDFF" w14:textId="77777777" w:rsidR="007F4CA4" w:rsidRDefault="007F4CA4" w:rsidP="0071415F">
      <w:pPr>
        <w:spacing w:after="0" w:line="240" w:lineRule="auto"/>
        <w:jc w:val="both"/>
        <w:rPr>
          <w:rFonts w:ascii="Simplified Arabic" w:hAnsi="Simplified Arabic" w:cs="Simplified Arabic"/>
          <w:color w:val="000000"/>
          <w:sz w:val="24"/>
          <w:szCs w:val="24"/>
        </w:rPr>
      </w:pPr>
    </w:p>
    <w:p w14:paraId="5B77B7C8" w14:textId="77777777" w:rsidR="0071415F" w:rsidRPr="00C06ADB" w:rsidRDefault="0071415F" w:rsidP="0071415F">
      <w:pPr>
        <w:tabs>
          <w:tab w:val="left" w:pos="9072"/>
        </w:tabs>
        <w:bidi w:val="0"/>
        <w:spacing w:after="0" w:line="240" w:lineRule="auto"/>
        <w:jc w:val="center"/>
        <w:rPr>
          <w:rFonts w:asciiTheme="minorBidi" w:hAnsiTheme="minorBidi" w:cstheme="minorBidi"/>
          <w:b/>
          <w:bCs/>
        </w:rPr>
      </w:pPr>
      <w:r w:rsidRPr="00C06ADB">
        <w:rPr>
          <w:rFonts w:asciiTheme="minorBidi" w:hAnsiTheme="minorBidi" w:cstheme="minorBidi"/>
          <w:b/>
          <w:bCs/>
        </w:rPr>
        <w:lastRenderedPageBreak/>
        <w:t xml:space="preserve">Percentage of </w:t>
      </w:r>
      <w:r w:rsidR="00451115">
        <w:rPr>
          <w:rFonts w:asciiTheme="minorBidi" w:hAnsiTheme="minorBidi" w:cstheme="minorBidi"/>
          <w:b/>
          <w:bCs/>
        </w:rPr>
        <w:t>Y</w:t>
      </w:r>
      <w:r w:rsidRPr="00C06ADB">
        <w:rPr>
          <w:rFonts w:asciiTheme="minorBidi" w:hAnsiTheme="minorBidi" w:cstheme="minorBidi"/>
          <w:b/>
          <w:bCs/>
        </w:rPr>
        <w:t xml:space="preserve">oung </w:t>
      </w:r>
      <w:r w:rsidR="00451115">
        <w:rPr>
          <w:rFonts w:asciiTheme="minorBidi" w:hAnsiTheme="minorBidi" w:cstheme="minorBidi"/>
          <w:b/>
          <w:bCs/>
        </w:rPr>
        <w:t>W</w:t>
      </w:r>
      <w:r w:rsidRPr="00C06ADB">
        <w:rPr>
          <w:rFonts w:asciiTheme="minorBidi" w:hAnsiTheme="minorBidi" w:cstheme="minorBidi"/>
          <w:b/>
          <w:bCs/>
        </w:rPr>
        <w:t xml:space="preserve">omen and </w:t>
      </w:r>
      <w:r w:rsidR="00451115">
        <w:rPr>
          <w:rFonts w:asciiTheme="minorBidi" w:hAnsiTheme="minorBidi" w:cstheme="minorBidi"/>
          <w:b/>
          <w:bCs/>
        </w:rPr>
        <w:t>M</w:t>
      </w:r>
      <w:r w:rsidRPr="00C06ADB">
        <w:rPr>
          <w:rFonts w:asciiTheme="minorBidi" w:hAnsiTheme="minorBidi" w:cstheme="minorBidi"/>
          <w:b/>
          <w:bCs/>
        </w:rPr>
        <w:t>en 18</w:t>
      </w:r>
      <w:r w:rsidRPr="00C06ADB">
        <w:rPr>
          <w:rFonts w:ascii="Cambria Math" w:hAnsi="Cambria Math" w:cs="Cambria Math"/>
          <w:b/>
          <w:bCs/>
        </w:rPr>
        <w:t>‑</w:t>
      </w:r>
      <w:r w:rsidRPr="00C06ADB">
        <w:rPr>
          <w:rFonts w:asciiTheme="minorBidi" w:hAnsiTheme="minorBidi" w:cstheme="minorBidi"/>
          <w:b/>
          <w:bCs/>
        </w:rPr>
        <w:t xml:space="preserve">29 </w:t>
      </w:r>
      <w:r w:rsidR="00451115">
        <w:rPr>
          <w:rFonts w:asciiTheme="minorBidi" w:hAnsiTheme="minorBidi" w:cstheme="minorBidi"/>
          <w:b/>
          <w:bCs/>
        </w:rPr>
        <w:t>Y</w:t>
      </w:r>
      <w:r w:rsidRPr="00C06ADB">
        <w:rPr>
          <w:rFonts w:asciiTheme="minorBidi" w:hAnsiTheme="minorBidi" w:cstheme="minorBidi"/>
          <w:b/>
          <w:bCs/>
        </w:rPr>
        <w:t xml:space="preserve">ears </w:t>
      </w:r>
      <w:r w:rsidR="00451115">
        <w:rPr>
          <w:rFonts w:asciiTheme="minorBidi" w:hAnsiTheme="minorBidi" w:cstheme="minorBidi"/>
          <w:b/>
          <w:bCs/>
        </w:rPr>
        <w:t>thatE</w:t>
      </w:r>
      <w:r w:rsidRPr="00C06ADB">
        <w:rPr>
          <w:rFonts w:asciiTheme="minorBidi" w:hAnsiTheme="minorBidi" w:cstheme="minorBidi"/>
          <w:b/>
          <w:bCs/>
        </w:rPr>
        <w:t xml:space="preserve">xperienced </w:t>
      </w:r>
      <w:r w:rsidR="00451115">
        <w:rPr>
          <w:rFonts w:asciiTheme="minorBidi" w:hAnsiTheme="minorBidi" w:cstheme="minorBidi"/>
          <w:b/>
          <w:bCs/>
        </w:rPr>
        <w:t>S</w:t>
      </w:r>
      <w:r w:rsidRPr="00C06ADB">
        <w:rPr>
          <w:rFonts w:asciiTheme="minorBidi" w:hAnsiTheme="minorBidi" w:cstheme="minorBidi"/>
          <w:b/>
          <w:bCs/>
        </w:rPr>
        <w:t xml:space="preserve">exual </w:t>
      </w:r>
      <w:r w:rsidR="00451115">
        <w:rPr>
          <w:rFonts w:asciiTheme="minorBidi" w:hAnsiTheme="minorBidi" w:cstheme="minorBidi"/>
          <w:b/>
          <w:bCs/>
        </w:rPr>
        <w:t>V</w:t>
      </w:r>
      <w:r w:rsidRPr="00C06ADB">
        <w:rPr>
          <w:rFonts w:asciiTheme="minorBidi" w:hAnsiTheme="minorBidi" w:cstheme="minorBidi"/>
          <w:b/>
          <w:bCs/>
        </w:rPr>
        <w:t xml:space="preserve">iolence by 18 by </w:t>
      </w:r>
      <w:r w:rsidR="00451115">
        <w:rPr>
          <w:rFonts w:asciiTheme="minorBidi" w:hAnsiTheme="minorBidi" w:cstheme="minorBidi"/>
          <w:b/>
          <w:bCs/>
        </w:rPr>
        <w:t>L</w:t>
      </w:r>
      <w:r w:rsidRPr="00C06ADB">
        <w:rPr>
          <w:rFonts w:asciiTheme="minorBidi" w:hAnsiTheme="minorBidi" w:cstheme="minorBidi"/>
          <w:b/>
          <w:bCs/>
        </w:rPr>
        <w:t xml:space="preserve">ocality </w:t>
      </w:r>
      <w:r w:rsidR="00451115">
        <w:rPr>
          <w:rFonts w:asciiTheme="minorBidi" w:hAnsiTheme="minorBidi" w:cstheme="minorBidi"/>
          <w:b/>
          <w:bCs/>
        </w:rPr>
        <w:t>T</w:t>
      </w:r>
      <w:r w:rsidRPr="00C06ADB">
        <w:rPr>
          <w:rFonts w:asciiTheme="minorBidi" w:hAnsiTheme="minorBidi" w:cstheme="minorBidi"/>
          <w:b/>
          <w:bCs/>
        </w:rPr>
        <w:t>ype, 2019 (%).</w:t>
      </w:r>
    </w:p>
    <w:tbl>
      <w:tblPr>
        <w:tblStyle w:val="TableGrid"/>
        <w:tblW w:w="0" w:type="auto"/>
        <w:tblLook w:val="04A0" w:firstRow="1" w:lastRow="0" w:firstColumn="1" w:lastColumn="0" w:noHBand="0" w:noVBand="1"/>
      </w:tblPr>
      <w:tblGrid>
        <w:gridCol w:w="9060"/>
      </w:tblGrid>
      <w:tr w:rsidR="0071415F" w:rsidRPr="00A44E81" w14:paraId="11330FF7" w14:textId="77777777" w:rsidTr="0071415F">
        <w:trPr>
          <w:trHeight w:val="3797"/>
        </w:trPr>
        <w:tc>
          <w:tcPr>
            <w:tcW w:w="9291" w:type="dxa"/>
          </w:tcPr>
          <w:p w14:paraId="1AD24F25" w14:textId="77777777" w:rsidR="0071415F" w:rsidRPr="00A44E81" w:rsidRDefault="0071415F" w:rsidP="0071415F">
            <w:pPr>
              <w:tabs>
                <w:tab w:val="left" w:pos="2021"/>
              </w:tabs>
              <w:bidi w:val="0"/>
              <w:spacing w:after="0" w:line="240" w:lineRule="auto"/>
              <w:jc w:val="both"/>
              <w:rPr>
                <w:rFonts w:ascii="Times New Roman" w:hAnsi="Times New Roman" w:cs="Times New Roman"/>
                <w:b/>
                <w:bCs/>
                <w:color w:val="000000"/>
                <w:sz w:val="24"/>
                <w:szCs w:val="24"/>
                <w:lang w:val="en-US"/>
              </w:rPr>
            </w:pPr>
            <w:r w:rsidRPr="00A44E81">
              <w:rPr>
                <w:rFonts w:ascii="Times New Roman" w:hAnsi="Times New Roman" w:cs="Times New Roman"/>
                <w:b/>
                <w:bCs/>
                <w:noProof/>
                <w:color w:val="000000"/>
                <w:sz w:val="24"/>
                <w:szCs w:val="24"/>
              </w:rPr>
              <w:drawing>
                <wp:inline distT="0" distB="0" distL="0" distR="0" wp14:anchorId="54BC0C55" wp14:editId="4D31F33E">
                  <wp:extent cx="5600700" cy="2339975"/>
                  <wp:effectExtent l="0" t="0" r="0" b="3175"/>
                  <wp:docPr id="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r>
    </w:tbl>
    <w:p w14:paraId="6EF8422E" w14:textId="77777777" w:rsidR="0071415F" w:rsidRPr="0040480C" w:rsidRDefault="0071415F" w:rsidP="009F756D">
      <w:pPr>
        <w:tabs>
          <w:tab w:val="left" w:pos="9072"/>
        </w:tabs>
        <w:bidi w:val="0"/>
        <w:spacing w:after="0" w:line="240" w:lineRule="auto"/>
        <w:ind w:left="720" w:hanging="720"/>
        <w:rPr>
          <w:rFonts w:asciiTheme="minorBidi" w:hAnsiTheme="minorBidi" w:cstheme="minorBidi"/>
          <w:b/>
          <w:bCs/>
        </w:rPr>
      </w:pPr>
      <w:r w:rsidRPr="0040480C">
        <w:rPr>
          <w:rFonts w:asciiTheme="minorBidi" w:hAnsiTheme="minorBidi" w:cstheme="minorBidi"/>
          <w:b/>
          <w:bCs/>
          <w:color w:val="000000" w:themeColor="text1"/>
          <w:sz w:val="18"/>
          <w:szCs w:val="18"/>
        </w:rPr>
        <w:t xml:space="preserve">Source: </w:t>
      </w:r>
      <w:r w:rsidRPr="0040480C">
        <w:rPr>
          <w:rFonts w:asciiTheme="minorBidi" w:hAnsiTheme="minorBidi" w:cstheme="minorBidi"/>
          <w:b/>
          <w:bCs/>
          <w:color w:val="000000"/>
          <w:sz w:val="18"/>
          <w:szCs w:val="18"/>
        </w:rPr>
        <w:t xml:space="preserve">Palestinian Central Bureau of </w:t>
      </w:r>
      <w:r w:rsidR="00C66B88" w:rsidRPr="0040480C">
        <w:rPr>
          <w:rFonts w:asciiTheme="minorBidi" w:hAnsiTheme="minorBidi" w:cstheme="minorBidi"/>
          <w:b/>
          <w:bCs/>
          <w:color w:val="000000"/>
          <w:sz w:val="18"/>
          <w:szCs w:val="18"/>
        </w:rPr>
        <w:t>Statistics</w:t>
      </w:r>
      <w:r w:rsidR="00C66B88" w:rsidRPr="0040480C">
        <w:rPr>
          <w:rFonts w:asciiTheme="minorBidi" w:hAnsiTheme="minorBidi" w:cstheme="minorBidi"/>
          <w:color w:val="000000"/>
          <w:sz w:val="18"/>
          <w:szCs w:val="18"/>
        </w:rPr>
        <w:t>, Violence</w:t>
      </w:r>
      <w:r w:rsidRPr="0040480C">
        <w:rPr>
          <w:rFonts w:asciiTheme="minorBidi" w:hAnsiTheme="minorBidi" w:cstheme="minorBidi"/>
          <w:color w:val="000000"/>
          <w:sz w:val="18"/>
          <w:szCs w:val="18"/>
        </w:rPr>
        <w:t xml:space="preserve"> Survey in the Palestinian Society</w:t>
      </w:r>
      <w:r w:rsidR="009F756D" w:rsidRPr="0040480C">
        <w:rPr>
          <w:rFonts w:asciiTheme="minorBidi" w:hAnsiTheme="minorBidi" w:cstheme="minorBidi"/>
          <w:color w:val="000000"/>
          <w:sz w:val="18"/>
          <w:szCs w:val="18"/>
        </w:rPr>
        <w:t>Database</w:t>
      </w:r>
      <w:r w:rsidRPr="0040480C">
        <w:rPr>
          <w:rFonts w:asciiTheme="minorBidi" w:hAnsiTheme="minorBidi" w:cstheme="minorBidi"/>
          <w:color w:val="000000"/>
          <w:sz w:val="18"/>
          <w:szCs w:val="18"/>
        </w:rPr>
        <w:t>, 2019</w:t>
      </w:r>
      <w:r w:rsidR="00455D32">
        <w:rPr>
          <w:rFonts w:asciiTheme="minorBidi" w:hAnsiTheme="minorBidi" w:cstheme="minorBidi"/>
          <w:color w:val="000000"/>
          <w:sz w:val="18"/>
          <w:szCs w:val="18"/>
        </w:rPr>
        <w:t xml:space="preserve">. </w:t>
      </w:r>
      <w:r w:rsidRPr="0040480C">
        <w:rPr>
          <w:rFonts w:asciiTheme="minorBidi" w:hAnsiTheme="minorBidi" w:cstheme="minorBidi"/>
          <w:color w:val="000000"/>
          <w:sz w:val="18"/>
          <w:szCs w:val="18"/>
        </w:rPr>
        <w:t>Ramallah - Palestine.</w:t>
      </w:r>
    </w:p>
    <w:p w14:paraId="450FDB8B" w14:textId="77777777" w:rsidR="0071415F" w:rsidRDefault="0071415F" w:rsidP="0071415F">
      <w:pPr>
        <w:spacing w:after="0" w:line="240" w:lineRule="auto"/>
        <w:jc w:val="both"/>
        <w:rPr>
          <w:rFonts w:ascii="Simplified Arabic" w:hAnsi="Simplified Arabic" w:cs="Simplified Arabic"/>
          <w:color w:val="000000"/>
          <w:sz w:val="24"/>
          <w:szCs w:val="24"/>
          <w:rtl/>
        </w:rPr>
      </w:pPr>
    </w:p>
    <w:p w14:paraId="0C662EA7"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7F4CA4">
        <w:rPr>
          <w:rFonts w:ascii="Times New Roman" w:hAnsi="Times New Roman" w:cs="Times New Roman"/>
          <w:b/>
          <w:bCs/>
          <w:sz w:val="24"/>
          <w:szCs w:val="24"/>
        </w:rPr>
        <w:t xml:space="preserve">Indicator 16.3.1 Proportion of victims of violence in the previous 12 months </w:t>
      </w:r>
      <w:r w:rsidR="00A570A0">
        <w:rPr>
          <w:rFonts w:ascii="Times New Roman" w:hAnsi="Times New Roman" w:cs="Times New Roman"/>
          <w:b/>
          <w:bCs/>
          <w:sz w:val="24"/>
          <w:szCs w:val="24"/>
        </w:rPr>
        <w:t>that</w:t>
      </w:r>
      <w:r w:rsidRPr="007F4CA4">
        <w:rPr>
          <w:rFonts w:ascii="Times New Roman" w:hAnsi="Times New Roman" w:cs="Times New Roman"/>
          <w:b/>
          <w:bCs/>
          <w:sz w:val="24"/>
          <w:szCs w:val="24"/>
        </w:rPr>
        <w:t xml:space="preserve"> reported their victimization to competent authorities or other officially recognized conflict resolution mechanisms</w:t>
      </w:r>
    </w:p>
    <w:p w14:paraId="47187743" w14:textId="77777777" w:rsidR="00344EA7" w:rsidRPr="007F4CA4" w:rsidRDefault="00344EA7" w:rsidP="00344EA7">
      <w:pPr>
        <w:autoSpaceDE w:val="0"/>
        <w:autoSpaceDN w:val="0"/>
        <w:bidi w:val="0"/>
        <w:adjustRightInd w:val="0"/>
        <w:spacing w:after="0" w:line="240" w:lineRule="auto"/>
        <w:jc w:val="both"/>
        <w:rPr>
          <w:rFonts w:ascii="Times New Roman" w:hAnsi="Times New Roman" w:cs="Times New Roman"/>
          <w:b/>
          <w:bCs/>
          <w:sz w:val="24"/>
          <w:szCs w:val="24"/>
        </w:rPr>
      </w:pPr>
    </w:p>
    <w:p w14:paraId="10A420D5" w14:textId="77777777" w:rsidR="0071415F" w:rsidRDefault="00A570A0"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There was an increase</w:t>
      </w:r>
      <w:r w:rsidR="0071415F" w:rsidRPr="00B15ACB">
        <w:rPr>
          <w:rFonts w:ascii="Times New Roman" w:hAnsi="Times New Roman" w:cs="Times New Roman"/>
          <w:sz w:val="24"/>
          <w:szCs w:val="24"/>
        </w:rPr>
        <w:t xml:space="preserve"> in the percentage of victims of violence </w:t>
      </w:r>
      <w:r>
        <w:rPr>
          <w:rFonts w:ascii="Times New Roman" w:hAnsi="Times New Roman" w:cs="Times New Roman"/>
          <w:sz w:val="24"/>
          <w:szCs w:val="24"/>
        </w:rPr>
        <w:t>that</w:t>
      </w:r>
      <w:r w:rsidR="0071415F" w:rsidRPr="00B15ACB">
        <w:rPr>
          <w:rFonts w:ascii="Times New Roman" w:hAnsi="Times New Roman" w:cs="Times New Roman"/>
          <w:sz w:val="24"/>
          <w:szCs w:val="24"/>
        </w:rPr>
        <w:t xml:space="preserve"> reported their victimization to competent authorities or other officially recognized conflict resolution mechanisms, </w:t>
      </w:r>
      <w:r>
        <w:rPr>
          <w:rFonts w:ascii="Times New Roman" w:hAnsi="Times New Roman" w:cs="Times New Roman"/>
          <w:sz w:val="24"/>
          <w:szCs w:val="24"/>
        </w:rPr>
        <w:t xml:space="preserve">reaching </w:t>
      </w:r>
      <w:r w:rsidR="0071415F" w:rsidRPr="00B15ACB">
        <w:rPr>
          <w:rFonts w:ascii="Times New Roman" w:hAnsi="Times New Roman" w:cs="Times New Roman"/>
          <w:sz w:val="24"/>
          <w:szCs w:val="24"/>
        </w:rPr>
        <w:t xml:space="preserve">about </w:t>
      </w:r>
      <w:r w:rsidR="0071415F">
        <w:rPr>
          <w:rFonts w:ascii="Times New Roman" w:hAnsi="Times New Roman" w:cs="Times New Roman"/>
          <w:sz w:val="24"/>
          <w:szCs w:val="24"/>
        </w:rPr>
        <w:t>52.4</w:t>
      </w:r>
      <w:r w:rsidR="0071415F" w:rsidRPr="00B15ACB">
        <w:rPr>
          <w:rFonts w:ascii="Times New Roman" w:hAnsi="Times New Roman" w:cs="Times New Roman"/>
          <w:sz w:val="24"/>
          <w:szCs w:val="24"/>
        </w:rPr>
        <w:t xml:space="preserve">%in </w:t>
      </w:r>
      <w:r w:rsidR="0071415F">
        <w:rPr>
          <w:rFonts w:ascii="Times New Roman" w:hAnsi="Times New Roman" w:cs="Times New Roman"/>
          <w:sz w:val="24"/>
          <w:szCs w:val="24"/>
        </w:rPr>
        <w:t>2020</w:t>
      </w:r>
      <w:r w:rsidR="0071415F" w:rsidRPr="00B15ACB">
        <w:rPr>
          <w:rFonts w:ascii="Times New Roman" w:hAnsi="Times New Roman" w:cs="Times New Roman"/>
          <w:sz w:val="24"/>
          <w:szCs w:val="24"/>
        </w:rPr>
        <w:t xml:space="preserve">. </w:t>
      </w:r>
    </w:p>
    <w:p w14:paraId="038C368B"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5151796" w14:textId="77777777" w:rsidR="0071415F" w:rsidRPr="00B17FDC"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0536ABF7"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Percentage of Victims of Violence in Palestine </w:t>
      </w:r>
      <w:r w:rsidR="00A570A0">
        <w:rPr>
          <w:rFonts w:ascii="Arial" w:hAnsi="Arial"/>
          <w:b/>
          <w:bCs/>
        </w:rPr>
        <w:t>that</w:t>
      </w:r>
      <w:r w:rsidRPr="00422BE3">
        <w:rPr>
          <w:rFonts w:ascii="Arial" w:hAnsi="Arial"/>
          <w:b/>
          <w:bCs/>
        </w:rPr>
        <w:t xml:space="preserve"> Reported their Victimization to Competent Authorities or Other Officially Recognized Conflict Resolution Mechanisms,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64405A88" w14:textId="77777777" w:rsidTr="0071415F">
        <w:tc>
          <w:tcPr>
            <w:tcW w:w="9286" w:type="dxa"/>
            <w:shd w:val="clear" w:color="auto" w:fill="auto"/>
          </w:tcPr>
          <w:p w14:paraId="1D6FC75F"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14:anchorId="104D6D9D" wp14:editId="0572DC95">
                  <wp:extent cx="5467350" cy="2194560"/>
                  <wp:effectExtent l="0" t="0" r="0" b="0"/>
                  <wp:docPr id="24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r>
    </w:tbl>
    <w:p w14:paraId="13DDF724" w14:textId="77777777" w:rsidR="0071415F" w:rsidRPr="00EE4018" w:rsidRDefault="0071415F" w:rsidP="00E300A7">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 xml:space="preserve">Source: Palestinian Central Bureau of </w:t>
      </w:r>
      <w:r w:rsidR="00C66B88" w:rsidRPr="00B15ACB">
        <w:rPr>
          <w:rFonts w:ascii="Arial" w:hAnsi="Arial"/>
          <w:b/>
          <w:bCs/>
          <w:sz w:val="18"/>
          <w:szCs w:val="18"/>
        </w:rPr>
        <w:t>Statistics,</w:t>
      </w:r>
      <w:r w:rsidR="00C66B88" w:rsidRPr="00EE4018">
        <w:rPr>
          <w:rFonts w:ascii="Arial" w:hAnsi="Arial"/>
          <w:sz w:val="18"/>
          <w:szCs w:val="18"/>
        </w:rPr>
        <w:t xml:space="preserve"> VictimizationSurvey Database</w:t>
      </w:r>
      <w:r w:rsidR="003C23F5">
        <w:rPr>
          <w:rFonts w:ascii="Arial" w:hAnsi="Arial"/>
          <w:sz w:val="18"/>
          <w:szCs w:val="18"/>
        </w:rPr>
        <w:t>, 2016</w:t>
      </w:r>
      <w:r w:rsidR="009F756D">
        <w:rPr>
          <w:rFonts w:ascii="Arial" w:hAnsi="Arial"/>
          <w:sz w:val="18"/>
          <w:szCs w:val="18"/>
        </w:rPr>
        <w:t xml:space="preserve"> and </w:t>
      </w:r>
      <w:r>
        <w:rPr>
          <w:rFonts w:ascii="Arial" w:hAnsi="Arial"/>
          <w:sz w:val="18"/>
          <w:szCs w:val="18"/>
        </w:rPr>
        <w:t>2020</w:t>
      </w:r>
      <w:r w:rsidR="003C23F5">
        <w:rPr>
          <w:rFonts w:ascii="Arial" w:hAnsi="Arial"/>
          <w:sz w:val="18"/>
          <w:szCs w:val="18"/>
        </w:rPr>
        <w:t>.</w:t>
      </w:r>
      <w:r w:rsidRPr="00EE4018">
        <w:rPr>
          <w:rFonts w:ascii="Arial" w:hAnsi="Arial"/>
          <w:sz w:val="18"/>
          <w:szCs w:val="18"/>
        </w:rPr>
        <w:t xml:space="preserve"> Ramallah - Palestine</w:t>
      </w:r>
      <w:r w:rsidRPr="00EE4018">
        <w:rPr>
          <w:rFonts w:ascii="Arial" w:hAnsi="Arial"/>
          <w:sz w:val="18"/>
          <w:szCs w:val="18"/>
          <w:rtl/>
        </w:rPr>
        <w:t>.</w:t>
      </w:r>
    </w:p>
    <w:p w14:paraId="455ECA7D" w14:textId="77777777" w:rsidR="0071415F" w:rsidRPr="00B17FDC" w:rsidRDefault="0071415F" w:rsidP="0071415F">
      <w:pPr>
        <w:autoSpaceDE w:val="0"/>
        <w:autoSpaceDN w:val="0"/>
        <w:bidi w:val="0"/>
        <w:adjustRightInd w:val="0"/>
        <w:spacing w:after="0" w:line="240" w:lineRule="auto"/>
        <w:jc w:val="both"/>
        <w:rPr>
          <w:rFonts w:ascii="Arial" w:hAnsi="Arial"/>
          <w:b/>
          <w:bCs/>
          <w:sz w:val="24"/>
          <w:szCs w:val="24"/>
        </w:rPr>
      </w:pPr>
    </w:p>
    <w:p w14:paraId="608AEFE8"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16.3.2 Un sentenced detainees as a proportion of overall prison population </w:t>
      </w:r>
    </w:p>
    <w:p w14:paraId="4D227098"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3D4664D7" w14:textId="77777777" w:rsidR="0071415F" w:rsidRDefault="0071415F" w:rsidP="0019400D">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The percentage of unsentenced detainees out of all prisoners in the West Bank decreased in comparison </w:t>
      </w:r>
      <w:r w:rsidR="00440496">
        <w:rPr>
          <w:rFonts w:ascii="Times New Roman" w:hAnsi="Times New Roman" w:cs="Times New Roman"/>
          <w:sz w:val="24"/>
          <w:szCs w:val="24"/>
        </w:rPr>
        <w:t>to</w:t>
      </w:r>
      <w:r w:rsidR="00A032A4">
        <w:rPr>
          <w:rFonts w:ascii="Times New Roman" w:hAnsi="Times New Roman" w:cs="Times New Roman"/>
          <w:sz w:val="24"/>
          <w:szCs w:val="24"/>
        </w:rPr>
        <w:t>2015</w:t>
      </w:r>
      <w:r w:rsidRPr="00B15ACB">
        <w:rPr>
          <w:rFonts w:ascii="Times New Roman" w:hAnsi="Times New Roman" w:cs="Times New Roman"/>
          <w:sz w:val="24"/>
          <w:szCs w:val="24"/>
        </w:rPr>
        <w:t>, decreas</w:t>
      </w:r>
      <w:r w:rsidR="00F462D0">
        <w:rPr>
          <w:rFonts w:ascii="Times New Roman" w:hAnsi="Times New Roman" w:cs="Times New Roman"/>
          <w:sz w:val="24"/>
          <w:szCs w:val="24"/>
        </w:rPr>
        <w:t xml:space="preserve">ing </w:t>
      </w:r>
      <w:r w:rsidRPr="00B15ACB">
        <w:rPr>
          <w:rFonts w:ascii="Times New Roman" w:hAnsi="Times New Roman" w:cs="Times New Roman"/>
          <w:sz w:val="24"/>
          <w:szCs w:val="24"/>
        </w:rPr>
        <w:t xml:space="preserve">from </w:t>
      </w:r>
      <w:r w:rsidR="0019400D">
        <w:rPr>
          <w:rFonts w:ascii="Times New Roman" w:hAnsi="Times New Roman" w:cs="Times New Roman" w:hint="cs"/>
          <w:sz w:val="24"/>
          <w:szCs w:val="24"/>
          <w:rtl/>
        </w:rPr>
        <w:t>55.1</w:t>
      </w:r>
      <w:r w:rsidRPr="00B15ACB">
        <w:rPr>
          <w:rFonts w:ascii="Times New Roman" w:hAnsi="Times New Roman" w:cs="Times New Roman"/>
          <w:sz w:val="24"/>
          <w:szCs w:val="24"/>
        </w:rPr>
        <w:t xml:space="preserve">% to </w:t>
      </w:r>
      <w:r w:rsidR="0019400D">
        <w:rPr>
          <w:rFonts w:ascii="Times New Roman" w:hAnsi="Times New Roman" w:cs="Times New Roman" w:hint="cs"/>
          <w:sz w:val="24"/>
          <w:szCs w:val="24"/>
          <w:rtl/>
        </w:rPr>
        <w:t>53.6</w:t>
      </w:r>
      <w:r w:rsidRPr="00B15ACB">
        <w:rPr>
          <w:rFonts w:ascii="Times New Roman" w:hAnsi="Times New Roman" w:cs="Times New Roman"/>
          <w:sz w:val="24"/>
          <w:szCs w:val="24"/>
        </w:rPr>
        <w:t xml:space="preserve">% in </w:t>
      </w:r>
      <w:r w:rsidR="0019400D">
        <w:rPr>
          <w:rFonts w:ascii="Times New Roman" w:hAnsi="Times New Roman" w:cs="Times New Roman" w:hint="cs"/>
          <w:sz w:val="24"/>
          <w:szCs w:val="24"/>
          <w:rtl/>
        </w:rPr>
        <w:t>2021</w:t>
      </w:r>
      <w:r w:rsidRPr="00B15ACB">
        <w:rPr>
          <w:rFonts w:ascii="Times New Roman" w:hAnsi="Times New Roman" w:cs="Times New Roman"/>
          <w:sz w:val="24"/>
          <w:szCs w:val="24"/>
        </w:rPr>
        <w:t xml:space="preserve">. </w:t>
      </w:r>
    </w:p>
    <w:p w14:paraId="50975BFA" w14:textId="77777777" w:rsidR="0071415F" w:rsidRPr="00B15ACB"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59B077C9" w14:textId="77777777" w:rsidR="0071415F" w:rsidRDefault="0071415F" w:rsidP="00452F19">
      <w:pPr>
        <w:tabs>
          <w:tab w:val="left" w:pos="9072"/>
        </w:tabs>
        <w:bidi w:val="0"/>
        <w:spacing w:after="0" w:line="240" w:lineRule="auto"/>
        <w:jc w:val="center"/>
        <w:rPr>
          <w:rFonts w:ascii="Arial" w:hAnsi="Arial"/>
          <w:b/>
          <w:bCs/>
        </w:rPr>
      </w:pPr>
      <w:r w:rsidRPr="00422BE3">
        <w:rPr>
          <w:rFonts w:ascii="Arial" w:hAnsi="Arial"/>
          <w:b/>
          <w:bCs/>
        </w:rPr>
        <w:lastRenderedPageBreak/>
        <w:t xml:space="preserve">Unsentenced Detainees as A Proportion of Overall Prison Population, </w:t>
      </w:r>
      <w:r w:rsidR="00A032A4">
        <w:rPr>
          <w:rFonts w:ascii="Arial" w:hAnsi="Arial"/>
          <w:b/>
          <w:bCs/>
        </w:rPr>
        <w:t>2015</w:t>
      </w:r>
      <w:r w:rsidRPr="00422BE3">
        <w:rPr>
          <w:rFonts w:ascii="Arial" w:hAnsi="Arial"/>
          <w:b/>
          <w:bCs/>
        </w:rPr>
        <w:t>-</w:t>
      </w:r>
      <w:r>
        <w:rPr>
          <w:rFonts w:ascii="Arial" w:hAnsi="Arial"/>
          <w:b/>
          <w:bCs/>
        </w:rPr>
        <w:t>2021</w:t>
      </w:r>
      <w:r w:rsidRPr="00422BE3">
        <w:rPr>
          <w:rFonts w:ascii="Arial" w:hAnsi="Arial"/>
          <w:b/>
          <w:bCs/>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8979E5C" w14:textId="77777777" w:rsidTr="0071415F">
        <w:tc>
          <w:tcPr>
            <w:tcW w:w="9242" w:type="dxa"/>
            <w:shd w:val="clear" w:color="auto" w:fill="auto"/>
          </w:tcPr>
          <w:p w14:paraId="61F03E6C"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2284EA9E" wp14:editId="6029627F">
                  <wp:extent cx="5639824" cy="2337435"/>
                  <wp:effectExtent l="0" t="0" r="0" b="0"/>
                  <wp:docPr id="242"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tc>
      </w:tr>
    </w:tbl>
    <w:p w14:paraId="4BA30331" w14:textId="77777777" w:rsidR="0071415F" w:rsidRPr="000D2E4D" w:rsidRDefault="0071415F" w:rsidP="009F756D">
      <w:pPr>
        <w:bidi w:val="0"/>
        <w:spacing w:after="0" w:line="240" w:lineRule="auto"/>
        <w:jc w:val="both"/>
        <w:rPr>
          <w:rFonts w:ascii="Arial" w:hAnsi="Arial"/>
          <w:color w:val="000000"/>
          <w:sz w:val="18"/>
          <w:szCs w:val="18"/>
          <w:rtl/>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xml:space="preserve">, </w:t>
      </w:r>
      <w:r w:rsidR="00A032A4">
        <w:rPr>
          <w:rFonts w:ascii="Arial" w:hAnsi="Arial"/>
          <w:color w:val="000000"/>
          <w:sz w:val="18"/>
          <w:szCs w:val="18"/>
        </w:rPr>
        <w:t>2015</w:t>
      </w:r>
      <w:r w:rsidRPr="000D2E4D">
        <w:rPr>
          <w:rFonts w:ascii="Arial" w:hAnsi="Arial"/>
          <w:color w:val="000000"/>
          <w:sz w:val="18"/>
          <w:szCs w:val="18"/>
        </w:rPr>
        <w:t>-</w:t>
      </w:r>
      <w:r>
        <w:rPr>
          <w:rFonts w:ascii="Arial" w:hAnsi="Arial"/>
          <w:color w:val="000000"/>
          <w:sz w:val="18"/>
          <w:szCs w:val="18"/>
        </w:rPr>
        <w:t>2021</w:t>
      </w:r>
      <w:r w:rsidRPr="000D2E4D">
        <w:rPr>
          <w:rFonts w:ascii="Arial" w:hAnsi="Arial"/>
          <w:color w:val="000000"/>
          <w:sz w:val="18"/>
          <w:szCs w:val="18"/>
        </w:rPr>
        <w:t>.  Ramallah - Palestine</w:t>
      </w:r>
      <w:r w:rsidRPr="000D2E4D">
        <w:rPr>
          <w:rFonts w:ascii="Arial" w:hAnsi="Arial"/>
          <w:color w:val="000000"/>
          <w:sz w:val="18"/>
          <w:szCs w:val="18"/>
          <w:rtl/>
        </w:rPr>
        <w:t>.</w:t>
      </w:r>
    </w:p>
    <w:p w14:paraId="47BE4B7D" w14:textId="77777777" w:rsidR="0071415F" w:rsidRPr="000D2E4D" w:rsidRDefault="0071415F" w:rsidP="0071415F">
      <w:pPr>
        <w:bidi w:val="0"/>
        <w:spacing w:after="0" w:line="240" w:lineRule="auto"/>
        <w:jc w:val="both"/>
        <w:rPr>
          <w:rFonts w:ascii="Arial" w:hAnsi="Arial"/>
          <w:color w:val="000000"/>
          <w:sz w:val="18"/>
          <w:szCs w:val="18"/>
        </w:rPr>
      </w:pPr>
      <w:r w:rsidRPr="000D2E4D">
        <w:rPr>
          <w:rFonts w:ascii="Arial" w:hAnsi="Arial"/>
          <w:b/>
          <w:bCs/>
          <w:color w:val="000000"/>
          <w:sz w:val="18"/>
          <w:szCs w:val="18"/>
        </w:rPr>
        <w:t>Note</w:t>
      </w:r>
      <w:r w:rsidRPr="000D2E4D">
        <w:rPr>
          <w:rFonts w:ascii="Arial" w:hAnsi="Arial"/>
          <w:color w:val="000000"/>
          <w:sz w:val="18"/>
          <w:szCs w:val="18"/>
        </w:rPr>
        <w:t>: Data excluded those parts of Jerusalem which were annexed by Israeli Occupation in 1967.</w:t>
      </w:r>
    </w:p>
    <w:p w14:paraId="6A62C855"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tl/>
        </w:rPr>
      </w:pPr>
    </w:p>
    <w:p w14:paraId="6AAC617B" w14:textId="77777777" w:rsidR="0071415F" w:rsidRDefault="0071415F" w:rsidP="00AC1A1C">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The percentage of the female un-sentenced detainees out of all female prisoners in the West Bank is higher than the males; it </w:t>
      </w:r>
      <w:r w:rsidR="00C66B88">
        <w:rPr>
          <w:rFonts w:ascii="Times New Roman" w:hAnsi="Times New Roman" w:cs="Times New Roman"/>
          <w:sz w:val="24"/>
          <w:szCs w:val="24"/>
        </w:rPr>
        <w:t>increased</w:t>
      </w:r>
      <w:r w:rsidRPr="00B15ACB">
        <w:rPr>
          <w:rFonts w:ascii="Times New Roman" w:hAnsi="Times New Roman" w:cs="Times New Roman"/>
          <w:sz w:val="24"/>
          <w:szCs w:val="24"/>
        </w:rPr>
        <w:t xml:space="preserve"> from </w:t>
      </w:r>
      <w:r w:rsidR="0019400D">
        <w:rPr>
          <w:rFonts w:ascii="Times New Roman" w:hAnsi="Times New Roman" w:cs="Times New Roman"/>
          <w:sz w:val="24"/>
          <w:szCs w:val="24"/>
        </w:rPr>
        <w:t>65.9</w:t>
      </w:r>
      <w:r w:rsidRPr="00B15ACB">
        <w:rPr>
          <w:rFonts w:ascii="Times New Roman" w:hAnsi="Times New Roman" w:cs="Times New Roman"/>
          <w:sz w:val="24"/>
          <w:szCs w:val="24"/>
        </w:rPr>
        <w:t xml:space="preserve">% in </w:t>
      </w:r>
      <w:r w:rsidR="0019400D">
        <w:rPr>
          <w:rFonts w:ascii="Times New Roman" w:hAnsi="Times New Roman" w:cs="Times New Roman"/>
          <w:sz w:val="24"/>
          <w:szCs w:val="24"/>
        </w:rPr>
        <w:t>2015</w:t>
      </w:r>
      <w:r w:rsidRPr="00B15ACB">
        <w:rPr>
          <w:rFonts w:ascii="Times New Roman" w:hAnsi="Times New Roman" w:cs="Times New Roman"/>
          <w:sz w:val="24"/>
          <w:szCs w:val="24"/>
        </w:rPr>
        <w:t xml:space="preserve"> to </w:t>
      </w:r>
      <w:r>
        <w:rPr>
          <w:rFonts w:ascii="Times New Roman" w:hAnsi="Times New Roman" w:cs="Times New Roman"/>
          <w:sz w:val="24"/>
          <w:szCs w:val="24"/>
        </w:rPr>
        <w:t>72.9</w:t>
      </w:r>
      <w:r w:rsidRPr="00B15ACB">
        <w:rPr>
          <w:rFonts w:ascii="Times New Roman" w:hAnsi="Times New Roman" w:cs="Times New Roman"/>
          <w:sz w:val="24"/>
          <w:szCs w:val="24"/>
        </w:rPr>
        <w:t xml:space="preserve">% in </w:t>
      </w:r>
      <w:r>
        <w:rPr>
          <w:rFonts w:ascii="Times New Roman" w:hAnsi="Times New Roman" w:cs="Times New Roman"/>
          <w:sz w:val="24"/>
          <w:szCs w:val="24"/>
        </w:rPr>
        <w:t>2021</w:t>
      </w:r>
      <w:r w:rsidRPr="00B15ACB">
        <w:rPr>
          <w:rFonts w:ascii="Times New Roman" w:hAnsi="Times New Roman" w:cs="Times New Roman"/>
          <w:sz w:val="24"/>
          <w:szCs w:val="24"/>
        </w:rPr>
        <w:t xml:space="preserve"> and the male percentage dropped from  </w:t>
      </w:r>
      <w:r w:rsidR="00AC1A1C">
        <w:rPr>
          <w:rFonts w:ascii="Times New Roman" w:hAnsi="Times New Roman" w:cs="Times New Roman"/>
          <w:sz w:val="24"/>
          <w:szCs w:val="24"/>
        </w:rPr>
        <w:t>54.9</w:t>
      </w:r>
      <w:r w:rsidRPr="00B15ACB">
        <w:rPr>
          <w:rFonts w:ascii="Times New Roman" w:hAnsi="Times New Roman" w:cs="Times New Roman"/>
          <w:sz w:val="24"/>
          <w:szCs w:val="24"/>
        </w:rPr>
        <w:t xml:space="preserve"> % to </w:t>
      </w:r>
      <w:r>
        <w:rPr>
          <w:rFonts w:ascii="Times New Roman" w:hAnsi="Times New Roman" w:cs="Times New Roman"/>
          <w:sz w:val="24"/>
          <w:szCs w:val="24"/>
        </w:rPr>
        <w:t>51.3</w:t>
      </w:r>
      <w:r w:rsidRPr="00B15ACB">
        <w:rPr>
          <w:rFonts w:ascii="Times New Roman" w:hAnsi="Times New Roman" w:cs="Times New Roman"/>
          <w:sz w:val="24"/>
          <w:szCs w:val="24"/>
        </w:rPr>
        <w:t xml:space="preserve"> % for the same period. </w:t>
      </w:r>
    </w:p>
    <w:p w14:paraId="7224AE81" w14:textId="77777777" w:rsidR="0071415F" w:rsidRDefault="0071415F" w:rsidP="0071415F">
      <w:pPr>
        <w:tabs>
          <w:tab w:val="left" w:pos="9072"/>
        </w:tabs>
        <w:bidi w:val="0"/>
        <w:spacing w:after="0" w:line="240" w:lineRule="auto"/>
        <w:rPr>
          <w:rFonts w:ascii="Times New Roman" w:hAnsi="Times New Roman" w:cs="Times New Roman"/>
          <w:b/>
          <w:bCs/>
          <w:sz w:val="16"/>
          <w:szCs w:val="16"/>
        </w:rPr>
      </w:pPr>
    </w:p>
    <w:p w14:paraId="0447909D" w14:textId="77777777" w:rsidR="007F4CA4" w:rsidRPr="00B17FDC" w:rsidRDefault="007F4CA4" w:rsidP="007F4CA4">
      <w:pPr>
        <w:tabs>
          <w:tab w:val="left" w:pos="9072"/>
        </w:tabs>
        <w:bidi w:val="0"/>
        <w:spacing w:after="0" w:line="240" w:lineRule="auto"/>
        <w:rPr>
          <w:rFonts w:ascii="Times New Roman" w:hAnsi="Times New Roman" w:cs="Times New Roman"/>
          <w:b/>
          <w:bCs/>
          <w:sz w:val="16"/>
          <w:szCs w:val="16"/>
        </w:rPr>
      </w:pPr>
    </w:p>
    <w:p w14:paraId="4883935A" w14:textId="77777777" w:rsidR="0071415F" w:rsidRPr="00422BE3" w:rsidRDefault="0071415F" w:rsidP="005A21BF">
      <w:pPr>
        <w:tabs>
          <w:tab w:val="left" w:pos="9072"/>
        </w:tabs>
        <w:bidi w:val="0"/>
        <w:spacing w:after="0" w:line="240" w:lineRule="auto"/>
        <w:jc w:val="center"/>
        <w:rPr>
          <w:rFonts w:ascii="Arial" w:hAnsi="Arial"/>
          <w:b/>
          <w:bCs/>
          <w:rtl/>
        </w:rPr>
      </w:pPr>
      <w:r w:rsidRPr="00422BE3">
        <w:rPr>
          <w:rFonts w:ascii="Arial" w:hAnsi="Arial"/>
          <w:b/>
          <w:bCs/>
        </w:rPr>
        <w:t>Un-Sentenced Detainees as a Proportion of Overall Prison Population by Sex, 20</w:t>
      </w:r>
      <w:r w:rsidR="0019400D">
        <w:rPr>
          <w:rFonts w:ascii="Arial" w:hAnsi="Arial" w:hint="cs"/>
          <w:b/>
          <w:bCs/>
          <w:rtl/>
        </w:rPr>
        <w:t>15</w:t>
      </w:r>
      <w:r w:rsidRPr="00422BE3">
        <w:rPr>
          <w:rFonts w:ascii="Arial" w:hAnsi="Arial"/>
          <w:b/>
          <w:bCs/>
        </w:rPr>
        <w:t>-</w:t>
      </w:r>
      <w:r>
        <w:rPr>
          <w:rFonts w:ascii="Arial" w:hAnsi="Arial"/>
          <w:b/>
          <w:bCs/>
        </w:rPr>
        <w:t>2021</w:t>
      </w:r>
      <w:r w:rsidRPr="00422BE3">
        <w:rPr>
          <w:rFonts w:ascii="Arial" w:hAnsi="Arial"/>
          <w:b/>
          <w:bCs/>
        </w:rPr>
        <w:t xml:space="preserve"> (%)</w:t>
      </w:r>
    </w:p>
    <w:tbl>
      <w:tblPr>
        <w:bidiVisual/>
        <w:tblW w:w="9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1"/>
      </w:tblGrid>
      <w:tr w:rsidR="0071415F" w:rsidRPr="000D2E4D" w14:paraId="1D90D3D4" w14:textId="77777777" w:rsidTr="005A21BF">
        <w:trPr>
          <w:trHeight w:val="3540"/>
        </w:trPr>
        <w:tc>
          <w:tcPr>
            <w:tcW w:w="9125" w:type="dxa"/>
            <w:shd w:val="clear" w:color="auto" w:fill="auto"/>
          </w:tcPr>
          <w:p w14:paraId="7AB8C5FF" w14:textId="77777777" w:rsidR="0071415F" w:rsidRPr="000D2E4D" w:rsidRDefault="0071415F" w:rsidP="0071415F">
            <w:pPr>
              <w:bidi w:val="0"/>
              <w:spacing w:after="0" w:line="240" w:lineRule="auto"/>
              <w:jc w:val="center"/>
              <w:rPr>
                <w:rFonts w:ascii="Times New Roman" w:hAnsi="Times New Roman" w:cs="Times New Roman"/>
                <w:color w:val="000000"/>
                <w:rtl/>
                <w:lang w:val="it-IT"/>
              </w:rPr>
            </w:pPr>
            <w:r>
              <w:rPr>
                <w:rFonts w:ascii="Times New Roman" w:hAnsi="Times New Roman" w:cs="Times New Roman"/>
                <w:noProof/>
                <w:color w:val="000000"/>
              </w:rPr>
              <w:drawing>
                <wp:inline distT="0" distB="0" distL="0" distR="0" wp14:anchorId="2EB49DB2" wp14:editId="62127D4B">
                  <wp:extent cx="5686425" cy="2206486"/>
                  <wp:effectExtent l="0" t="0" r="0" b="3810"/>
                  <wp:docPr id="243"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r>
    </w:tbl>
    <w:p w14:paraId="581B4029" w14:textId="77777777" w:rsidR="0071415F" w:rsidRPr="000D2E4D" w:rsidRDefault="0071415F" w:rsidP="005A21BF">
      <w:pPr>
        <w:bidi w:val="0"/>
        <w:spacing w:after="0" w:line="240" w:lineRule="auto"/>
        <w:jc w:val="both"/>
        <w:rPr>
          <w:rFonts w:ascii="Arial" w:hAnsi="Arial"/>
          <w:color w:val="000000"/>
          <w:sz w:val="18"/>
          <w:szCs w:val="18"/>
        </w:rPr>
      </w:pPr>
      <w:r w:rsidRPr="000D2E4D">
        <w:rPr>
          <w:rFonts w:ascii="Arial" w:hAnsi="Arial"/>
          <w:b/>
          <w:bCs/>
          <w:color w:val="000000"/>
          <w:sz w:val="18"/>
          <w:szCs w:val="18"/>
        </w:rPr>
        <w:t>Source:Palestinian civil police,</w:t>
      </w:r>
      <w:r w:rsidRPr="000D2E4D">
        <w:rPr>
          <w:rFonts w:ascii="Arial" w:hAnsi="Arial"/>
          <w:color w:val="000000"/>
          <w:sz w:val="18"/>
          <w:szCs w:val="18"/>
        </w:rPr>
        <w:t xml:space="preserve"> Security and justice Statistics</w:t>
      </w:r>
      <w:r w:rsidR="005A21BF" w:rsidRPr="000D2E4D">
        <w:rPr>
          <w:rFonts w:ascii="Arial" w:hAnsi="Arial"/>
          <w:color w:val="000000"/>
          <w:sz w:val="18"/>
          <w:szCs w:val="18"/>
        </w:rPr>
        <w:t>Database</w:t>
      </w:r>
      <w:r w:rsidRPr="000D2E4D">
        <w:rPr>
          <w:rFonts w:ascii="Arial" w:hAnsi="Arial"/>
          <w:color w:val="000000"/>
          <w:sz w:val="18"/>
          <w:szCs w:val="18"/>
        </w:rPr>
        <w:t>, 20</w:t>
      </w:r>
      <w:r w:rsidR="0019400D">
        <w:rPr>
          <w:rFonts w:ascii="Arial" w:hAnsi="Arial" w:hint="cs"/>
          <w:color w:val="000000"/>
          <w:sz w:val="18"/>
          <w:szCs w:val="18"/>
          <w:rtl/>
        </w:rPr>
        <w:t>15</w:t>
      </w:r>
      <w:r w:rsidRPr="000D2E4D">
        <w:rPr>
          <w:rFonts w:ascii="Arial" w:hAnsi="Arial"/>
          <w:color w:val="000000"/>
          <w:sz w:val="18"/>
          <w:szCs w:val="18"/>
        </w:rPr>
        <w:t>-</w:t>
      </w:r>
      <w:r>
        <w:rPr>
          <w:rFonts w:ascii="Arial" w:hAnsi="Arial"/>
          <w:color w:val="000000"/>
          <w:sz w:val="18"/>
          <w:szCs w:val="18"/>
        </w:rPr>
        <w:t>2021</w:t>
      </w:r>
      <w:r w:rsidRPr="000D2E4D">
        <w:rPr>
          <w:rFonts w:ascii="Arial" w:hAnsi="Arial"/>
          <w:color w:val="000000"/>
          <w:sz w:val="18"/>
          <w:szCs w:val="18"/>
        </w:rPr>
        <w:t>. Ramallah - Palestine</w:t>
      </w:r>
      <w:r w:rsidRPr="000D2E4D">
        <w:rPr>
          <w:rFonts w:ascii="Arial" w:hAnsi="Arial"/>
          <w:color w:val="000000"/>
          <w:sz w:val="18"/>
          <w:szCs w:val="18"/>
          <w:rtl/>
        </w:rPr>
        <w:t>.</w:t>
      </w:r>
    </w:p>
    <w:p w14:paraId="28793E10" w14:textId="77777777" w:rsidR="0071415F" w:rsidRPr="000D2E4D" w:rsidRDefault="00C66B88" w:rsidP="0071415F">
      <w:pPr>
        <w:bidi w:val="0"/>
        <w:spacing w:after="0" w:line="240" w:lineRule="auto"/>
        <w:jc w:val="both"/>
        <w:rPr>
          <w:rFonts w:ascii="Arial" w:hAnsi="Arial"/>
          <w:color w:val="000000"/>
          <w:sz w:val="18"/>
          <w:szCs w:val="18"/>
        </w:rPr>
      </w:pPr>
      <w:r w:rsidRPr="000D2E4D">
        <w:rPr>
          <w:rFonts w:ascii="Arial" w:hAnsi="Arial"/>
          <w:b/>
          <w:bCs/>
          <w:color w:val="000000"/>
          <w:sz w:val="18"/>
          <w:szCs w:val="18"/>
        </w:rPr>
        <w:t>Note</w:t>
      </w:r>
      <w:r w:rsidRPr="000D2E4D">
        <w:rPr>
          <w:rFonts w:ascii="Arial" w:hAnsi="Arial"/>
          <w:color w:val="000000"/>
          <w:sz w:val="18"/>
          <w:szCs w:val="18"/>
        </w:rPr>
        <w:t>: Data</w:t>
      </w:r>
      <w:r w:rsidR="0071415F" w:rsidRPr="000D2E4D">
        <w:rPr>
          <w:rFonts w:ascii="Arial" w:hAnsi="Arial"/>
          <w:color w:val="000000"/>
          <w:sz w:val="18"/>
          <w:szCs w:val="18"/>
        </w:rPr>
        <w:t xml:space="preserve"> excluded those parts of Jerusalem which were annexed by Israeli Occupation in 1967.</w:t>
      </w:r>
    </w:p>
    <w:p w14:paraId="4E4EA522"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p>
    <w:p w14:paraId="3A21E178"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16.5.1 Proportion of persons who had at least one contact with a public official and who paid a bribe to a public official, or were asked for a bribe by those public officials, during the previous 12 months.</w:t>
      </w:r>
    </w:p>
    <w:p w14:paraId="40D38373" w14:textId="77777777" w:rsidR="00344EA7"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0D6697DD"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In </w:t>
      </w:r>
      <w:r>
        <w:rPr>
          <w:rFonts w:ascii="Times New Roman" w:hAnsi="Times New Roman" w:cs="Times New Roman"/>
          <w:sz w:val="24"/>
          <w:szCs w:val="24"/>
        </w:rPr>
        <w:t>2021</w:t>
      </w:r>
      <w:r w:rsidR="00440496">
        <w:rPr>
          <w:rFonts w:ascii="Times New Roman" w:hAnsi="Times New Roman" w:cs="Times New Roman"/>
          <w:sz w:val="24"/>
          <w:szCs w:val="24"/>
        </w:rPr>
        <w:t>,</w:t>
      </w:r>
      <w:r w:rsidRPr="00B15ACB">
        <w:rPr>
          <w:rFonts w:ascii="Times New Roman" w:hAnsi="Times New Roman" w:cs="Times New Roman"/>
          <w:sz w:val="24"/>
          <w:szCs w:val="24"/>
        </w:rPr>
        <w:t xml:space="preserve"> about </w:t>
      </w:r>
      <w:r>
        <w:rPr>
          <w:rFonts w:ascii="Times New Roman" w:hAnsi="Times New Roman" w:cs="Times New Roman"/>
          <w:sz w:val="24"/>
          <w:szCs w:val="24"/>
        </w:rPr>
        <w:t>3.9</w:t>
      </w:r>
      <w:r w:rsidRPr="00B15ACB">
        <w:rPr>
          <w:rFonts w:ascii="Times New Roman" w:hAnsi="Times New Roman" w:cs="Times New Roman"/>
          <w:sz w:val="24"/>
          <w:szCs w:val="24"/>
        </w:rPr>
        <w:t xml:space="preserve">% of persons who had at least one contact with a public official and who paid a bribe to a public official, or were asked for a bribe by those public officials of which </w:t>
      </w:r>
      <w:r>
        <w:rPr>
          <w:rFonts w:ascii="Times New Roman" w:hAnsi="Times New Roman" w:cs="Times New Roman"/>
          <w:sz w:val="24"/>
          <w:szCs w:val="24"/>
        </w:rPr>
        <w:t>4.4</w:t>
      </w:r>
      <w:r w:rsidRPr="00B15ACB">
        <w:rPr>
          <w:rFonts w:ascii="Times New Roman" w:hAnsi="Times New Roman" w:cs="Times New Roman"/>
          <w:sz w:val="24"/>
          <w:szCs w:val="24"/>
        </w:rPr>
        <w:t xml:space="preserve"> % </w:t>
      </w:r>
      <w:r w:rsidR="00440496">
        <w:rPr>
          <w:rFonts w:ascii="Times New Roman" w:hAnsi="Times New Roman" w:cs="Times New Roman"/>
          <w:sz w:val="24"/>
          <w:szCs w:val="24"/>
        </w:rPr>
        <w:t xml:space="preserve">were </w:t>
      </w:r>
      <w:r w:rsidRPr="00B15ACB">
        <w:rPr>
          <w:rFonts w:ascii="Times New Roman" w:hAnsi="Times New Roman" w:cs="Times New Roman"/>
          <w:sz w:val="24"/>
          <w:szCs w:val="24"/>
        </w:rPr>
        <w:t xml:space="preserve">in the West Bank and </w:t>
      </w:r>
      <w:r>
        <w:rPr>
          <w:rFonts w:ascii="Times New Roman" w:hAnsi="Times New Roman" w:cs="Times New Roman"/>
          <w:sz w:val="24"/>
          <w:szCs w:val="24"/>
        </w:rPr>
        <w:t>3.3</w:t>
      </w:r>
      <w:r w:rsidRPr="00B15ACB">
        <w:rPr>
          <w:rFonts w:ascii="Times New Roman" w:hAnsi="Times New Roman" w:cs="Times New Roman"/>
          <w:sz w:val="24"/>
          <w:szCs w:val="24"/>
        </w:rPr>
        <w:t xml:space="preserve"> in Gaza Strip. This percentage </w:t>
      </w:r>
      <w:r w:rsidR="00440496">
        <w:rPr>
          <w:rFonts w:ascii="Times New Roman" w:hAnsi="Times New Roman" w:cs="Times New Roman"/>
          <w:sz w:val="24"/>
          <w:szCs w:val="24"/>
        </w:rPr>
        <w:t>reached</w:t>
      </w:r>
      <w:r>
        <w:rPr>
          <w:rFonts w:ascii="Times New Roman" w:hAnsi="Times New Roman" w:cs="Times New Roman"/>
          <w:sz w:val="24"/>
          <w:szCs w:val="24"/>
        </w:rPr>
        <w:t>2.1</w:t>
      </w:r>
      <w:r w:rsidRPr="00B15ACB">
        <w:rPr>
          <w:rFonts w:ascii="Times New Roman" w:hAnsi="Times New Roman" w:cs="Times New Roman"/>
          <w:sz w:val="24"/>
          <w:szCs w:val="24"/>
        </w:rPr>
        <w:t xml:space="preserve"> % in Palestine for </w:t>
      </w:r>
      <w:r>
        <w:rPr>
          <w:rFonts w:ascii="Times New Roman" w:hAnsi="Times New Roman" w:cs="Times New Roman"/>
          <w:sz w:val="24"/>
          <w:szCs w:val="24"/>
        </w:rPr>
        <w:t>2018</w:t>
      </w:r>
      <w:r w:rsidRPr="00B15ACB">
        <w:rPr>
          <w:rFonts w:ascii="Times New Roman" w:hAnsi="Times New Roman" w:cs="Times New Roman"/>
          <w:sz w:val="24"/>
          <w:szCs w:val="24"/>
        </w:rPr>
        <w:t>.</w:t>
      </w:r>
    </w:p>
    <w:p w14:paraId="33DCBEE5" w14:textId="77777777" w:rsidR="0071415F" w:rsidRDefault="0071415F" w:rsidP="0071415F">
      <w:pPr>
        <w:tabs>
          <w:tab w:val="left" w:pos="9072"/>
        </w:tabs>
        <w:bidi w:val="0"/>
        <w:spacing w:after="0" w:line="240" w:lineRule="auto"/>
        <w:jc w:val="center"/>
        <w:rPr>
          <w:rFonts w:ascii="Times New Roman" w:hAnsi="Times New Roman" w:cs="Times New Roman"/>
          <w:b/>
          <w:bCs/>
          <w:i/>
          <w:iCs/>
          <w:sz w:val="24"/>
          <w:szCs w:val="24"/>
        </w:rPr>
      </w:pPr>
    </w:p>
    <w:p w14:paraId="36942737" w14:textId="77777777" w:rsidR="007F4CA4" w:rsidRDefault="007F4CA4" w:rsidP="007F4CA4">
      <w:pPr>
        <w:tabs>
          <w:tab w:val="left" w:pos="9072"/>
        </w:tabs>
        <w:bidi w:val="0"/>
        <w:spacing w:after="0" w:line="240" w:lineRule="auto"/>
        <w:jc w:val="center"/>
        <w:rPr>
          <w:rFonts w:ascii="Arial" w:hAnsi="Arial"/>
          <w:b/>
          <w:bCs/>
        </w:rPr>
      </w:pPr>
    </w:p>
    <w:p w14:paraId="6CB14284" w14:textId="77777777"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lastRenderedPageBreak/>
        <w:t xml:space="preserve">Percentage of Persons who Had at Least One Contact With a Public Official and  Paid </w:t>
      </w:r>
      <w:r w:rsidR="00440496">
        <w:rPr>
          <w:rFonts w:ascii="Arial" w:hAnsi="Arial"/>
          <w:b/>
          <w:bCs/>
        </w:rPr>
        <w:t>a</w:t>
      </w:r>
      <w:r w:rsidRPr="00422BE3">
        <w:rPr>
          <w:rFonts w:ascii="Arial" w:hAnsi="Arial"/>
          <w:b/>
          <w:bCs/>
        </w:rPr>
        <w:t xml:space="preserve"> Bribe to a Public Official, or Were Asked for a Bribe by Those Public Officials, for Selected Years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6EB6658" w14:textId="77777777" w:rsidTr="0071415F">
        <w:trPr>
          <w:trHeight w:val="3114"/>
        </w:trPr>
        <w:tc>
          <w:tcPr>
            <w:tcW w:w="9242" w:type="dxa"/>
            <w:shd w:val="clear" w:color="auto" w:fill="auto"/>
          </w:tcPr>
          <w:p w14:paraId="6751C47A" w14:textId="77777777" w:rsidR="0071415F" w:rsidRPr="000D2E4D" w:rsidRDefault="0071415F" w:rsidP="0071415F">
            <w:pPr>
              <w:bidi w:val="0"/>
              <w:spacing w:after="0" w:line="240" w:lineRule="auto"/>
              <w:jc w:val="center"/>
              <w:rPr>
                <w:rFonts w:ascii="Times New Roman" w:hAnsi="Times New Roman" w:cs="Times New Roman"/>
                <w:b/>
                <w:bCs/>
                <w:color w:val="FF0000"/>
                <w:sz w:val="24"/>
                <w:szCs w:val="24"/>
                <w:rtl/>
                <w:lang w:val="it-IT"/>
              </w:rPr>
            </w:pPr>
            <w:r>
              <w:rPr>
                <w:rFonts w:ascii="Times New Roman" w:hAnsi="Times New Roman" w:cs="Times New Roman"/>
                <w:b/>
                <w:bCs/>
                <w:noProof/>
                <w:color w:val="FF0000"/>
                <w:sz w:val="24"/>
                <w:szCs w:val="24"/>
              </w:rPr>
              <w:drawing>
                <wp:inline distT="0" distB="0" distL="0" distR="0" wp14:anchorId="7A5D98F5" wp14:editId="73C1F2BA">
                  <wp:extent cx="5538470" cy="1948180"/>
                  <wp:effectExtent l="0" t="0" r="5080" b="0"/>
                  <wp:docPr id="24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tc>
      </w:tr>
    </w:tbl>
    <w:p w14:paraId="4FC218A2" w14:textId="77777777" w:rsidR="0071415F" w:rsidRPr="0029489D" w:rsidRDefault="0071415F" w:rsidP="00BD6E0B">
      <w:pPr>
        <w:autoSpaceDE w:val="0"/>
        <w:autoSpaceDN w:val="0"/>
        <w:bidi w:val="0"/>
        <w:adjustRightInd w:val="0"/>
        <w:spacing w:after="0" w:line="240" w:lineRule="auto"/>
        <w:ind w:left="720" w:hanging="720"/>
        <w:jc w:val="both"/>
        <w:rPr>
          <w:rFonts w:ascii="Arial" w:hAnsi="Arial"/>
          <w:sz w:val="18"/>
          <w:szCs w:val="18"/>
        </w:rPr>
      </w:pPr>
      <w:r w:rsidRPr="00900087">
        <w:rPr>
          <w:rFonts w:ascii="Arial" w:hAnsi="Arial"/>
          <w:b/>
          <w:bCs/>
          <w:sz w:val="18"/>
          <w:szCs w:val="18"/>
        </w:rPr>
        <w:t xml:space="preserve">Source: Palestinian Central Bureau of Statistics, </w:t>
      </w:r>
      <w:r w:rsidRPr="00B15ACB">
        <w:rPr>
          <w:rFonts w:ascii="Arial" w:hAnsi="Arial"/>
          <w:sz w:val="18"/>
          <w:szCs w:val="18"/>
        </w:rPr>
        <w:t xml:space="preserve">Rule of Law and Access to Justice Survey </w:t>
      </w:r>
      <w:r w:rsidR="005A21BF" w:rsidRPr="00B15ACB">
        <w:rPr>
          <w:rFonts w:ascii="Arial" w:hAnsi="Arial"/>
          <w:sz w:val="18"/>
          <w:szCs w:val="18"/>
        </w:rPr>
        <w:t>Database</w:t>
      </w:r>
      <w:r w:rsidR="005A21BF">
        <w:rPr>
          <w:rFonts w:ascii="Arial" w:hAnsi="Arial"/>
          <w:sz w:val="18"/>
          <w:szCs w:val="18"/>
        </w:rPr>
        <w:t>,</w:t>
      </w:r>
      <w:r w:rsidRPr="00B15ACB">
        <w:rPr>
          <w:rFonts w:ascii="Arial" w:hAnsi="Arial"/>
          <w:sz w:val="18"/>
          <w:szCs w:val="18"/>
        </w:rPr>
        <w:t>2018</w:t>
      </w:r>
      <w:r w:rsidR="005A21BF">
        <w:rPr>
          <w:rFonts w:ascii="Arial" w:hAnsi="Arial"/>
          <w:sz w:val="18"/>
          <w:szCs w:val="18"/>
        </w:rPr>
        <w:t xml:space="preserve"> and</w:t>
      </w:r>
      <w:r>
        <w:rPr>
          <w:rFonts w:ascii="Arial" w:hAnsi="Arial"/>
          <w:sz w:val="18"/>
          <w:szCs w:val="18"/>
        </w:rPr>
        <w:t xml:space="preserve"> 2021</w:t>
      </w:r>
      <w:r w:rsidR="00455D32">
        <w:rPr>
          <w:rFonts w:ascii="Arial" w:hAnsi="Arial"/>
          <w:sz w:val="18"/>
          <w:szCs w:val="18"/>
        </w:rPr>
        <w:t>.</w:t>
      </w:r>
      <w:r w:rsidRPr="00B15ACB">
        <w:rPr>
          <w:rFonts w:ascii="Arial" w:hAnsi="Arial"/>
          <w:sz w:val="18"/>
          <w:szCs w:val="18"/>
        </w:rPr>
        <w:t xml:space="preserve"> Ramallah - Palestine</w:t>
      </w:r>
      <w:r w:rsidRPr="00B15ACB">
        <w:rPr>
          <w:rFonts w:ascii="Arial" w:hAnsi="Arial"/>
          <w:sz w:val="18"/>
          <w:szCs w:val="18"/>
          <w:rtl/>
        </w:rPr>
        <w:t>.</w:t>
      </w:r>
    </w:p>
    <w:p w14:paraId="6437D072"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C449E33" w14:textId="77777777" w:rsidR="0071415F" w:rsidRDefault="00440496"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w:t>
      </w:r>
      <w:r w:rsidR="0071415F" w:rsidRPr="00B15ACB">
        <w:rPr>
          <w:rFonts w:ascii="Times New Roman" w:hAnsi="Times New Roman" w:cs="Times New Roman"/>
          <w:sz w:val="24"/>
          <w:szCs w:val="24"/>
        </w:rPr>
        <w:t xml:space="preserve">ales are in contact </w:t>
      </w:r>
      <w:r w:rsidR="00F462D0">
        <w:rPr>
          <w:rFonts w:ascii="Times New Roman" w:hAnsi="Times New Roman" w:cs="Times New Roman"/>
          <w:sz w:val="24"/>
          <w:szCs w:val="24"/>
        </w:rPr>
        <w:t xml:space="preserve">more </w:t>
      </w:r>
      <w:r w:rsidR="0071415F" w:rsidRPr="00B15ACB">
        <w:rPr>
          <w:rFonts w:ascii="Times New Roman" w:hAnsi="Times New Roman" w:cs="Times New Roman"/>
          <w:sz w:val="24"/>
          <w:szCs w:val="24"/>
        </w:rPr>
        <w:t>with the public official</w:t>
      </w:r>
      <w:r w:rsidR="00F462D0">
        <w:rPr>
          <w:rFonts w:ascii="Times New Roman" w:hAnsi="Times New Roman" w:cs="Times New Roman"/>
          <w:sz w:val="24"/>
          <w:szCs w:val="24"/>
        </w:rPr>
        <w:t>s</w:t>
      </w:r>
      <w:r w:rsidR="0071415F" w:rsidRPr="00B15ACB">
        <w:rPr>
          <w:rFonts w:ascii="Times New Roman" w:hAnsi="Times New Roman" w:cs="Times New Roman"/>
          <w:sz w:val="24"/>
          <w:szCs w:val="24"/>
        </w:rPr>
        <w:t xml:space="preserve">; </w:t>
      </w:r>
      <w:r w:rsidR="0071415F">
        <w:rPr>
          <w:rFonts w:ascii="Times New Roman" w:hAnsi="Times New Roman" w:cs="Times New Roman"/>
          <w:sz w:val="24"/>
          <w:szCs w:val="24"/>
        </w:rPr>
        <w:t>4.8</w:t>
      </w:r>
      <w:r w:rsidR="0071415F" w:rsidRPr="00B15ACB">
        <w:rPr>
          <w:rFonts w:ascii="Times New Roman" w:hAnsi="Times New Roman" w:cs="Times New Roman"/>
          <w:sz w:val="24"/>
          <w:szCs w:val="24"/>
        </w:rPr>
        <w:t xml:space="preserve">% of the males had at least one contact with a public official and paid a bribe to a public official, in comparison, </w:t>
      </w:r>
      <w:r w:rsidR="0071415F">
        <w:rPr>
          <w:rFonts w:ascii="Times New Roman" w:hAnsi="Times New Roman" w:cs="Times New Roman"/>
          <w:sz w:val="24"/>
          <w:szCs w:val="24"/>
        </w:rPr>
        <w:t>2.5</w:t>
      </w:r>
      <w:r w:rsidR="0071415F" w:rsidRPr="00B15ACB">
        <w:rPr>
          <w:rFonts w:ascii="Times New Roman" w:hAnsi="Times New Roman" w:cs="Times New Roman"/>
          <w:sz w:val="24"/>
          <w:szCs w:val="24"/>
        </w:rPr>
        <w:t xml:space="preserve"> % </w:t>
      </w:r>
      <w:r>
        <w:rPr>
          <w:rFonts w:ascii="Times New Roman" w:hAnsi="Times New Roman" w:cs="Times New Roman"/>
          <w:sz w:val="24"/>
          <w:szCs w:val="24"/>
        </w:rPr>
        <w:t>o</w:t>
      </w:r>
      <w:r w:rsidR="0071415F" w:rsidRPr="00B15ACB">
        <w:rPr>
          <w:rFonts w:ascii="Times New Roman" w:hAnsi="Times New Roman" w:cs="Times New Roman"/>
          <w:sz w:val="24"/>
          <w:szCs w:val="24"/>
        </w:rPr>
        <w:t xml:space="preserve">f females in </w:t>
      </w:r>
      <w:r w:rsidR="0071415F">
        <w:rPr>
          <w:rFonts w:ascii="Times New Roman" w:hAnsi="Times New Roman" w:cs="Times New Roman"/>
          <w:sz w:val="24"/>
          <w:szCs w:val="24"/>
        </w:rPr>
        <w:t>2021</w:t>
      </w:r>
      <w:r w:rsidR="0071415F" w:rsidRPr="00B15ACB">
        <w:rPr>
          <w:rFonts w:ascii="Times New Roman" w:hAnsi="Times New Roman" w:cs="Times New Roman"/>
          <w:sz w:val="24"/>
          <w:szCs w:val="24"/>
        </w:rPr>
        <w:t>.</w:t>
      </w:r>
    </w:p>
    <w:p w14:paraId="7F75DCDF" w14:textId="77777777" w:rsidR="0071415F" w:rsidRPr="00B17FDC" w:rsidRDefault="0071415F" w:rsidP="0071415F">
      <w:pPr>
        <w:tabs>
          <w:tab w:val="left" w:pos="9072"/>
        </w:tabs>
        <w:bidi w:val="0"/>
        <w:spacing w:after="0" w:line="240" w:lineRule="auto"/>
        <w:jc w:val="center"/>
        <w:rPr>
          <w:rFonts w:ascii="Arial" w:hAnsi="Arial"/>
          <w:b/>
          <w:bCs/>
          <w:sz w:val="16"/>
          <w:szCs w:val="16"/>
        </w:rPr>
      </w:pPr>
    </w:p>
    <w:p w14:paraId="67A748C0" w14:textId="77777777"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t>Percentage of Persons who Had at Least One Contact With a Public Official and Paid a Bribe to A Public Official, or Were Asked for a Bribe by Those Public Officials by Sex, for Selected Years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5948CE7" w14:textId="77777777" w:rsidTr="0071415F">
        <w:trPr>
          <w:trHeight w:val="3340"/>
        </w:trPr>
        <w:tc>
          <w:tcPr>
            <w:tcW w:w="9242" w:type="dxa"/>
            <w:shd w:val="clear" w:color="auto" w:fill="auto"/>
          </w:tcPr>
          <w:p w14:paraId="179EE3C4" w14:textId="77777777" w:rsidR="0071415F" w:rsidRPr="000D2E4D" w:rsidRDefault="0071415F" w:rsidP="0071415F">
            <w:pPr>
              <w:bidi w:val="0"/>
              <w:spacing w:after="0" w:line="240" w:lineRule="auto"/>
              <w:jc w:val="both"/>
              <w:rPr>
                <w:rFonts w:ascii="Times New Roman" w:hAnsi="Times New Roman" w:cs="Times New Roman"/>
                <w:sz w:val="24"/>
                <w:szCs w:val="24"/>
                <w:rtl/>
                <w:lang w:val="it-IT"/>
              </w:rPr>
            </w:pPr>
            <w:r>
              <w:rPr>
                <w:rFonts w:ascii="Times New Roman" w:hAnsi="Times New Roman" w:cs="Times New Roman"/>
                <w:noProof/>
                <w:sz w:val="24"/>
                <w:szCs w:val="24"/>
              </w:rPr>
              <w:drawing>
                <wp:inline distT="0" distB="0" distL="0" distR="0" wp14:anchorId="7289AFFF" wp14:editId="2731AF2B">
                  <wp:extent cx="5553075" cy="2115185"/>
                  <wp:effectExtent l="0" t="0" r="0" b="0"/>
                  <wp:docPr id="245"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tc>
      </w:tr>
    </w:tbl>
    <w:p w14:paraId="6EEE4452" w14:textId="77777777" w:rsidR="0071415F" w:rsidRPr="00B15ACB" w:rsidRDefault="0071415F" w:rsidP="00BD6E0B">
      <w:pPr>
        <w:autoSpaceDE w:val="0"/>
        <w:autoSpaceDN w:val="0"/>
        <w:bidi w:val="0"/>
        <w:adjustRightInd w:val="0"/>
        <w:spacing w:after="0" w:line="240" w:lineRule="auto"/>
        <w:ind w:left="720" w:hanging="720"/>
        <w:jc w:val="both"/>
        <w:rPr>
          <w:rFonts w:ascii="Arial" w:hAnsi="Arial"/>
          <w:sz w:val="18"/>
          <w:szCs w:val="18"/>
        </w:rPr>
      </w:pPr>
      <w:r w:rsidRPr="00900087">
        <w:rPr>
          <w:rFonts w:ascii="Arial" w:hAnsi="Arial"/>
          <w:b/>
          <w:bCs/>
          <w:sz w:val="18"/>
          <w:szCs w:val="18"/>
        </w:rPr>
        <w:t>Source</w:t>
      </w:r>
      <w:r w:rsidRPr="00B15ACB">
        <w:rPr>
          <w:rFonts w:ascii="Arial" w:hAnsi="Arial"/>
          <w:b/>
          <w:bCs/>
          <w:sz w:val="18"/>
          <w:szCs w:val="18"/>
        </w:rPr>
        <w:t>: Palestinian Central Bureau of Statistics</w:t>
      </w:r>
      <w:r w:rsidRPr="00B15ACB">
        <w:rPr>
          <w:rFonts w:ascii="Arial" w:hAnsi="Arial"/>
          <w:sz w:val="18"/>
          <w:szCs w:val="18"/>
        </w:rPr>
        <w:t xml:space="preserve">, Rule of Law and Access to Justice Survey </w:t>
      </w:r>
      <w:r w:rsidR="00BD6E0B" w:rsidRPr="00B15ACB">
        <w:rPr>
          <w:rFonts w:ascii="Arial" w:hAnsi="Arial"/>
          <w:sz w:val="18"/>
          <w:szCs w:val="18"/>
        </w:rPr>
        <w:t>Database</w:t>
      </w:r>
      <w:r w:rsidR="00BD6E0B">
        <w:rPr>
          <w:rFonts w:ascii="Arial" w:hAnsi="Arial"/>
          <w:sz w:val="18"/>
          <w:szCs w:val="18"/>
        </w:rPr>
        <w:t>,</w:t>
      </w:r>
      <w:r w:rsidRPr="00B15ACB">
        <w:rPr>
          <w:rFonts w:ascii="Arial" w:hAnsi="Arial"/>
          <w:sz w:val="18"/>
          <w:szCs w:val="18"/>
        </w:rPr>
        <w:t>2018</w:t>
      </w:r>
      <w:r w:rsidR="00BD6E0B">
        <w:rPr>
          <w:rFonts w:ascii="Arial" w:hAnsi="Arial"/>
          <w:sz w:val="18"/>
          <w:szCs w:val="18"/>
        </w:rPr>
        <w:t xml:space="preserve"> and</w:t>
      </w:r>
      <w:r>
        <w:rPr>
          <w:rFonts w:ascii="Arial" w:hAnsi="Arial"/>
          <w:sz w:val="18"/>
          <w:szCs w:val="18"/>
        </w:rPr>
        <w:t xml:space="preserve"> 2021</w:t>
      </w:r>
      <w:r w:rsidR="00455D32">
        <w:rPr>
          <w:rFonts w:ascii="Arial" w:hAnsi="Arial"/>
          <w:sz w:val="18"/>
          <w:szCs w:val="18"/>
        </w:rPr>
        <w:t xml:space="preserve">. </w:t>
      </w:r>
      <w:r w:rsidRPr="00B15ACB">
        <w:rPr>
          <w:rFonts w:ascii="Arial" w:hAnsi="Arial"/>
          <w:sz w:val="18"/>
          <w:szCs w:val="18"/>
        </w:rPr>
        <w:t>Ramallah - Palestine</w:t>
      </w:r>
      <w:r w:rsidRPr="00B15ACB">
        <w:rPr>
          <w:rFonts w:ascii="Arial" w:hAnsi="Arial"/>
          <w:sz w:val="18"/>
          <w:szCs w:val="18"/>
          <w:rtl/>
        </w:rPr>
        <w:t>.</w:t>
      </w:r>
    </w:p>
    <w:p w14:paraId="45BFE5CA"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6DDF54B7"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16.5.</w:t>
      </w:r>
      <w:r>
        <w:rPr>
          <w:rFonts w:ascii="Times New Roman" w:hAnsi="Times New Roman" w:cs="Times New Roman"/>
          <w:b/>
          <w:bCs/>
          <w:i/>
          <w:iCs/>
          <w:sz w:val="24"/>
          <w:szCs w:val="24"/>
        </w:rPr>
        <w:t>2</w:t>
      </w:r>
      <w:r w:rsidRPr="0096467C">
        <w:rPr>
          <w:rFonts w:ascii="Times New Roman" w:hAnsi="Times New Roman" w:cs="Times New Roman"/>
          <w:b/>
          <w:bCs/>
          <w:i/>
          <w:iCs/>
          <w:sz w:val="24"/>
          <w:szCs w:val="24"/>
        </w:rPr>
        <w:t>Proportion of businesses that had at least one contact with a public official and that paid a bribe to a public official, or were asked for a bribe by those public officials during the previous 12 months</w:t>
      </w:r>
    </w:p>
    <w:p w14:paraId="2BC1E49F"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486C7038" w14:textId="77777777" w:rsidR="005374D2" w:rsidRDefault="0071415F" w:rsidP="006E49BE">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In </w:t>
      </w:r>
      <w:r>
        <w:rPr>
          <w:rFonts w:ascii="Times New Roman" w:hAnsi="Times New Roman" w:cs="Times New Roman"/>
          <w:sz w:val="24"/>
          <w:szCs w:val="24"/>
        </w:rPr>
        <w:t>2019</w:t>
      </w:r>
      <w:r w:rsidR="00440496">
        <w:rPr>
          <w:rFonts w:ascii="Times New Roman" w:hAnsi="Times New Roman" w:cs="Times New Roman"/>
          <w:sz w:val="24"/>
          <w:szCs w:val="24"/>
        </w:rPr>
        <w:t>,</w:t>
      </w:r>
      <w:r w:rsidRPr="00B15ACB">
        <w:rPr>
          <w:rFonts w:ascii="Times New Roman" w:hAnsi="Times New Roman" w:cs="Times New Roman"/>
          <w:sz w:val="24"/>
          <w:szCs w:val="24"/>
        </w:rPr>
        <w:t xml:space="preserve"> about </w:t>
      </w:r>
      <w:r>
        <w:rPr>
          <w:rFonts w:ascii="Times New Roman" w:hAnsi="Times New Roman" w:cs="Times New Roman"/>
          <w:sz w:val="24"/>
          <w:szCs w:val="24"/>
        </w:rPr>
        <w:t>0.4</w:t>
      </w:r>
      <w:r w:rsidRPr="00B15ACB">
        <w:rPr>
          <w:rFonts w:ascii="Times New Roman" w:hAnsi="Times New Roman" w:cs="Times New Roman"/>
          <w:sz w:val="24"/>
          <w:szCs w:val="24"/>
        </w:rPr>
        <w:t xml:space="preserve">% of </w:t>
      </w:r>
      <w:r w:rsidRPr="00782CB3">
        <w:rPr>
          <w:rFonts w:ascii="Times New Roman" w:hAnsi="Times New Roman" w:cs="Times New Roman"/>
          <w:sz w:val="24"/>
          <w:szCs w:val="24"/>
        </w:rPr>
        <w:t xml:space="preserve">businesses </w:t>
      </w:r>
      <w:r>
        <w:rPr>
          <w:rFonts w:ascii="Times New Roman" w:hAnsi="Times New Roman" w:cs="Times New Roman"/>
          <w:sz w:val="24"/>
          <w:szCs w:val="24"/>
        </w:rPr>
        <w:t>who</w:t>
      </w:r>
      <w:r w:rsidRPr="00782CB3">
        <w:rPr>
          <w:rFonts w:ascii="Times New Roman" w:hAnsi="Times New Roman" w:cs="Times New Roman"/>
          <w:sz w:val="24"/>
          <w:szCs w:val="24"/>
        </w:rPr>
        <w:t xml:space="preserve"> had, at least one contact with a public official paid a bribe to a public official, or were asked for a bribe by those public officials</w:t>
      </w:r>
      <w:r w:rsidR="00440496">
        <w:rPr>
          <w:rFonts w:ascii="Times New Roman" w:hAnsi="Times New Roman" w:cs="Times New Roman"/>
          <w:sz w:val="24"/>
          <w:szCs w:val="24"/>
        </w:rPr>
        <w:t>.</w:t>
      </w:r>
      <w:r w:rsidR="003C23F5">
        <w:rPr>
          <w:rStyle w:val="FootnoteReference"/>
          <w:rFonts w:ascii="Times New Roman" w:hAnsi="Times New Roman" w:cs="Times New Roman"/>
          <w:sz w:val="24"/>
          <w:szCs w:val="24"/>
        </w:rPr>
        <w:footnoteReference w:id="18"/>
      </w:r>
    </w:p>
    <w:p w14:paraId="0319E0A0" w14:textId="77777777"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12CB0A28" w14:textId="77777777"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12516492"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578BFCD2" w14:textId="77777777" w:rsidR="0071415F" w:rsidRPr="00B10C76"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Indicator 16.6.</w:t>
      </w:r>
      <w:r>
        <w:rPr>
          <w:rFonts w:ascii="Times New Roman" w:hAnsi="Times New Roman" w:cs="Times New Roman"/>
          <w:b/>
          <w:bCs/>
          <w:i/>
          <w:iCs/>
          <w:sz w:val="24"/>
          <w:szCs w:val="24"/>
        </w:rPr>
        <w:t xml:space="preserve">1 </w:t>
      </w:r>
      <w:r w:rsidRPr="0096467C">
        <w:rPr>
          <w:rFonts w:ascii="Times New Roman" w:hAnsi="Times New Roman" w:cs="Times New Roman"/>
          <w:b/>
          <w:bCs/>
          <w:i/>
          <w:iCs/>
          <w:sz w:val="24"/>
          <w:szCs w:val="24"/>
        </w:rPr>
        <w:t xml:space="preserve">Primary government expenditures as a proportion of original approved budget, by sector (or by budget </w:t>
      </w:r>
      <w:r w:rsidRPr="00B10C76">
        <w:rPr>
          <w:rFonts w:ascii="Times New Roman" w:hAnsi="Times New Roman" w:cs="Times New Roman"/>
          <w:b/>
          <w:bCs/>
          <w:i/>
          <w:iCs/>
          <w:sz w:val="24"/>
          <w:szCs w:val="24"/>
        </w:rPr>
        <w:t>codes or similar)</w:t>
      </w:r>
    </w:p>
    <w:p w14:paraId="306EDE94" w14:textId="77777777" w:rsidR="00344EA7" w:rsidRPr="00B10C76"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285DA8E3" w14:textId="77777777" w:rsidR="0071415F" w:rsidRPr="00B10C76" w:rsidRDefault="0071415F" w:rsidP="00DA6EF8">
      <w:pPr>
        <w:autoSpaceDE w:val="0"/>
        <w:autoSpaceDN w:val="0"/>
        <w:bidi w:val="0"/>
        <w:adjustRightInd w:val="0"/>
        <w:spacing w:after="0" w:line="240" w:lineRule="auto"/>
        <w:jc w:val="both"/>
        <w:rPr>
          <w:rFonts w:ascii="Times New Roman" w:hAnsi="Times New Roman" w:cs="Times New Roman"/>
          <w:sz w:val="24"/>
          <w:szCs w:val="24"/>
        </w:rPr>
      </w:pPr>
      <w:r w:rsidRPr="00B10C76">
        <w:rPr>
          <w:rFonts w:ascii="Times New Roman" w:hAnsi="Times New Roman" w:cs="Times New Roman"/>
          <w:sz w:val="24"/>
          <w:szCs w:val="24"/>
        </w:rPr>
        <w:t xml:space="preserve">The percentage of </w:t>
      </w:r>
      <w:r w:rsidR="00440496" w:rsidRPr="00B10C76">
        <w:rPr>
          <w:rFonts w:ascii="Times New Roman" w:hAnsi="Times New Roman" w:cs="Times New Roman"/>
          <w:sz w:val="24"/>
          <w:szCs w:val="24"/>
        </w:rPr>
        <w:t>p</w:t>
      </w:r>
      <w:r w:rsidRPr="00B10C76">
        <w:rPr>
          <w:rFonts w:ascii="Times New Roman" w:hAnsi="Times New Roman" w:cs="Times New Roman"/>
          <w:sz w:val="24"/>
          <w:szCs w:val="24"/>
        </w:rPr>
        <w:t xml:space="preserve">rimary government expenditures by original approved budget </w:t>
      </w:r>
      <w:r w:rsidR="00137121" w:rsidRPr="00B10C76">
        <w:rPr>
          <w:rFonts w:ascii="Times New Roman" w:hAnsi="Times New Roman" w:cs="Times New Roman"/>
          <w:sz w:val="24"/>
          <w:szCs w:val="24"/>
        </w:rPr>
        <w:t xml:space="preserve">increased </w:t>
      </w:r>
      <w:r w:rsidRPr="00B10C76">
        <w:rPr>
          <w:rFonts w:ascii="Times New Roman" w:hAnsi="Times New Roman" w:cs="Times New Roman"/>
          <w:sz w:val="24"/>
          <w:szCs w:val="24"/>
        </w:rPr>
        <w:t xml:space="preserve">in </w:t>
      </w:r>
      <w:r w:rsidR="00DA6EF8" w:rsidRPr="00B10C76">
        <w:rPr>
          <w:rFonts w:ascii="Times New Roman" w:hAnsi="Times New Roman" w:cs="Times New Roman"/>
          <w:sz w:val="24"/>
          <w:szCs w:val="24"/>
        </w:rPr>
        <w:t>2022</w:t>
      </w:r>
      <w:r w:rsidRPr="00B10C76">
        <w:rPr>
          <w:rFonts w:ascii="Times New Roman" w:hAnsi="Times New Roman" w:cs="Times New Roman"/>
          <w:sz w:val="24"/>
          <w:szCs w:val="24"/>
        </w:rPr>
        <w:t xml:space="preserve">, where it reached </w:t>
      </w:r>
      <w:r w:rsidR="00DA6EF8" w:rsidRPr="00B10C76">
        <w:rPr>
          <w:rFonts w:ascii="Times New Roman" w:hAnsi="Times New Roman" w:cs="Times New Roman"/>
          <w:sz w:val="24"/>
          <w:szCs w:val="24"/>
        </w:rPr>
        <w:t>30.2</w:t>
      </w:r>
      <w:r w:rsidRPr="00B10C76">
        <w:rPr>
          <w:rFonts w:ascii="Times New Roman" w:hAnsi="Times New Roman" w:cs="Times New Roman"/>
          <w:sz w:val="24"/>
          <w:szCs w:val="24"/>
        </w:rPr>
        <w:t xml:space="preserve">% </w:t>
      </w:r>
      <w:r w:rsidR="00137121" w:rsidRPr="00B10C76">
        <w:rPr>
          <w:rFonts w:ascii="Times New Roman" w:hAnsi="Times New Roman" w:cs="Times New Roman"/>
          <w:sz w:val="24"/>
          <w:szCs w:val="24"/>
        </w:rPr>
        <w:t>compared</w:t>
      </w:r>
      <w:r w:rsidR="00DA6EF8" w:rsidRPr="00B10C76">
        <w:rPr>
          <w:rFonts w:ascii="Times New Roman" w:hAnsi="Times New Roman" w:cs="Times New Roman"/>
          <w:sz w:val="24"/>
          <w:szCs w:val="24"/>
        </w:rPr>
        <w:t xml:space="preserve"> </w:t>
      </w:r>
      <w:r w:rsidR="00137121" w:rsidRPr="00B10C76">
        <w:rPr>
          <w:rFonts w:ascii="Times New Roman" w:hAnsi="Times New Roman" w:cs="Times New Roman"/>
          <w:sz w:val="24"/>
          <w:szCs w:val="24"/>
        </w:rPr>
        <w:t xml:space="preserve">to </w:t>
      </w:r>
      <w:r w:rsidR="00DA6EF8" w:rsidRPr="00B10C76">
        <w:rPr>
          <w:rFonts w:ascii="Times New Roman" w:hAnsi="Times New Roman" w:cs="Times New Roman"/>
          <w:sz w:val="24"/>
          <w:szCs w:val="24"/>
        </w:rPr>
        <w:t>2021</w:t>
      </w:r>
      <w:r w:rsidRPr="00B10C76">
        <w:rPr>
          <w:rFonts w:ascii="Times New Roman" w:hAnsi="Times New Roman" w:cs="Times New Roman"/>
          <w:sz w:val="24"/>
          <w:szCs w:val="24"/>
        </w:rPr>
        <w:t xml:space="preserve"> reco</w:t>
      </w:r>
      <w:r w:rsidR="00440496" w:rsidRPr="00B10C76">
        <w:rPr>
          <w:rFonts w:ascii="Times New Roman" w:hAnsi="Times New Roman" w:cs="Times New Roman"/>
          <w:sz w:val="24"/>
          <w:szCs w:val="24"/>
        </w:rPr>
        <w:t>r</w:t>
      </w:r>
      <w:r w:rsidRPr="00B10C76">
        <w:rPr>
          <w:rFonts w:ascii="Times New Roman" w:hAnsi="Times New Roman" w:cs="Times New Roman"/>
          <w:sz w:val="24"/>
          <w:szCs w:val="24"/>
        </w:rPr>
        <w:t xml:space="preserve">ding </w:t>
      </w:r>
      <w:r w:rsidR="00DA6EF8" w:rsidRPr="00B10C76">
        <w:rPr>
          <w:rFonts w:ascii="Times New Roman" w:hAnsi="Times New Roman" w:cs="Times New Roman"/>
          <w:sz w:val="24"/>
          <w:szCs w:val="24"/>
        </w:rPr>
        <w:t>29.1</w:t>
      </w:r>
      <w:r w:rsidRPr="00B10C76">
        <w:rPr>
          <w:rFonts w:ascii="Times New Roman" w:hAnsi="Times New Roman" w:cs="Times New Roman"/>
          <w:sz w:val="24"/>
          <w:szCs w:val="24"/>
        </w:rPr>
        <w:t xml:space="preserve">%. </w:t>
      </w:r>
    </w:p>
    <w:p w14:paraId="2C24CD21" w14:textId="77777777" w:rsidR="007F4CA4" w:rsidRPr="00B10C76" w:rsidRDefault="007F4CA4" w:rsidP="0099194A">
      <w:pPr>
        <w:tabs>
          <w:tab w:val="left" w:pos="9072"/>
        </w:tabs>
        <w:bidi w:val="0"/>
        <w:spacing w:after="0" w:line="240" w:lineRule="auto"/>
        <w:jc w:val="center"/>
        <w:rPr>
          <w:rFonts w:ascii="Arial" w:hAnsi="Arial"/>
          <w:b/>
          <w:bCs/>
        </w:rPr>
      </w:pPr>
    </w:p>
    <w:p w14:paraId="1ADE3B77" w14:textId="77777777" w:rsidR="0071415F" w:rsidRPr="00B10C76" w:rsidRDefault="0071415F" w:rsidP="00DA6EF8">
      <w:pPr>
        <w:tabs>
          <w:tab w:val="left" w:pos="9072"/>
        </w:tabs>
        <w:bidi w:val="0"/>
        <w:spacing w:after="0" w:line="240" w:lineRule="auto"/>
        <w:jc w:val="center"/>
        <w:rPr>
          <w:rFonts w:ascii="Arial" w:hAnsi="Arial"/>
          <w:b/>
          <w:bCs/>
        </w:rPr>
      </w:pPr>
      <w:r w:rsidRPr="00B10C76">
        <w:rPr>
          <w:rFonts w:ascii="Arial" w:hAnsi="Arial"/>
          <w:b/>
          <w:bCs/>
        </w:rPr>
        <w:t xml:space="preserve">Percentage of Primary </w:t>
      </w:r>
      <w:r w:rsidR="00440496" w:rsidRPr="00B10C76">
        <w:rPr>
          <w:rFonts w:ascii="Arial" w:hAnsi="Arial"/>
          <w:b/>
          <w:bCs/>
        </w:rPr>
        <w:t>G</w:t>
      </w:r>
      <w:r w:rsidRPr="00B10C76">
        <w:rPr>
          <w:rFonts w:ascii="Arial" w:hAnsi="Arial"/>
          <w:b/>
          <w:bCs/>
        </w:rPr>
        <w:t xml:space="preserve">overnment </w:t>
      </w:r>
      <w:r w:rsidR="00440496" w:rsidRPr="00B10C76">
        <w:rPr>
          <w:rFonts w:ascii="Arial" w:hAnsi="Arial"/>
          <w:b/>
          <w:bCs/>
        </w:rPr>
        <w:t>E</w:t>
      </w:r>
      <w:r w:rsidRPr="00B10C76">
        <w:rPr>
          <w:rFonts w:ascii="Arial" w:hAnsi="Arial"/>
          <w:b/>
          <w:bCs/>
        </w:rPr>
        <w:t>xpenditures by</w:t>
      </w:r>
      <w:r w:rsidR="00440496" w:rsidRPr="00B10C76">
        <w:rPr>
          <w:rFonts w:ascii="Arial" w:hAnsi="Arial"/>
          <w:b/>
          <w:bCs/>
        </w:rPr>
        <w:t>O</w:t>
      </w:r>
      <w:r w:rsidRPr="00B10C76">
        <w:rPr>
          <w:rFonts w:ascii="Arial" w:hAnsi="Arial"/>
          <w:b/>
          <w:bCs/>
        </w:rPr>
        <w:t xml:space="preserve">riginal </w:t>
      </w:r>
      <w:r w:rsidR="00440496" w:rsidRPr="00B10C76">
        <w:rPr>
          <w:rFonts w:ascii="Arial" w:hAnsi="Arial"/>
          <w:b/>
          <w:bCs/>
        </w:rPr>
        <w:t>A</w:t>
      </w:r>
      <w:r w:rsidRPr="00B10C76">
        <w:rPr>
          <w:rFonts w:ascii="Arial" w:hAnsi="Arial"/>
          <w:b/>
          <w:bCs/>
        </w:rPr>
        <w:t xml:space="preserve">pproved </w:t>
      </w:r>
      <w:r w:rsidR="00440496" w:rsidRPr="00B10C76">
        <w:rPr>
          <w:rFonts w:ascii="Arial" w:hAnsi="Arial"/>
          <w:b/>
          <w:bCs/>
        </w:rPr>
        <w:t>B</w:t>
      </w:r>
      <w:r w:rsidRPr="00B10C76">
        <w:rPr>
          <w:rFonts w:ascii="Arial" w:hAnsi="Arial"/>
          <w:b/>
          <w:bCs/>
        </w:rPr>
        <w:t xml:space="preserve">udget, </w:t>
      </w:r>
      <w:r w:rsidR="0099194A" w:rsidRPr="00B10C76">
        <w:rPr>
          <w:rFonts w:ascii="Arial" w:hAnsi="Arial"/>
          <w:b/>
          <w:bCs/>
          <w:rtl/>
        </w:rPr>
        <w:t>2015</w:t>
      </w:r>
      <w:r w:rsidRPr="00B10C76">
        <w:rPr>
          <w:rFonts w:ascii="Arial" w:hAnsi="Arial"/>
          <w:b/>
          <w:bCs/>
        </w:rPr>
        <w:t>-</w:t>
      </w:r>
      <w:r w:rsidR="00137121" w:rsidRPr="00B10C76">
        <w:rPr>
          <w:rFonts w:ascii="Arial" w:hAnsi="Arial"/>
          <w:b/>
          <w:bCs/>
        </w:rPr>
        <w:t>202</w:t>
      </w:r>
      <w:r w:rsidR="00DA6EF8" w:rsidRPr="00B10C76">
        <w:rPr>
          <w:rFonts w:ascii="Arial" w:hAnsi="Arial"/>
          <w:b/>
          <w:bCs/>
        </w:rPr>
        <w:t>2</w:t>
      </w:r>
      <w:r w:rsidR="00137121" w:rsidRPr="00B10C76">
        <w:rPr>
          <w:rFonts w:ascii="Arial" w:hAnsi="Arial"/>
          <w:b/>
          <w:bCs/>
        </w:rPr>
        <w:t xml:space="preserve"> </w:t>
      </w:r>
      <w:r w:rsidRPr="00B10C76">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B10C76" w14:paraId="2CF366FF" w14:textId="77777777" w:rsidTr="0071415F">
        <w:trPr>
          <w:trHeight w:val="3745"/>
        </w:trPr>
        <w:tc>
          <w:tcPr>
            <w:tcW w:w="9286" w:type="dxa"/>
            <w:shd w:val="clear" w:color="auto" w:fill="auto"/>
          </w:tcPr>
          <w:p w14:paraId="5A9BFADA" w14:textId="77777777" w:rsidR="0071415F" w:rsidRPr="00B10C76" w:rsidRDefault="0071415F" w:rsidP="0071415F">
            <w:pPr>
              <w:tabs>
                <w:tab w:val="left" w:pos="9072"/>
              </w:tabs>
              <w:bidi w:val="0"/>
              <w:spacing w:after="0" w:line="240" w:lineRule="auto"/>
              <w:jc w:val="center"/>
              <w:rPr>
                <w:rFonts w:ascii="Arial" w:hAnsi="Arial"/>
                <w:b/>
                <w:bCs/>
                <w:lang w:val="it-IT"/>
              </w:rPr>
            </w:pPr>
            <w:r w:rsidRPr="00B10C76">
              <w:rPr>
                <w:rFonts w:ascii="Times New Roman" w:hAnsi="Times New Roman" w:cs="Times New Roman"/>
                <w:b/>
                <w:bCs/>
                <w:noProof/>
                <w:sz w:val="24"/>
                <w:szCs w:val="24"/>
              </w:rPr>
              <w:drawing>
                <wp:inline distT="0" distB="0" distL="0" distR="0" wp14:anchorId="3819BCE5" wp14:editId="4E70607A">
                  <wp:extent cx="5780405" cy="2313940"/>
                  <wp:effectExtent l="0" t="0" r="0" b="0"/>
                  <wp:docPr id="246"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tc>
      </w:tr>
    </w:tbl>
    <w:p w14:paraId="10C30A66" w14:textId="77777777" w:rsidR="0071415F" w:rsidRPr="00B10C76" w:rsidRDefault="0071415F" w:rsidP="00DA6EF8">
      <w:pPr>
        <w:bidi w:val="0"/>
        <w:spacing w:after="0" w:line="240" w:lineRule="auto"/>
        <w:jc w:val="both"/>
        <w:rPr>
          <w:rFonts w:ascii="Arial" w:hAnsi="Arial"/>
          <w:sz w:val="18"/>
          <w:szCs w:val="18"/>
          <w:lang w:val="en-GB"/>
        </w:rPr>
      </w:pPr>
      <w:r w:rsidRPr="00B10C76">
        <w:rPr>
          <w:rFonts w:ascii="Arial" w:hAnsi="Arial"/>
          <w:b/>
          <w:bCs/>
          <w:sz w:val="18"/>
          <w:szCs w:val="18"/>
        </w:rPr>
        <w:t>Source: Ministry of Finance and Planning</w:t>
      </w:r>
      <w:r w:rsidRPr="00B10C76">
        <w:rPr>
          <w:rFonts w:ascii="Arial" w:hAnsi="Arial"/>
          <w:b/>
          <w:bCs/>
          <w:sz w:val="18"/>
          <w:szCs w:val="18"/>
          <w:lang w:val="en-GB"/>
        </w:rPr>
        <w:t>,</w:t>
      </w:r>
      <w:r w:rsidR="0099194A" w:rsidRPr="00B10C76">
        <w:rPr>
          <w:rFonts w:ascii="Arial" w:hAnsi="Arial" w:hint="cs"/>
          <w:sz w:val="18"/>
          <w:szCs w:val="18"/>
          <w:rtl/>
          <w:lang w:val="en-GB"/>
        </w:rPr>
        <w:t>2015</w:t>
      </w:r>
      <w:r w:rsidRPr="00B10C76">
        <w:rPr>
          <w:rFonts w:ascii="Arial" w:hAnsi="Arial"/>
          <w:sz w:val="18"/>
          <w:szCs w:val="18"/>
          <w:lang w:val="en-GB"/>
        </w:rPr>
        <w:t>-</w:t>
      </w:r>
      <w:r w:rsidR="00137121" w:rsidRPr="00B10C76">
        <w:rPr>
          <w:rFonts w:ascii="Arial" w:hAnsi="Arial"/>
          <w:sz w:val="18"/>
          <w:szCs w:val="18"/>
          <w:lang w:val="en-GB"/>
        </w:rPr>
        <w:t>20</w:t>
      </w:r>
      <w:r w:rsidR="00DA6EF8" w:rsidRPr="00B10C76">
        <w:rPr>
          <w:rFonts w:ascii="Arial" w:hAnsi="Arial"/>
          <w:sz w:val="18"/>
          <w:szCs w:val="18"/>
          <w:lang w:val="en-GB"/>
        </w:rPr>
        <w:t>22</w:t>
      </w:r>
      <w:r w:rsidRPr="00B10C76">
        <w:rPr>
          <w:rFonts w:ascii="Arial" w:hAnsi="Arial"/>
          <w:sz w:val="18"/>
          <w:szCs w:val="18"/>
          <w:lang w:val="en-GB"/>
        </w:rPr>
        <w:t>. Ramallah-Palestine</w:t>
      </w:r>
    </w:p>
    <w:p w14:paraId="2572A2A7" w14:textId="77777777" w:rsidR="00344EA7" w:rsidRPr="00B10C76" w:rsidRDefault="00344EA7"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39D6B1F7" w14:textId="77777777" w:rsidR="0071415F" w:rsidRDefault="0071415F" w:rsidP="00344EA7">
      <w:pPr>
        <w:autoSpaceDE w:val="0"/>
        <w:autoSpaceDN w:val="0"/>
        <w:bidi w:val="0"/>
        <w:adjustRightInd w:val="0"/>
        <w:spacing w:after="0" w:line="240" w:lineRule="auto"/>
        <w:jc w:val="both"/>
        <w:rPr>
          <w:rFonts w:ascii="Times New Roman" w:hAnsi="Times New Roman" w:cs="Times New Roman"/>
          <w:b/>
          <w:bCs/>
          <w:i/>
          <w:iCs/>
          <w:sz w:val="24"/>
          <w:szCs w:val="24"/>
        </w:rPr>
      </w:pPr>
      <w:r w:rsidRPr="00B10C76">
        <w:rPr>
          <w:rFonts w:ascii="Times New Roman" w:hAnsi="Times New Roman" w:cs="Times New Roman"/>
          <w:b/>
          <w:bCs/>
          <w:i/>
          <w:iCs/>
          <w:sz w:val="24"/>
          <w:szCs w:val="24"/>
        </w:rPr>
        <w:t>Indicator 16.6.2Proportion of population satisfied with</w:t>
      </w:r>
      <w:r w:rsidRPr="00B15ACB">
        <w:rPr>
          <w:rFonts w:ascii="Times New Roman" w:hAnsi="Times New Roman" w:cs="Times New Roman"/>
          <w:b/>
          <w:bCs/>
          <w:i/>
          <w:iCs/>
          <w:sz w:val="24"/>
          <w:szCs w:val="24"/>
        </w:rPr>
        <w:t xml:space="preserve"> their last experience of public service</w:t>
      </w:r>
    </w:p>
    <w:p w14:paraId="7C762DA3"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5CC1CF68" w14:textId="77777777" w:rsidR="0071415F" w:rsidRPr="00B15ACB" w:rsidRDefault="00A02684" w:rsidP="00A02684">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About </w:t>
      </w:r>
      <w:r w:rsidR="0071415F">
        <w:rPr>
          <w:rFonts w:ascii="Times New Roman" w:hAnsi="Times New Roman" w:cs="Times New Roman"/>
          <w:sz w:val="24"/>
          <w:szCs w:val="24"/>
        </w:rPr>
        <w:t>92.4</w:t>
      </w:r>
      <w:r w:rsidR="0071415F" w:rsidRPr="00B15ACB">
        <w:rPr>
          <w:rFonts w:ascii="Times New Roman" w:hAnsi="Times New Roman" w:cs="Times New Roman"/>
          <w:sz w:val="24"/>
          <w:szCs w:val="24"/>
        </w:rPr>
        <w:t>% of persons (18 and above) are satisfied with their last experience in receiving administrative services from Ministry of Interior</w:t>
      </w:r>
      <w:r w:rsidR="0071415F">
        <w:rPr>
          <w:rFonts w:ascii="Times New Roman" w:hAnsi="Times New Roman" w:cs="Times New Roman"/>
          <w:sz w:val="24"/>
          <w:szCs w:val="24"/>
        </w:rPr>
        <w:t xml:space="preserve"> and </w:t>
      </w:r>
      <w:r w:rsidR="0071415F" w:rsidRPr="00B15ACB">
        <w:rPr>
          <w:rFonts w:ascii="Times New Roman" w:hAnsi="Times New Roman" w:cs="Times New Roman"/>
          <w:sz w:val="24"/>
          <w:szCs w:val="24"/>
        </w:rPr>
        <w:t>health care services, followed by the service of</w:t>
      </w:r>
      <w:r w:rsidR="0071415F">
        <w:rPr>
          <w:rFonts w:ascii="Times New Roman" w:hAnsi="Times New Roman" w:cs="Times New Roman"/>
          <w:sz w:val="24"/>
          <w:szCs w:val="24"/>
        </w:rPr>
        <w:t xml:space="preserve"> secondary</w:t>
      </w:r>
      <w:r w:rsidR="0071415F" w:rsidRPr="00B15ACB">
        <w:rPr>
          <w:rFonts w:ascii="Times New Roman" w:hAnsi="Times New Roman" w:cs="Times New Roman"/>
          <w:sz w:val="24"/>
          <w:szCs w:val="24"/>
        </w:rPr>
        <w:t xml:space="preserve"> education </w:t>
      </w:r>
      <w:r w:rsidR="0071415F">
        <w:rPr>
          <w:rFonts w:ascii="Times New Roman" w:hAnsi="Times New Roman" w:cs="Times New Roman"/>
          <w:sz w:val="24"/>
          <w:szCs w:val="24"/>
        </w:rPr>
        <w:t>90.6%</w:t>
      </w:r>
      <w:r w:rsidR="0071415F" w:rsidRPr="00B15ACB">
        <w:rPr>
          <w:rFonts w:ascii="Times New Roman" w:hAnsi="Times New Roman" w:cs="Times New Roman"/>
          <w:sz w:val="24"/>
          <w:szCs w:val="24"/>
        </w:rPr>
        <w:t xml:space="preserve">, while </w:t>
      </w:r>
      <w:r w:rsidR="0071415F">
        <w:rPr>
          <w:rFonts w:ascii="Times New Roman" w:hAnsi="Times New Roman" w:cs="Times New Roman"/>
          <w:sz w:val="24"/>
          <w:szCs w:val="24"/>
        </w:rPr>
        <w:t>primary</w:t>
      </w:r>
      <w:r w:rsidR="0071415F" w:rsidRPr="00B15ACB">
        <w:rPr>
          <w:rFonts w:ascii="Times New Roman" w:hAnsi="Times New Roman" w:cs="Times New Roman"/>
          <w:sz w:val="24"/>
          <w:szCs w:val="24"/>
        </w:rPr>
        <w:t xml:space="preserve"> education services had </w:t>
      </w:r>
      <w:r>
        <w:rPr>
          <w:rFonts w:ascii="Times New Roman" w:hAnsi="Times New Roman" w:cs="Times New Roman"/>
          <w:sz w:val="24"/>
          <w:szCs w:val="24"/>
        </w:rPr>
        <w:t>a</w:t>
      </w:r>
      <w:r w:rsidR="0071415F" w:rsidRPr="00B15ACB">
        <w:rPr>
          <w:rFonts w:ascii="Times New Roman" w:hAnsi="Times New Roman" w:cs="Times New Roman"/>
          <w:sz w:val="24"/>
          <w:szCs w:val="24"/>
        </w:rPr>
        <w:t xml:space="preserve"> satisfaction </w:t>
      </w:r>
      <w:r>
        <w:rPr>
          <w:rFonts w:ascii="Times New Roman" w:hAnsi="Times New Roman" w:cs="Times New Roman"/>
          <w:sz w:val="24"/>
          <w:szCs w:val="24"/>
        </w:rPr>
        <w:t xml:space="preserve">rate </w:t>
      </w:r>
      <w:r w:rsidR="0071415F" w:rsidRPr="00B15ACB">
        <w:rPr>
          <w:rFonts w:ascii="Times New Roman" w:hAnsi="Times New Roman" w:cs="Times New Roman"/>
          <w:sz w:val="24"/>
          <w:szCs w:val="24"/>
        </w:rPr>
        <w:t xml:space="preserve">of  </w:t>
      </w:r>
      <w:r w:rsidR="007B34F3">
        <w:rPr>
          <w:rFonts w:ascii="Times New Roman" w:hAnsi="Times New Roman" w:cs="Times New Roman"/>
          <w:sz w:val="24"/>
          <w:szCs w:val="24"/>
        </w:rPr>
        <w:t>89.0</w:t>
      </w:r>
      <w:r w:rsidR="0071415F">
        <w:rPr>
          <w:rFonts w:ascii="Times New Roman" w:hAnsi="Times New Roman" w:cs="Times New Roman"/>
          <w:sz w:val="24"/>
          <w:szCs w:val="24"/>
        </w:rPr>
        <w:t>%</w:t>
      </w:r>
      <w:r w:rsidR="0071415F" w:rsidRPr="00B15ACB">
        <w:rPr>
          <w:rFonts w:ascii="Times New Roman" w:hAnsi="Times New Roman" w:cs="Times New Roman"/>
          <w:sz w:val="24"/>
          <w:szCs w:val="24"/>
        </w:rPr>
        <w:t xml:space="preserve"> of individuals in Palestine.The status of all services shows better satisfaction in the West Bank in comparison </w:t>
      </w:r>
      <w:r w:rsidR="00C04287">
        <w:rPr>
          <w:rFonts w:ascii="Times New Roman" w:hAnsi="Times New Roman" w:cs="Times New Roman"/>
          <w:sz w:val="24"/>
          <w:szCs w:val="24"/>
        </w:rPr>
        <w:t>to the</w:t>
      </w:r>
      <w:r w:rsidR="0071415F" w:rsidRPr="00B15ACB">
        <w:rPr>
          <w:rFonts w:ascii="Times New Roman" w:hAnsi="Times New Roman" w:cs="Times New Roman"/>
          <w:sz w:val="24"/>
          <w:szCs w:val="24"/>
        </w:rPr>
        <w:t xml:space="preserve"> Gaza Strip.</w:t>
      </w:r>
    </w:p>
    <w:p w14:paraId="123EB91A" w14:textId="77777777" w:rsidR="0071415F" w:rsidRPr="00EC598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0B4FD8A4" w14:textId="77777777" w:rsidR="0071415F" w:rsidRPr="000D2E4D" w:rsidRDefault="0071415F" w:rsidP="0071415F">
      <w:pPr>
        <w:tabs>
          <w:tab w:val="left" w:pos="9072"/>
        </w:tabs>
        <w:bidi w:val="0"/>
        <w:spacing w:after="0" w:line="240" w:lineRule="auto"/>
        <w:jc w:val="center"/>
        <w:rPr>
          <w:rFonts w:ascii="Arial" w:hAnsi="Arial"/>
          <w:b/>
          <w:bCs/>
          <w:rtl/>
        </w:rPr>
      </w:pPr>
      <w:r w:rsidRPr="00422BE3">
        <w:rPr>
          <w:rFonts w:ascii="Arial" w:hAnsi="Arial"/>
          <w:b/>
          <w:bCs/>
        </w:rPr>
        <w:t xml:space="preserve">Percentage of Persons (18 Years and above) Satisfied With theirLast Experience of Public Services, </w:t>
      </w:r>
      <w:r>
        <w:rPr>
          <w:rFonts w:ascii="Arial" w:hAnsi="Arial"/>
          <w:b/>
          <w:bCs/>
        </w:rPr>
        <w:t>2020</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AED9D88" w14:textId="77777777" w:rsidTr="0071415F">
        <w:trPr>
          <w:trHeight w:val="3639"/>
        </w:trPr>
        <w:tc>
          <w:tcPr>
            <w:tcW w:w="9242" w:type="dxa"/>
            <w:shd w:val="clear" w:color="auto" w:fill="auto"/>
          </w:tcPr>
          <w:p w14:paraId="1136B5EA" w14:textId="77777777" w:rsidR="0071415F" w:rsidRPr="000D2E4D" w:rsidRDefault="0071415F" w:rsidP="0071415F">
            <w:pPr>
              <w:bidi w:val="0"/>
              <w:spacing w:after="0" w:line="240" w:lineRule="auto"/>
              <w:jc w:val="center"/>
              <w:rPr>
                <w:rFonts w:ascii="Times New Roman" w:hAnsi="Times New Roman" w:cs="Times New Roman"/>
                <w:b/>
                <w:bCs/>
                <w:sz w:val="24"/>
                <w:szCs w:val="24"/>
                <w:lang w:val="it-IT"/>
              </w:rPr>
            </w:pPr>
            <w:r>
              <w:rPr>
                <w:rFonts w:ascii="Times New Roman" w:hAnsi="Times New Roman" w:cs="Times New Roman"/>
                <w:b/>
                <w:bCs/>
                <w:noProof/>
                <w:sz w:val="24"/>
                <w:szCs w:val="24"/>
              </w:rPr>
              <w:drawing>
                <wp:inline distT="0" distB="0" distL="0" distR="0" wp14:anchorId="48320681" wp14:editId="42306911">
                  <wp:extent cx="5582920" cy="2258060"/>
                  <wp:effectExtent l="0" t="0" r="0" b="8890"/>
                  <wp:docPr id="247"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tc>
      </w:tr>
    </w:tbl>
    <w:p w14:paraId="08C16E35" w14:textId="77777777" w:rsidR="0071415F" w:rsidRDefault="0071415F" w:rsidP="005374D2">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Source:Palestinian Central Bureau of Statistics</w:t>
      </w:r>
      <w:r w:rsidRPr="00B15ACB">
        <w:rPr>
          <w:rFonts w:ascii="Arial" w:hAnsi="Arial"/>
          <w:sz w:val="18"/>
          <w:szCs w:val="18"/>
        </w:rPr>
        <w:t xml:space="preserve">,Socio-Economic Conditions Survey, </w:t>
      </w:r>
      <w:r>
        <w:rPr>
          <w:rFonts w:ascii="Arial" w:hAnsi="Arial"/>
          <w:sz w:val="18"/>
          <w:szCs w:val="18"/>
        </w:rPr>
        <w:t>2020</w:t>
      </w:r>
      <w:r w:rsidRPr="00B15ACB">
        <w:rPr>
          <w:rFonts w:ascii="Arial" w:hAnsi="Arial"/>
          <w:sz w:val="18"/>
          <w:szCs w:val="18"/>
        </w:rPr>
        <w:t>. Ramallah - Palestine</w:t>
      </w:r>
      <w:r w:rsidRPr="00B15ACB">
        <w:rPr>
          <w:rFonts w:ascii="Arial" w:hAnsi="Arial"/>
          <w:sz w:val="18"/>
          <w:szCs w:val="18"/>
          <w:rtl/>
        </w:rPr>
        <w:t>.</w:t>
      </w:r>
    </w:p>
    <w:p w14:paraId="7FADAE35" w14:textId="77777777" w:rsidR="00C04287" w:rsidRDefault="00C04287" w:rsidP="00C04287">
      <w:pPr>
        <w:autoSpaceDE w:val="0"/>
        <w:autoSpaceDN w:val="0"/>
        <w:bidi w:val="0"/>
        <w:adjustRightInd w:val="0"/>
        <w:spacing w:after="0" w:line="240" w:lineRule="auto"/>
        <w:ind w:left="720" w:hanging="720"/>
        <w:jc w:val="both"/>
        <w:rPr>
          <w:rFonts w:ascii="Arial" w:hAnsi="Arial"/>
          <w:sz w:val="18"/>
          <w:szCs w:val="18"/>
        </w:rPr>
      </w:pPr>
    </w:p>
    <w:p w14:paraId="450127FB" w14:textId="77777777" w:rsidR="00B10C76" w:rsidRPr="005374D2" w:rsidRDefault="00B10C76" w:rsidP="00B10C76">
      <w:pPr>
        <w:autoSpaceDE w:val="0"/>
        <w:autoSpaceDN w:val="0"/>
        <w:bidi w:val="0"/>
        <w:adjustRightInd w:val="0"/>
        <w:spacing w:after="0" w:line="240" w:lineRule="auto"/>
        <w:ind w:left="720" w:hanging="720"/>
        <w:jc w:val="both"/>
        <w:rPr>
          <w:rFonts w:ascii="Arial" w:hAnsi="Arial"/>
          <w:sz w:val="18"/>
          <w:szCs w:val="18"/>
        </w:rPr>
      </w:pPr>
    </w:p>
    <w:p w14:paraId="5867A46B"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Indicator 16.7.2 Proportion of population who believe decision-making is inclusive and responsive, by sex, age, disability and population group</w:t>
      </w:r>
    </w:p>
    <w:p w14:paraId="1B1B8DB7"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0B186E17" w14:textId="77777777" w:rsidR="0071415F" w:rsidRPr="00B15ACB" w:rsidRDefault="00C04287"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About </w:t>
      </w:r>
      <w:r w:rsidR="0071415F">
        <w:rPr>
          <w:rFonts w:ascii="Times New Roman" w:hAnsi="Times New Roman" w:cs="Times New Roman"/>
          <w:sz w:val="24"/>
          <w:szCs w:val="24"/>
        </w:rPr>
        <w:t>27.8</w:t>
      </w:r>
      <w:r w:rsidR="0071415F" w:rsidRPr="00B15ACB">
        <w:rPr>
          <w:rFonts w:ascii="Times New Roman" w:hAnsi="Times New Roman" w:cs="Times New Roman"/>
          <w:sz w:val="24"/>
          <w:szCs w:val="24"/>
        </w:rPr>
        <w:t xml:space="preserve">% of persons (18 years and above) in Palestine believe that the political system allows them to have an opinion on what the government is doing; this percentage </w:t>
      </w:r>
      <w:r>
        <w:rPr>
          <w:rFonts w:ascii="Times New Roman" w:hAnsi="Times New Roman" w:cs="Times New Roman"/>
          <w:sz w:val="24"/>
          <w:szCs w:val="24"/>
        </w:rPr>
        <w:t>reached</w:t>
      </w:r>
      <w:r w:rsidR="0071415F">
        <w:rPr>
          <w:rFonts w:ascii="Times New Roman" w:hAnsi="Times New Roman" w:cs="Times New Roman"/>
          <w:sz w:val="24"/>
          <w:szCs w:val="24"/>
        </w:rPr>
        <w:t>29.7</w:t>
      </w:r>
      <w:r w:rsidR="0071415F" w:rsidRPr="00B15ACB">
        <w:rPr>
          <w:rFonts w:ascii="Times New Roman" w:hAnsi="Times New Roman" w:cs="Times New Roman"/>
          <w:sz w:val="24"/>
          <w:szCs w:val="24"/>
        </w:rPr>
        <w:t>%  in the West Bank and 25.</w:t>
      </w:r>
      <w:r w:rsidR="0071415F">
        <w:rPr>
          <w:rFonts w:ascii="Times New Roman" w:hAnsi="Times New Roman" w:cs="Times New Roman"/>
          <w:sz w:val="24"/>
          <w:szCs w:val="24"/>
        </w:rPr>
        <w:t>0</w:t>
      </w:r>
      <w:r w:rsidR="0071415F" w:rsidRPr="00B15ACB">
        <w:rPr>
          <w:rFonts w:ascii="Times New Roman" w:hAnsi="Times New Roman" w:cs="Times New Roman"/>
          <w:sz w:val="24"/>
          <w:szCs w:val="24"/>
        </w:rPr>
        <w:t xml:space="preserve">% in </w:t>
      </w:r>
      <w:r>
        <w:rPr>
          <w:rFonts w:ascii="Times New Roman" w:hAnsi="Times New Roman" w:cs="Times New Roman"/>
          <w:sz w:val="24"/>
          <w:szCs w:val="24"/>
        </w:rPr>
        <w:t xml:space="preserve">the </w:t>
      </w:r>
      <w:r w:rsidR="0071415F" w:rsidRPr="00B15ACB">
        <w:rPr>
          <w:rFonts w:ascii="Times New Roman" w:hAnsi="Times New Roman" w:cs="Times New Roman"/>
          <w:sz w:val="24"/>
          <w:szCs w:val="24"/>
        </w:rPr>
        <w:t>Gaza Strip.</w:t>
      </w:r>
    </w:p>
    <w:p w14:paraId="43441C35" w14:textId="77777777" w:rsidR="0071415F" w:rsidRPr="006F291F" w:rsidRDefault="0071415F" w:rsidP="00DB7908">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For those who trust their abilities to participate in politics in the country, the percentage in Palestine for the year </w:t>
      </w:r>
      <w:r w:rsidR="00DB7908">
        <w:rPr>
          <w:rFonts w:ascii="Times New Roman" w:hAnsi="Times New Roman" w:cs="Times New Roman" w:hint="cs"/>
          <w:sz w:val="24"/>
          <w:szCs w:val="24"/>
          <w:rtl/>
        </w:rPr>
        <w:t>2021</w:t>
      </w:r>
      <w:r w:rsidR="00C04287">
        <w:rPr>
          <w:rFonts w:ascii="Times New Roman" w:hAnsi="Times New Roman" w:cs="Times New Roman"/>
          <w:sz w:val="24"/>
          <w:szCs w:val="24"/>
        </w:rPr>
        <w:t>reached</w:t>
      </w:r>
      <w:r>
        <w:rPr>
          <w:rFonts w:ascii="Times New Roman" w:hAnsi="Times New Roman" w:cs="Times New Roman"/>
          <w:sz w:val="24"/>
          <w:szCs w:val="24"/>
        </w:rPr>
        <w:t>39.2</w:t>
      </w:r>
      <w:r w:rsidRPr="00B15ACB">
        <w:rPr>
          <w:rFonts w:ascii="Times New Roman" w:hAnsi="Times New Roman" w:cs="Times New Roman"/>
          <w:sz w:val="24"/>
          <w:szCs w:val="24"/>
        </w:rPr>
        <w:t>% without significant difference</w:t>
      </w:r>
      <w:r w:rsidR="00C04287">
        <w:rPr>
          <w:rFonts w:ascii="Times New Roman" w:hAnsi="Times New Roman" w:cs="Times New Roman"/>
          <w:sz w:val="24"/>
          <w:szCs w:val="24"/>
        </w:rPr>
        <w:t>s</w:t>
      </w:r>
      <w:r w:rsidRPr="00B15ACB">
        <w:rPr>
          <w:rFonts w:ascii="Times New Roman" w:hAnsi="Times New Roman" w:cs="Times New Roman"/>
          <w:sz w:val="24"/>
          <w:szCs w:val="24"/>
        </w:rPr>
        <w:t xml:space="preserve"> between Gaza Strip and </w:t>
      </w:r>
      <w:r w:rsidRPr="006F291F">
        <w:rPr>
          <w:rFonts w:ascii="Times New Roman" w:hAnsi="Times New Roman" w:cs="Times New Roman"/>
          <w:sz w:val="24"/>
          <w:szCs w:val="24"/>
        </w:rPr>
        <w:t>the West Bank.</w:t>
      </w:r>
    </w:p>
    <w:p w14:paraId="26FAEB68"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0325B992" w14:textId="77777777" w:rsidR="0071415F" w:rsidRPr="00EE12C9" w:rsidRDefault="0071415F" w:rsidP="0071415F">
      <w:pPr>
        <w:tabs>
          <w:tab w:val="left" w:pos="9072"/>
        </w:tabs>
        <w:bidi w:val="0"/>
        <w:spacing w:after="0" w:line="240" w:lineRule="auto"/>
        <w:jc w:val="center"/>
        <w:rPr>
          <w:rFonts w:asciiTheme="minorBidi" w:hAnsiTheme="minorBidi"/>
          <w:b/>
          <w:bCs/>
          <w:rtl/>
        </w:rPr>
      </w:pPr>
      <w:r w:rsidRPr="00EE12C9">
        <w:rPr>
          <w:rFonts w:asciiTheme="minorBidi" w:hAnsiTheme="minorBidi"/>
          <w:b/>
          <w:bCs/>
        </w:rPr>
        <w:t xml:space="preserve">Proportion of </w:t>
      </w:r>
      <w:r w:rsidR="00C04287">
        <w:rPr>
          <w:rFonts w:asciiTheme="minorBidi" w:hAnsiTheme="minorBidi"/>
          <w:b/>
          <w:bCs/>
        </w:rPr>
        <w:t>P</w:t>
      </w:r>
      <w:r w:rsidRPr="00EE12C9">
        <w:rPr>
          <w:rFonts w:asciiTheme="minorBidi" w:hAnsiTheme="minorBidi"/>
          <w:b/>
          <w:bCs/>
        </w:rPr>
        <w:t xml:space="preserve">opulation (18 and above) who Believe Decision-Making is Inclusive and Responsive, </w:t>
      </w:r>
      <w:r>
        <w:rPr>
          <w:rFonts w:asciiTheme="minorBidi" w:hAnsiTheme="minorBidi"/>
          <w:b/>
          <w:bCs/>
        </w:rPr>
        <w:t>2021</w:t>
      </w:r>
      <w:r w:rsidRPr="00EE12C9">
        <w:rPr>
          <w:rFonts w:asciiTheme="minorBidi" w:hAnsiTheme="minorBidi"/>
          <w:b/>
          <w:bCs/>
        </w:rPr>
        <w:t xml:space="preserve"> (%)</w:t>
      </w:r>
    </w:p>
    <w:tbl>
      <w:tblPr>
        <w:tblStyle w:val="TableGrid"/>
        <w:bidiVisual/>
        <w:tblW w:w="0" w:type="auto"/>
        <w:tblLook w:val="04A0" w:firstRow="1" w:lastRow="0" w:firstColumn="1" w:lastColumn="0" w:noHBand="0" w:noVBand="1"/>
      </w:tblPr>
      <w:tblGrid>
        <w:gridCol w:w="9060"/>
      </w:tblGrid>
      <w:tr w:rsidR="0071415F" w:rsidRPr="00A44E81" w14:paraId="7065EF70" w14:textId="77777777" w:rsidTr="0071415F">
        <w:tc>
          <w:tcPr>
            <w:tcW w:w="9242" w:type="dxa"/>
          </w:tcPr>
          <w:p w14:paraId="594CBFC6" w14:textId="77777777" w:rsidR="0071415F" w:rsidRPr="00A44E81" w:rsidRDefault="0071415F" w:rsidP="0071415F">
            <w:pPr>
              <w:bidi w:val="0"/>
              <w:spacing w:after="0" w:line="240" w:lineRule="auto"/>
              <w:jc w:val="both"/>
              <w:rPr>
                <w:rFonts w:ascii="Times New Roman" w:hAnsi="Times New Roman" w:cs="Times New Roman"/>
                <w:color w:val="000000"/>
                <w:rtl/>
              </w:rPr>
            </w:pPr>
            <w:r w:rsidRPr="00A44E81">
              <w:rPr>
                <w:rFonts w:ascii="Times New Roman" w:hAnsi="Times New Roman" w:cs="Times New Roman"/>
                <w:noProof/>
                <w:color w:val="000000"/>
                <w:rtl/>
              </w:rPr>
              <w:drawing>
                <wp:inline distT="0" distB="0" distL="0" distR="0" wp14:anchorId="563B81B9" wp14:editId="43EC7A29">
                  <wp:extent cx="5572664" cy="2337759"/>
                  <wp:effectExtent l="0" t="0" r="0" b="0"/>
                  <wp:docPr id="248"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tc>
      </w:tr>
    </w:tbl>
    <w:p w14:paraId="119F8ABC" w14:textId="77777777" w:rsidR="0071415F" w:rsidRPr="003C23F5" w:rsidRDefault="0071415F" w:rsidP="00BD6E0B">
      <w:pPr>
        <w:bidi w:val="0"/>
        <w:spacing w:after="0" w:line="240" w:lineRule="auto"/>
        <w:ind w:left="720" w:hanging="720"/>
        <w:jc w:val="both"/>
        <w:rPr>
          <w:rFonts w:asciiTheme="minorBidi" w:hAnsiTheme="minorBidi" w:cstheme="minorBidi"/>
          <w:color w:val="000000" w:themeColor="text1"/>
          <w:sz w:val="18"/>
          <w:szCs w:val="18"/>
        </w:rPr>
      </w:pPr>
      <w:r w:rsidRPr="003C23F5">
        <w:rPr>
          <w:rFonts w:asciiTheme="minorBidi" w:hAnsiTheme="minorBidi" w:cstheme="minorBidi"/>
          <w:b/>
          <w:bCs/>
          <w:color w:val="000000" w:themeColor="text1"/>
          <w:sz w:val="18"/>
          <w:szCs w:val="18"/>
        </w:rPr>
        <w:t>Source: Palestinian Central Bureau of Statistics,</w:t>
      </w:r>
      <w:r w:rsidRPr="003C23F5">
        <w:rPr>
          <w:rFonts w:asciiTheme="minorBidi" w:hAnsiTheme="minorBidi" w:cstheme="minorBidi"/>
          <w:color w:val="000000" w:themeColor="text1"/>
          <w:sz w:val="18"/>
          <w:szCs w:val="18"/>
        </w:rPr>
        <w:t xml:space="preserve">Rule of Law and Access to Justice Survey </w:t>
      </w:r>
      <w:r w:rsidR="00BD6E0B" w:rsidRPr="003C23F5">
        <w:rPr>
          <w:rFonts w:asciiTheme="minorBidi" w:hAnsiTheme="minorBidi" w:cstheme="minorBidi"/>
          <w:color w:val="000000" w:themeColor="text1"/>
          <w:sz w:val="18"/>
          <w:szCs w:val="18"/>
        </w:rPr>
        <w:t>Database</w:t>
      </w:r>
      <w:r w:rsidR="00BD6E0B">
        <w:rPr>
          <w:rFonts w:asciiTheme="minorBidi" w:hAnsiTheme="minorBidi" w:cstheme="minorBidi"/>
          <w:color w:val="000000" w:themeColor="text1"/>
          <w:sz w:val="18"/>
          <w:szCs w:val="18"/>
        </w:rPr>
        <w:t>,</w:t>
      </w:r>
      <w:r w:rsidRPr="003C23F5">
        <w:rPr>
          <w:rFonts w:asciiTheme="minorBidi" w:hAnsiTheme="minorBidi" w:cstheme="minorBidi"/>
          <w:color w:val="000000" w:themeColor="text1"/>
          <w:sz w:val="18"/>
          <w:szCs w:val="18"/>
        </w:rPr>
        <w:t>2021. Ramallah - Palestine</w:t>
      </w:r>
      <w:r w:rsidRPr="003C23F5">
        <w:rPr>
          <w:rFonts w:asciiTheme="minorBidi" w:hAnsiTheme="minorBidi" w:cstheme="minorBidi"/>
          <w:color w:val="000000" w:themeColor="text1"/>
          <w:sz w:val="18"/>
          <w:szCs w:val="18"/>
          <w:rtl/>
        </w:rPr>
        <w:t>.</w:t>
      </w:r>
    </w:p>
    <w:p w14:paraId="309A0944" w14:textId="77777777" w:rsidR="0071415F" w:rsidRPr="00A44E81" w:rsidRDefault="0071415F" w:rsidP="0071415F">
      <w:pPr>
        <w:bidi w:val="0"/>
        <w:spacing w:after="0" w:line="240" w:lineRule="auto"/>
        <w:jc w:val="both"/>
        <w:rPr>
          <w:rFonts w:ascii="Times New Roman" w:hAnsi="Times New Roman" w:cs="Times New Roman"/>
          <w:i/>
          <w:iCs/>
          <w:color w:val="000000" w:themeColor="text1"/>
          <w:sz w:val="18"/>
          <w:szCs w:val="18"/>
        </w:rPr>
      </w:pPr>
    </w:p>
    <w:p w14:paraId="20624DAC"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16.9.1 </w:t>
      </w:r>
      <w:r w:rsidRPr="00B15ACB">
        <w:rPr>
          <w:rFonts w:ascii="Times New Roman" w:hAnsi="Times New Roman" w:cs="Times New Roman"/>
          <w:b/>
          <w:bCs/>
          <w:i/>
          <w:iCs/>
          <w:sz w:val="24"/>
          <w:szCs w:val="24"/>
        </w:rPr>
        <w:t xml:space="preserve">Proportion of children under </w:t>
      </w:r>
      <w:r w:rsidR="00C04287">
        <w:rPr>
          <w:rFonts w:ascii="Times New Roman" w:hAnsi="Times New Roman" w:cs="Times New Roman"/>
          <w:b/>
          <w:bCs/>
          <w:i/>
          <w:iCs/>
          <w:sz w:val="24"/>
          <w:szCs w:val="24"/>
        </w:rPr>
        <w:t xml:space="preserve">five </w:t>
      </w:r>
      <w:r w:rsidRPr="00B15ACB">
        <w:rPr>
          <w:rFonts w:ascii="Times New Roman" w:hAnsi="Times New Roman" w:cs="Times New Roman"/>
          <w:b/>
          <w:bCs/>
          <w:i/>
          <w:iCs/>
          <w:sz w:val="24"/>
          <w:szCs w:val="24"/>
        </w:rPr>
        <w:t> whose births have been registered with a civil authority, by age</w:t>
      </w:r>
    </w:p>
    <w:p w14:paraId="764A7C66" w14:textId="77777777" w:rsidR="00344EA7" w:rsidRPr="005374D2" w:rsidRDefault="00344EA7" w:rsidP="00344EA7">
      <w:pPr>
        <w:autoSpaceDE w:val="0"/>
        <w:autoSpaceDN w:val="0"/>
        <w:bidi w:val="0"/>
        <w:adjustRightInd w:val="0"/>
        <w:spacing w:after="0" w:line="240" w:lineRule="auto"/>
        <w:jc w:val="both"/>
        <w:rPr>
          <w:rFonts w:ascii="Times New Roman" w:hAnsi="Times New Roman" w:cs="Times New Roman"/>
          <w:b/>
          <w:bCs/>
          <w:i/>
          <w:iCs/>
          <w:sz w:val="16"/>
          <w:szCs w:val="16"/>
        </w:rPr>
      </w:pPr>
    </w:p>
    <w:p w14:paraId="229348BF" w14:textId="77777777" w:rsidR="0071415F" w:rsidRPr="00B15ACB" w:rsidRDefault="0071415F" w:rsidP="0071415F">
      <w:pPr>
        <w:autoSpaceDE w:val="0"/>
        <w:autoSpaceDN w:val="0"/>
        <w:bidi w:val="0"/>
        <w:adjustRightInd w:val="0"/>
        <w:spacing w:after="0" w:line="240" w:lineRule="auto"/>
        <w:jc w:val="both"/>
        <w:rPr>
          <w:rFonts w:ascii="Times New Roman" w:hAnsi="Times New Roman" w:cs="Times New Roman"/>
          <w:sz w:val="24"/>
          <w:szCs w:val="24"/>
          <w:rtl/>
        </w:rPr>
      </w:pPr>
      <w:r w:rsidRPr="00B15ACB">
        <w:rPr>
          <w:rFonts w:ascii="Times New Roman" w:hAnsi="Times New Roman" w:cs="Times New Roman"/>
          <w:sz w:val="24"/>
          <w:szCs w:val="24"/>
        </w:rPr>
        <w:t xml:space="preserve">Percentage of </w:t>
      </w:r>
      <w:r w:rsidR="00C66B88" w:rsidRPr="00B15ACB">
        <w:rPr>
          <w:rFonts w:ascii="Times New Roman" w:hAnsi="Times New Roman" w:cs="Times New Roman"/>
          <w:sz w:val="24"/>
          <w:szCs w:val="24"/>
        </w:rPr>
        <w:t>children under</w:t>
      </w:r>
      <w:r w:rsidRPr="00B15ACB">
        <w:rPr>
          <w:rFonts w:ascii="Times New Roman" w:hAnsi="Times New Roman" w:cs="Times New Roman"/>
          <w:sz w:val="24"/>
          <w:szCs w:val="24"/>
        </w:rPr>
        <w:t xml:space="preserve"> five whose births have been registered with a civil authority </w:t>
      </w:r>
      <w:r w:rsidR="00C04287">
        <w:rPr>
          <w:rFonts w:ascii="Times New Roman" w:hAnsi="Times New Roman" w:cs="Times New Roman"/>
          <w:sz w:val="24"/>
          <w:szCs w:val="24"/>
        </w:rPr>
        <w:t>reached</w:t>
      </w:r>
      <w:r>
        <w:rPr>
          <w:rFonts w:ascii="Times New Roman" w:hAnsi="Times New Roman" w:cs="Times New Roman"/>
          <w:sz w:val="24"/>
          <w:szCs w:val="24"/>
        </w:rPr>
        <w:t>99.2</w:t>
      </w:r>
      <w:r w:rsidRPr="00B15ACB">
        <w:rPr>
          <w:rFonts w:ascii="Times New Roman" w:hAnsi="Times New Roman" w:cs="Times New Roman"/>
          <w:sz w:val="24"/>
          <w:szCs w:val="24"/>
        </w:rPr>
        <w:t xml:space="preserve">% for the year of </w:t>
      </w:r>
      <w:r>
        <w:rPr>
          <w:rFonts w:ascii="Times New Roman" w:hAnsi="Times New Roman" w:cs="Times New Roman"/>
          <w:sz w:val="24"/>
          <w:szCs w:val="24"/>
        </w:rPr>
        <w:t>2019</w:t>
      </w:r>
      <w:r w:rsidRPr="00B15ACB">
        <w:rPr>
          <w:rFonts w:ascii="Times New Roman" w:hAnsi="Times New Roman" w:cs="Times New Roman"/>
          <w:sz w:val="24"/>
          <w:szCs w:val="24"/>
        </w:rPr>
        <w:t xml:space="preserve">; of which  </w:t>
      </w:r>
      <w:r>
        <w:rPr>
          <w:rFonts w:ascii="Times New Roman" w:hAnsi="Times New Roman" w:cs="Times New Roman"/>
          <w:sz w:val="24"/>
          <w:szCs w:val="24"/>
        </w:rPr>
        <w:t>98.9</w:t>
      </w:r>
      <w:r w:rsidRPr="00B15ACB">
        <w:rPr>
          <w:rFonts w:ascii="Times New Roman" w:hAnsi="Times New Roman" w:cs="Times New Roman"/>
          <w:sz w:val="24"/>
          <w:szCs w:val="24"/>
        </w:rPr>
        <w:t xml:space="preserve">% </w:t>
      </w:r>
      <w:r w:rsidR="00C04287">
        <w:rPr>
          <w:rFonts w:ascii="Times New Roman" w:hAnsi="Times New Roman" w:cs="Times New Roman"/>
          <w:sz w:val="24"/>
          <w:szCs w:val="24"/>
        </w:rPr>
        <w:t xml:space="preserve">were </w:t>
      </w:r>
      <w:r w:rsidRPr="00B15ACB">
        <w:rPr>
          <w:rFonts w:ascii="Times New Roman" w:hAnsi="Times New Roman" w:cs="Times New Roman"/>
          <w:sz w:val="24"/>
          <w:szCs w:val="24"/>
        </w:rPr>
        <w:t xml:space="preserve">in the West Bank and </w:t>
      </w:r>
      <w:r>
        <w:rPr>
          <w:rFonts w:ascii="Times New Roman" w:hAnsi="Times New Roman" w:cs="Times New Roman"/>
          <w:sz w:val="24"/>
          <w:szCs w:val="24"/>
        </w:rPr>
        <w:t>99.5</w:t>
      </w:r>
      <w:r w:rsidRPr="00B15ACB">
        <w:rPr>
          <w:rFonts w:ascii="Times New Roman" w:hAnsi="Times New Roman" w:cs="Times New Roman"/>
          <w:sz w:val="24"/>
          <w:szCs w:val="24"/>
        </w:rPr>
        <w:t xml:space="preserve">% in </w:t>
      </w:r>
      <w:r w:rsidR="00C04287">
        <w:rPr>
          <w:rFonts w:ascii="Times New Roman" w:hAnsi="Times New Roman" w:cs="Times New Roman"/>
          <w:sz w:val="24"/>
          <w:szCs w:val="24"/>
        </w:rPr>
        <w:t xml:space="preserve">the </w:t>
      </w:r>
      <w:r w:rsidRPr="00B15ACB">
        <w:rPr>
          <w:rFonts w:ascii="Times New Roman" w:hAnsi="Times New Roman" w:cs="Times New Roman"/>
          <w:sz w:val="24"/>
          <w:szCs w:val="24"/>
        </w:rPr>
        <w:t>Gaza Strip.</w:t>
      </w:r>
    </w:p>
    <w:p w14:paraId="075A8C40" w14:textId="77777777" w:rsidR="0071415F" w:rsidRPr="00B17FDC"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37C323F4"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Proportion of Children Under 5 Years of Age whose Births Have Been Registered with a Civil Authority, 2014</w:t>
      </w:r>
      <w:r>
        <w:rPr>
          <w:rFonts w:ascii="Arial" w:hAnsi="Arial"/>
          <w:b/>
          <w:bCs/>
        </w:rPr>
        <w:t>, 2019</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83DF8F5" w14:textId="77777777" w:rsidTr="007B34F3">
        <w:tc>
          <w:tcPr>
            <w:tcW w:w="9060" w:type="dxa"/>
            <w:shd w:val="clear" w:color="auto" w:fill="auto"/>
          </w:tcPr>
          <w:p w14:paraId="54472407"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color w:val="000000"/>
              </w:rPr>
              <w:drawing>
                <wp:inline distT="0" distB="0" distL="0" distR="0" wp14:anchorId="62175C92" wp14:editId="35473989">
                  <wp:extent cx="5367020" cy="2337435"/>
                  <wp:effectExtent l="0" t="0" r="5080" b="5715"/>
                  <wp:docPr id="249"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tc>
      </w:tr>
    </w:tbl>
    <w:p w14:paraId="0C84B5BC" w14:textId="77777777" w:rsidR="00C04287" w:rsidRPr="006E49BE" w:rsidRDefault="00350994" w:rsidP="006E49BE">
      <w:pPr>
        <w:bidi w:val="0"/>
        <w:spacing w:after="0" w:line="240" w:lineRule="auto"/>
        <w:ind w:left="720" w:hanging="720"/>
        <w:jc w:val="both"/>
        <w:rPr>
          <w:rFonts w:asciiTheme="minorBidi" w:hAnsiTheme="minorBidi" w:cstheme="minorBidi"/>
          <w:color w:val="000000" w:themeColor="text1"/>
          <w:sz w:val="18"/>
          <w:szCs w:val="18"/>
        </w:rPr>
      </w:pPr>
      <w:r>
        <w:rPr>
          <w:rFonts w:asciiTheme="minorBidi" w:hAnsiTheme="minorBidi" w:cstheme="minorBidi"/>
          <w:b/>
          <w:bCs/>
          <w:color w:val="000000" w:themeColor="text1"/>
          <w:sz w:val="18"/>
          <w:szCs w:val="18"/>
        </w:rPr>
        <w:t xml:space="preserve">Source: </w:t>
      </w:r>
      <w:r w:rsidR="007B34F3" w:rsidRPr="00350994">
        <w:rPr>
          <w:rFonts w:asciiTheme="minorBidi" w:hAnsiTheme="minorBidi" w:cstheme="minorBidi"/>
          <w:b/>
          <w:bCs/>
          <w:color w:val="000000" w:themeColor="text1"/>
          <w:sz w:val="18"/>
          <w:szCs w:val="18"/>
        </w:rPr>
        <w:t xml:space="preserve">Palestinian Central Bureau of Statistics, </w:t>
      </w:r>
      <w:r w:rsidR="007B34F3" w:rsidRPr="00350994">
        <w:rPr>
          <w:rFonts w:asciiTheme="minorBidi" w:hAnsiTheme="minorBidi" w:cstheme="minorBidi"/>
          <w:color w:val="000000" w:themeColor="text1"/>
          <w:sz w:val="18"/>
          <w:szCs w:val="18"/>
        </w:rPr>
        <w:t>Palestinian Multiple Indicator Cluster Survey 2014, 2019-2020</w:t>
      </w:r>
      <w:r w:rsidR="006F5D57" w:rsidRPr="00350994">
        <w:rPr>
          <w:rFonts w:asciiTheme="minorBidi" w:hAnsiTheme="minorBidi" w:cstheme="minorBidi"/>
          <w:color w:val="000000" w:themeColor="text1"/>
          <w:sz w:val="18"/>
          <w:szCs w:val="18"/>
        </w:rPr>
        <w:t>Database</w:t>
      </w:r>
      <w:r w:rsidR="007B34F3" w:rsidRPr="00350994">
        <w:rPr>
          <w:rFonts w:asciiTheme="minorBidi" w:hAnsiTheme="minorBidi" w:cstheme="minorBidi"/>
          <w:color w:val="000000" w:themeColor="text1"/>
          <w:sz w:val="18"/>
          <w:szCs w:val="18"/>
        </w:rPr>
        <w:t>. Ramallah - Palestine</w:t>
      </w:r>
      <w:r w:rsidR="007B34F3" w:rsidRPr="00350994">
        <w:rPr>
          <w:rFonts w:asciiTheme="minorBidi" w:hAnsiTheme="minorBidi" w:cstheme="minorBidi"/>
          <w:color w:val="000000" w:themeColor="text1"/>
          <w:sz w:val="18"/>
          <w:szCs w:val="18"/>
          <w:rtl/>
        </w:rPr>
        <w:t>.</w:t>
      </w:r>
    </w:p>
    <w:p w14:paraId="5A3CA1E5" w14:textId="77777777" w:rsidR="0071415F" w:rsidRDefault="0071415F" w:rsidP="00C04287">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Indicator 16.</w:t>
      </w:r>
      <w:r>
        <w:rPr>
          <w:rFonts w:ascii="Times New Roman" w:hAnsi="Times New Roman" w:cs="Times New Roman"/>
          <w:b/>
          <w:bCs/>
          <w:i/>
          <w:iCs/>
          <w:sz w:val="24"/>
          <w:szCs w:val="24"/>
        </w:rPr>
        <w:t>10</w:t>
      </w:r>
      <w:r w:rsidRPr="00B15ACB">
        <w:rPr>
          <w:rFonts w:ascii="Times New Roman" w:hAnsi="Times New Roman" w:cs="Times New Roman"/>
          <w:b/>
          <w:bCs/>
          <w:i/>
          <w:iCs/>
          <w:sz w:val="24"/>
          <w:szCs w:val="24"/>
        </w:rPr>
        <w:t xml:space="preserve">.1 </w:t>
      </w:r>
      <w:r w:rsidRPr="009B433F">
        <w:rPr>
          <w:rFonts w:ascii="Times New Roman" w:hAnsi="Times New Roman" w:cs="Times New Roman"/>
          <w:b/>
          <w:bCs/>
          <w:i/>
          <w:iCs/>
          <w:sz w:val="24"/>
          <w:szCs w:val="24"/>
        </w:rPr>
        <w:t>Number of verified cases of killing, kidnapping, enforced disappearance, arbitrary detention and torture of journalists, associated media personnel, trade unionists and human rights advocates in the previous 12 months</w:t>
      </w:r>
    </w:p>
    <w:p w14:paraId="631BBBA9" w14:textId="77777777" w:rsidR="00344EA7"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39FB2AB2" w14:textId="77777777" w:rsidR="0071415F" w:rsidRPr="00C967BF" w:rsidRDefault="00C04287" w:rsidP="0071415F">
      <w:pPr>
        <w:tabs>
          <w:tab w:val="left" w:pos="9072"/>
        </w:tabs>
        <w:bidi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Threev</w:t>
      </w:r>
      <w:r w:rsidR="0071415F" w:rsidRPr="00564ECD">
        <w:rPr>
          <w:rFonts w:ascii="Times New Roman" w:hAnsi="Times New Roman" w:cs="Times New Roman"/>
          <w:sz w:val="24"/>
          <w:szCs w:val="24"/>
        </w:rPr>
        <w:t xml:space="preserve">erified </w:t>
      </w:r>
      <w:r>
        <w:rPr>
          <w:rFonts w:ascii="Times New Roman" w:hAnsi="Times New Roman" w:cs="Times New Roman"/>
          <w:sz w:val="24"/>
          <w:szCs w:val="24"/>
        </w:rPr>
        <w:t>cases of</w:t>
      </w:r>
      <w:r w:rsidR="0071415F" w:rsidRPr="00564ECD">
        <w:rPr>
          <w:rFonts w:ascii="Times New Roman" w:hAnsi="Times New Roman" w:cs="Times New Roman"/>
          <w:sz w:val="24"/>
          <w:szCs w:val="24"/>
        </w:rPr>
        <w:t xml:space="preserve"> killing of journalists by Israeli </w:t>
      </w:r>
      <w:r>
        <w:rPr>
          <w:rFonts w:ascii="Times New Roman" w:hAnsi="Times New Roman" w:cs="Times New Roman"/>
          <w:sz w:val="24"/>
          <w:szCs w:val="24"/>
        </w:rPr>
        <w:t>s</w:t>
      </w:r>
      <w:r w:rsidR="0071415F" w:rsidRPr="00564ECD">
        <w:rPr>
          <w:rFonts w:ascii="Times New Roman" w:hAnsi="Times New Roman" w:cs="Times New Roman"/>
          <w:sz w:val="24"/>
          <w:szCs w:val="24"/>
        </w:rPr>
        <w:t>ettlers and Army</w:t>
      </w:r>
      <w:r w:rsidR="0071415F">
        <w:rPr>
          <w:rFonts w:ascii="Times New Roman" w:hAnsi="Times New Roman" w:cs="Times New Roman"/>
          <w:sz w:val="24"/>
          <w:szCs w:val="24"/>
        </w:rPr>
        <w:t xml:space="preserve"> in 2021</w:t>
      </w:r>
      <w:r w:rsidR="0071415F" w:rsidRPr="00564ECD">
        <w:rPr>
          <w:rFonts w:ascii="Times New Roman" w:hAnsi="Times New Roman" w:cs="Times New Roman"/>
          <w:sz w:val="24"/>
          <w:szCs w:val="24"/>
        </w:rPr>
        <w:t>,</w:t>
      </w:r>
      <w:r w:rsidR="0071415F">
        <w:rPr>
          <w:rFonts w:ascii="Times New Roman" w:hAnsi="Times New Roman" w:cs="Times New Roman"/>
          <w:sz w:val="24"/>
          <w:szCs w:val="24"/>
        </w:rPr>
        <w:t xml:space="preserve"> while </w:t>
      </w:r>
      <w:r>
        <w:rPr>
          <w:rFonts w:ascii="Times New Roman" w:hAnsi="Times New Roman" w:cs="Times New Roman"/>
          <w:sz w:val="24"/>
          <w:szCs w:val="24"/>
        </w:rPr>
        <w:t>n</w:t>
      </w:r>
      <w:r w:rsidR="0071415F">
        <w:rPr>
          <w:rFonts w:ascii="Times New Roman" w:hAnsi="Times New Roman" w:cs="Times New Roman"/>
          <w:sz w:val="24"/>
          <w:szCs w:val="24"/>
        </w:rPr>
        <w:t xml:space="preserve">o cases </w:t>
      </w:r>
      <w:r w:rsidR="0071415F" w:rsidRPr="00564ECD">
        <w:rPr>
          <w:rFonts w:ascii="Times New Roman" w:hAnsi="Times New Roman" w:cs="Times New Roman"/>
          <w:sz w:val="24"/>
          <w:szCs w:val="24"/>
        </w:rPr>
        <w:t xml:space="preserve">verified </w:t>
      </w:r>
      <w:r>
        <w:rPr>
          <w:rFonts w:ascii="Times New Roman" w:hAnsi="Times New Roman" w:cs="Times New Roman"/>
          <w:sz w:val="24"/>
          <w:szCs w:val="24"/>
        </w:rPr>
        <w:t>o</w:t>
      </w:r>
      <w:r w:rsidR="0071415F">
        <w:rPr>
          <w:rFonts w:ascii="Times New Roman" w:hAnsi="Times New Roman" w:cs="Times New Roman"/>
          <w:sz w:val="24"/>
          <w:szCs w:val="24"/>
        </w:rPr>
        <w:t>f</w:t>
      </w:r>
      <w:r w:rsidR="0071415F" w:rsidRPr="00564ECD">
        <w:rPr>
          <w:rFonts w:ascii="Times New Roman" w:hAnsi="Times New Roman" w:cs="Times New Roman"/>
          <w:sz w:val="24"/>
          <w:szCs w:val="24"/>
        </w:rPr>
        <w:t xml:space="preserve"> killing of journalists by Israeli </w:t>
      </w:r>
      <w:r>
        <w:rPr>
          <w:rFonts w:ascii="Times New Roman" w:hAnsi="Times New Roman" w:cs="Times New Roman"/>
          <w:sz w:val="24"/>
          <w:szCs w:val="24"/>
        </w:rPr>
        <w:t>s</w:t>
      </w:r>
      <w:r w:rsidR="0071415F" w:rsidRPr="00564ECD">
        <w:rPr>
          <w:rFonts w:ascii="Times New Roman" w:hAnsi="Times New Roman" w:cs="Times New Roman"/>
          <w:sz w:val="24"/>
          <w:szCs w:val="24"/>
        </w:rPr>
        <w:t>ettlers and Army</w:t>
      </w:r>
      <w:r>
        <w:rPr>
          <w:rFonts w:ascii="Times New Roman" w:hAnsi="Times New Roman" w:cs="Times New Roman"/>
          <w:sz w:val="24"/>
          <w:szCs w:val="24"/>
        </w:rPr>
        <w:t xml:space="preserve">took place </w:t>
      </w:r>
      <w:r w:rsidR="0071415F">
        <w:rPr>
          <w:rFonts w:ascii="Times New Roman" w:hAnsi="Times New Roman" w:cs="Times New Roman"/>
          <w:sz w:val="24"/>
          <w:szCs w:val="24"/>
        </w:rPr>
        <w:t>in 2020 and 2019.</w:t>
      </w:r>
    </w:p>
    <w:p w14:paraId="73A1C282" w14:textId="77777777" w:rsidR="0071415F" w:rsidRDefault="0071415F" w:rsidP="0071415F">
      <w:pPr>
        <w:spacing w:after="0" w:line="240" w:lineRule="auto"/>
        <w:jc w:val="both"/>
        <w:rPr>
          <w:rFonts w:ascii="Simplified Arabic" w:eastAsia="Calibri" w:hAnsi="Simplified Arabic" w:cs="Simplified Arabic"/>
          <w:color w:val="000000"/>
          <w:sz w:val="16"/>
          <w:szCs w:val="16"/>
        </w:rPr>
      </w:pPr>
    </w:p>
    <w:p w14:paraId="1FAFD8E2" w14:textId="77777777" w:rsidR="0071415F" w:rsidRDefault="0071415F" w:rsidP="00537024">
      <w:pPr>
        <w:tabs>
          <w:tab w:val="left" w:pos="9072"/>
        </w:tabs>
        <w:bidi w:val="0"/>
        <w:spacing w:after="0" w:line="240" w:lineRule="auto"/>
        <w:jc w:val="center"/>
        <w:rPr>
          <w:rFonts w:ascii="Arial" w:hAnsi="Arial"/>
          <w:b/>
          <w:bCs/>
        </w:rPr>
      </w:pPr>
      <w:r w:rsidRPr="00411B3B">
        <w:rPr>
          <w:rFonts w:ascii="Arial" w:hAnsi="Arial"/>
          <w:b/>
          <w:bCs/>
        </w:rPr>
        <w:t xml:space="preserve">Verified Cases of </w:t>
      </w:r>
      <w:r w:rsidR="00C04287">
        <w:rPr>
          <w:rFonts w:ascii="Arial" w:hAnsi="Arial"/>
          <w:b/>
          <w:bCs/>
        </w:rPr>
        <w:t>K</w:t>
      </w:r>
      <w:r w:rsidRPr="00411B3B">
        <w:rPr>
          <w:rFonts w:ascii="Arial" w:hAnsi="Arial"/>
          <w:b/>
          <w:bCs/>
        </w:rPr>
        <w:t xml:space="preserve">illing of </w:t>
      </w:r>
      <w:r w:rsidR="00C04287">
        <w:rPr>
          <w:rFonts w:ascii="Arial" w:hAnsi="Arial"/>
          <w:b/>
          <w:bCs/>
        </w:rPr>
        <w:t>J</w:t>
      </w:r>
      <w:r w:rsidRPr="00411B3B">
        <w:rPr>
          <w:rFonts w:ascii="Arial" w:hAnsi="Arial"/>
          <w:b/>
          <w:bCs/>
        </w:rPr>
        <w:t xml:space="preserve">ournalists, </w:t>
      </w:r>
      <w:r w:rsidR="00C04287">
        <w:rPr>
          <w:rFonts w:ascii="Arial" w:hAnsi="Arial"/>
          <w:b/>
          <w:bCs/>
        </w:rPr>
        <w:t>A</w:t>
      </w:r>
      <w:r w:rsidRPr="00411B3B">
        <w:rPr>
          <w:rFonts w:ascii="Arial" w:hAnsi="Arial"/>
          <w:b/>
          <w:bCs/>
        </w:rPr>
        <w:t xml:space="preserve">ssociated </w:t>
      </w:r>
      <w:r w:rsidR="00C04287">
        <w:rPr>
          <w:rFonts w:ascii="Arial" w:hAnsi="Arial"/>
          <w:b/>
          <w:bCs/>
        </w:rPr>
        <w:t>M</w:t>
      </w:r>
      <w:r w:rsidRPr="00411B3B">
        <w:rPr>
          <w:rFonts w:ascii="Arial" w:hAnsi="Arial"/>
          <w:b/>
          <w:bCs/>
        </w:rPr>
        <w:t xml:space="preserve">edia </w:t>
      </w:r>
      <w:r w:rsidR="00C04287">
        <w:rPr>
          <w:rFonts w:ascii="Arial" w:hAnsi="Arial"/>
          <w:b/>
          <w:bCs/>
        </w:rPr>
        <w:t>P</w:t>
      </w:r>
      <w:r w:rsidRPr="00411B3B">
        <w:rPr>
          <w:rFonts w:ascii="Arial" w:hAnsi="Arial"/>
          <w:b/>
          <w:bCs/>
        </w:rPr>
        <w:t xml:space="preserve">ersonnel, </w:t>
      </w:r>
      <w:r w:rsidR="00C04287">
        <w:rPr>
          <w:rFonts w:ascii="Arial" w:hAnsi="Arial"/>
          <w:b/>
          <w:bCs/>
        </w:rPr>
        <w:t>T</w:t>
      </w:r>
      <w:r w:rsidRPr="00411B3B">
        <w:rPr>
          <w:rFonts w:ascii="Arial" w:hAnsi="Arial"/>
          <w:b/>
          <w:bCs/>
        </w:rPr>
        <w:t xml:space="preserve">rade </w:t>
      </w:r>
      <w:r w:rsidR="00C04287">
        <w:rPr>
          <w:rFonts w:ascii="Arial" w:hAnsi="Arial"/>
          <w:b/>
          <w:bCs/>
        </w:rPr>
        <w:t>U</w:t>
      </w:r>
      <w:r w:rsidRPr="00411B3B">
        <w:rPr>
          <w:rFonts w:ascii="Arial" w:hAnsi="Arial"/>
          <w:b/>
          <w:bCs/>
        </w:rPr>
        <w:t xml:space="preserve">nionists and </w:t>
      </w:r>
      <w:r w:rsidR="00C04287">
        <w:rPr>
          <w:rFonts w:ascii="Arial" w:hAnsi="Arial"/>
          <w:b/>
          <w:bCs/>
        </w:rPr>
        <w:t>H</w:t>
      </w:r>
      <w:r w:rsidRPr="00411B3B">
        <w:rPr>
          <w:rFonts w:ascii="Arial" w:hAnsi="Arial"/>
          <w:b/>
          <w:bCs/>
        </w:rPr>
        <w:t xml:space="preserve">uman </w:t>
      </w:r>
      <w:r w:rsidR="00C04287">
        <w:rPr>
          <w:rFonts w:ascii="Arial" w:hAnsi="Arial"/>
          <w:b/>
          <w:bCs/>
        </w:rPr>
        <w:t>R</w:t>
      </w:r>
      <w:r w:rsidRPr="00411B3B">
        <w:rPr>
          <w:rFonts w:ascii="Arial" w:hAnsi="Arial"/>
          <w:b/>
          <w:bCs/>
        </w:rPr>
        <w:t xml:space="preserve">ights </w:t>
      </w:r>
      <w:r w:rsidR="00C04287">
        <w:rPr>
          <w:rFonts w:ascii="Arial" w:hAnsi="Arial"/>
          <w:b/>
          <w:bCs/>
        </w:rPr>
        <w:t>A</w:t>
      </w:r>
      <w:r w:rsidRPr="00411B3B">
        <w:rPr>
          <w:rFonts w:ascii="Arial" w:hAnsi="Arial"/>
          <w:b/>
          <w:bCs/>
        </w:rPr>
        <w:t xml:space="preserve">dvocates in the </w:t>
      </w:r>
      <w:r w:rsidR="00C04287">
        <w:rPr>
          <w:rFonts w:ascii="Arial" w:hAnsi="Arial"/>
          <w:b/>
          <w:bCs/>
        </w:rPr>
        <w:t>P</w:t>
      </w:r>
      <w:r w:rsidRPr="00411B3B">
        <w:rPr>
          <w:rFonts w:ascii="Arial" w:hAnsi="Arial"/>
          <w:b/>
          <w:bCs/>
        </w:rPr>
        <w:t xml:space="preserve">revious 12 </w:t>
      </w:r>
      <w:r w:rsidR="00C04287">
        <w:rPr>
          <w:rFonts w:ascii="Arial" w:hAnsi="Arial"/>
          <w:b/>
          <w:bCs/>
        </w:rPr>
        <w:t>M</w:t>
      </w:r>
      <w:r w:rsidRPr="00411B3B">
        <w:rPr>
          <w:rFonts w:ascii="Arial" w:hAnsi="Arial"/>
          <w:b/>
          <w:bCs/>
        </w:rPr>
        <w:t>onths by Israeli Settlers and Army</w:t>
      </w:r>
      <w:r>
        <w:rPr>
          <w:rFonts w:ascii="Arial" w:hAnsi="Arial"/>
          <w:b/>
          <w:bCs/>
        </w:rPr>
        <w:t xml:space="preserve">, </w:t>
      </w:r>
      <w:r w:rsidR="00537024">
        <w:rPr>
          <w:rFonts w:ascii="Arial" w:hAnsi="Arial" w:hint="cs"/>
          <w:b/>
          <w:bCs/>
          <w:rtl/>
        </w:rPr>
        <w:t>2015</w:t>
      </w:r>
      <w:r>
        <w:rPr>
          <w:rFonts w:ascii="Arial" w:hAnsi="Arial"/>
          <w:b/>
          <w:bCs/>
        </w:rPr>
        <w:t>-2021 (</w:t>
      </w:r>
      <w:r w:rsidRPr="00411B3B">
        <w:rPr>
          <w:rFonts w:ascii="Arial" w:hAnsi="Arial"/>
          <w:b/>
          <w:bCs/>
        </w:rPr>
        <w:t>Number)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37A9DA4" w14:textId="77777777" w:rsidTr="0071415F">
        <w:trPr>
          <w:trHeight w:val="3765"/>
        </w:trPr>
        <w:tc>
          <w:tcPr>
            <w:tcW w:w="9286" w:type="dxa"/>
            <w:shd w:val="clear" w:color="auto" w:fill="auto"/>
          </w:tcPr>
          <w:p w14:paraId="3820200E"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14:anchorId="08771736" wp14:editId="5BC22F4F">
                  <wp:extent cx="5780405" cy="2313940"/>
                  <wp:effectExtent l="0" t="0" r="0" b="0"/>
                  <wp:docPr id="6"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tc>
      </w:tr>
    </w:tbl>
    <w:p w14:paraId="51FE6D46" w14:textId="77777777" w:rsidR="0071415F" w:rsidRPr="00107CD7" w:rsidRDefault="0071415F" w:rsidP="00537024">
      <w:pPr>
        <w:bidi w:val="0"/>
        <w:spacing w:after="0" w:line="240" w:lineRule="auto"/>
        <w:jc w:val="both"/>
        <w:rPr>
          <w:rFonts w:ascii="Arial" w:hAnsi="Arial"/>
          <w:sz w:val="18"/>
          <w:szCs w:val="18"/>
          <w:lang w:val="en-GB"/>
        </w:rPr>
      </w:pPr>
      <w:r w:rsidRPr="00350994">
        <w:rPr>
          <w:rFonts w:ascii="Arial" w:hAnsi="Arial"/>
          <w:b/>
          <w:bCs/>
          <w:sz w:val="18"/>
          <w:szCs w:val="18"/>
        </w:rPr>
        <w:t>Source: Palestinian Center for Development and Media Freedom (MADA)</w:t>
      </w:r>
      <w:r>
        <w:rPr>
          <w:rFonts w:ascii="Arial" w:hAnsi="Arial"/>
          <w:sz w:val="18"/>
          <w:szCs w:val="18"/>
        </w:rPr>
        <w:t>, 20</w:t>
      </w:r>
      <w:r w:rsidR="00537024">
        <w:rPr>
          <w:rFonts w:ascii="Arial" w:hAnsi="Arial" w:hint="cs"/>
          <w:sz w:val="18"/>
          <w:szCs w:val="18"/>
          <w:rtl/>
        </w:rPr>
        <w:t>15</w:t>
      </w:r>
      <w:r>
        <w:rPr>
          <w:rFonts w:ascii="Arial" w:hAnsi="Arial"/>
          <w:sz w:val="18"/>
          <w:szCs w:val="18"/>
        </w:rPr>
        <w:t>-2021.</w:t>
      </w:r>
      <w:r w:rsidRPr="00107CD7">
        <w:rPr>
          <w:rFonts w:ascii="Arial" w:hAnsi="Arial"/>
          <w:sz w:val="18"/>
          <w:szCs w:val="18"/>
          <w:lang w:val="en-GB"/>
        </w:rPr>
        <w:t xml:space="preserve"> Ramallah-Palestine</w:t>
      </w:r>
    </w:p>
    <w:p w14:paraId="28B30853" w14:textId="77777777" w:rsidR="0071415F" w:rsidRDefault="0071415F" w:rsidP="0071415F">
      <w:pPr>
        <w:spacing w:after="0" w:line="240" w:lineRule="auto"/>
        <w:jc w:val="both"/>
        <w:rPr>
          <w:rFonts w:ascii="Simplified Arabic" w:hAnsi="Simplified Arabic" w:cs="Simplified Arabic"/>
          <w:b/>
          <w:bCs/>
          <w:color w:val="000000"/>
          <w:sz w:val="18"/>
          <w:szCs w:val="18"/>
        </w:rPr>
      </w:pPr>
    </w:p>
    <w:p w14:paraId="77530F39"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16.b.1 Proportion of population reporting having personally felt discriminated against or harassed in the previous 12 months on the basis of discrimination prohibited under international human rights law</w:t>
      </w:r>
    </w:p>
    <w:p w14:paraId="487BEAF4"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54F1662F" w14:textId="77777777" w:rsidR="0071415F" w:rsidRDefault="00C04287"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 s</w:t>
      </w:r>
      <w:r w:rsidR="0071415F" w:rsidRPr="00CC079E">
        <w:rPr>
          <w:rFonts w:ascii="Times New Roman" w:hAnsi="Times New Roman" w:cs="Times New Roman"/>
          <w:sz w:val="24"/>
          <w:szCs w:val="24"/>
        </w:rPr>
        <w:t xml:space="preserve">light </w:t>
      </w:r>
      <w:r>
        <w:rPr>
          <w:rFonts w:ascii="Times New Roman" w:hAnsi="Times New Roman" w:cs="Times New Roman"/>
          <w:sz w:val="24"/>
          <w:szCs w:val="24"/>
        </w:rPr>
        <w:t>d</w:t>
      </w:r>
      <w:r w:rsidR="0071415F" w:rsidRPr="00CC079E">
        <w:rPr>
          <w:rFonts w:ascii="Times New Roman" w:hAnsi="Times New Roman" w:cs="Times New Roman"/>
          <w:sz w:val="24"/>
          <w:szCs w:val="24"/>
        </w:rPr>
        <w:t xml:space="preserve">ecrease </w:t>
      </w:r>
      <w:r>
        <w:rPr>
          <w:rFonts w:ascii="Times New Roman" w:hAnsi="Times New Roman" w:cs="Times New Roman"/>
          <w:sz w:val="24"/>
          <w:szCs w:val="24"/>
        </w:rPr>
        <w:t xml:space="preserve">in </w:t>
      </w:r>
      <w:r w:rsidR="0071415F" w:rsidRPr="00CC079E">
        <w:rPr>
          <w:rFonts w:ascii="Times New Roman" w:hAnsi="Times New Roman" w:cs="Times New Roman"/>
          <w:sz w:val="24"/>
          <w:szCs w:val="24"/>
        </w:rPr>
        <w:t xml:space="preserve">the percentage of the persons (18 and </w:t>
      </w:r>
      <w:r w:rsidR="00737D8F">
        <w:rPr>
          <w:rFonts w:ascii="Times New Roman" w:hAnsi="Times New Roman" w:cs="Times New Roman"/>
          <w:sz w:val="24"/>
          <w:szCs w:val="24"/>
        </w:rPr>
        <w:t>older</w:t>
      </w:r>
      <w:r w:rsidR="0071415F" w:rsidRPr="00CC079E">
        <w:rPr>
          <w:rFonts w:ascii="Times New Roman" w:hAnsi="Times New Roman" w:cs="Times New Roman"/>
          <w:sz w:val="24"/>
          <w:szCs w:val="24"/>
        </w:rPr>
        <w:t xml:space="preserve">) in Palestine </w:t>
      </w:r>
      <w:r w:rsidR="00737D8F">
        <w:rPr>
          <w:rFonts w:ascii="Times New Roman" w:hAnsi="Times New Roman" w:cs="Times New Roman"/>
          <w:sz w:val="24"/>
          <w:szCs w:val="24"/>
        </w:rPr>
        <w:t xml:space="preserve">that </w:t>
      </w:r>
      <w:r w:rsidR="0071415F" w:rsidRPr="00CC079E">
        <w:rPr>
          <w:rFonts w:ascii="Times New Roman" w:hAnsi="Times New Roman" w:cs="Times New Roman"/>
          <w:sz w:val="24"/>
          <w:szCs w:val="24"/>
        </w:rPr>
        <w:t xml:space="preserve">stated they experienced discrimination or harassment under international human rights law </w:t>
      </w:r>
      <w:r w:rsidR="00737D8F">
        <w:rPr>
          <w:rFonts w:ascii="Times New Roman" w:hAnsi="Times New Roman" w:cs="Times New Roman"/>
          <w:sz w:val="24"/>
          <w:szCs w:val="24"/>
        </w:rPr>
        <w:t xml:space="preserve">reached </w:t>
      </w:r>
      <w:r w:rsidR="0071415F" w:rsidRPr="00CC079E">
        <w:rPr>
          <w:rFonts w:ascii="Times New Roman" w:hAnsi="Times New Roman" w:cs="Times New Roman"/>
          <w:sz w:val="24"/>
          <w:szCs w:val="24"/>
        </w:rPr>
        <w:t>10.2% in 2021 compared 10.</w:t>
      </w:r>
      <w:r w:rsidR="0071415F">
        <w:rPr>
          <w:rFonts w:ascii="Times New Roman" w:hAnsi="Times New Roman" w:cs="Times New Roman"/>
          <w:sz w:val="24"/>
          <w:szCs w:val="24"/>
        </w:rPr>
        <w:t>5</w:t>
      </w:r>
      <w:r w:rsidR="0071415F" w:rsidRPr="00CC079E">
        <w:rPr>
          <w:rFonts w:ascii="Times New Roman" w:hAnsi="Times New Roman" w:cs="Times New Roman"/>
          <w:sz w:val="24"/>
          <w:szCs w:val="24"/>
        </w:rPr>
        <w:t>% in 2018.</w:t>
      </w:r>
    </w:p>
    <w:p w14:paraId="4BEA0738" w14:textId="77777777" w:rsidR="0071415F" w:rsidRPr="0086098A" w:rsidRDefault="0071415F" w:rsidP="0071415F">
      <w:pPr>
        <w:autoSpaceDE w:val="0"/>
        <w:autoSpaceDN w:val="0"/>
        <w:bidi w:val="0"/>
        <w:adjustRightInd w:val="0"/>
        <w:spacing w:after="0" w:line="240" w:lineRule="auto"/>
        <w:jc w:val="both"/>
        <w:rPr>
          <w:rFonts w:ascii="Times New Roman" w:hAnsi="Times New Roman" w:cs="Times New Roman"/>
        </w:rPr>
      </w:pPr>
    </w:p>
    <w:p w14:paraId="6C23C9A1" w14:textId="77777777"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t xml:space="preserve">Proportion of Population (18 Years and above) </w:t>
      </w:r>
      <w:r w:rsidR="00737D8F">
        <w:rPr>
          <w:rFonts w:ascii="Arial" w:hAnsi="Arial"/>
          <w:b/>
          <w:bCs/>
        </w:rPr>
        <w:t>that</w:t>
      </w:r>
      <w:r w:rsidRPr="00422BE3">
        <w:rPr>
          <w:rFonts w:ascii="Arial" w:hAnsi="Arial"/>
          <w:b/>
          <w:bCs/>
        </w:rPr>
        <w:t xml:space="preserve"> Experienced Discrimination or Harassment Under International Human Rights Law, 2018</w:t>
      </w:r>
      <w:r>
        <w:rPr>
          <w:rFonts w:ascii="Arial" w:hAnsi="Arial"/>
          <w:b/>
          <w:bCs/>
        </w:rPr>
        <w:t>, 2021</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42CB11F" w14:textId="77777777" w:rsidTr="0071415F">
        <w:trPr>
          <w:trHeight w:val="3455"/>
        </w:trPr>
        <w:tc>
          <w:tcPr>
            <w:tcW w:w="9242" w:type="dxa"/>
            <w:shd w:val="clear" w:color="auto" w:fill="auto"/>
          </w:tcPr>
          <w:p w14:paraId="33FB20F9"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439DC87C" wp14:editId="17210E46">
                  <wp:extent cx="5567045" cy="2122805"/>
                  <wp:effectExtent l="0" t="0" r="0" b="0"/>
                  <wp:docPr id="250"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tc>
      </w:tr>
    </w:tbl>
    <w:p w14:paraId="0193C2BD" w14:textId="77777777" w:rsidR="0071415F" w:rsidRDefault="0071415F" w:rsidP="00BD6E0B">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 Palestinian Central Bureau of Statistics</w:t>
      </w:r>
      <w:r w:rsidRPr="00B15ACB">
        <w:rPr>
          <w:rFonts w:ascii="Arial" w:hAnsi="Arial"/>
          <w:sz w:val="18"/>
          <w:szCs w:val="18"/>
        </w:rPr>
        <w:t xml:space="preserve">, </w:t>
      </w:r>
      <w:r w:rsidRPr="00891951">
        <w:rPr>
          <w:rFonts w:ascii="Arial" w:hAnsi="Arial"/>
          <w:sz w:val="18"/>
          <w:szCs w:val="18"/>
        </w:rPr>
        <w:t xml:space="preserve">Rule of Law and Access to Justice Survey </w:t>
      </w:r>
      <w:r w:rsidR="00BD6E0B" w:rsidRPr="00891951">
        <w:rPr>
          <w:rFonts w:ascii="Arial" w:hAnsi="Arial"/>
          <w:sz w:val="18"/>
          <w:szCs w:val="18"/>
        </w:rPr>
        <w:t>Database</w:t>
      </w:r>
      <w:r w:rsidR="00BD6E0B">
        <w:rPr>
          <w:rFonts w:ascii="Arial" w:hAnsi="Arial"/>
          <w:sz w:val="18"/>
          <w:szCs w:val="18"/>
        </w:rPr>
        <w:t>,</w:t>
      </w:r>
      <w:r w:rsidRPr="00891951">
        <w:rPr>
          <w:rFonts w:ascii="Arial" w:hAnsi="Arial"/>
          <w:sz w:val="18"/>
          <w:szCs w:val="18"/>
        </w:rPr>
        <w:t>2018</w:t>
      </w:r>
      <w:r w:rsidR="00BD6E0B">
        <w:rPr>
          <w:rFonts w:ascii="Arial" w:hAnsi="Arial"/>
          <w:sz w:val="18"/>
          <w:szCs w:val="18"/>
        </w:rPr>
        <w:t xml:space="preserve"> and</w:t>
      </w:r>
      <w:r>
        <w:rPr>
          <w:rFonts w:ascii="Arial" w:hAnsi="Arial"/>
          <w:sz w:val="18"/>
          <w:szCs w:val="18"/>
        </w:rPr>
        <w:t xml:space="preserve"> 2021</w:t>
      </w:r>
      <w:r w:rsidR="006F5D57">
        <w:rPr>
          <w:rFonts w:ascii="Arial" w:hAnsi="Arial"/>
          <w:sz w:val="18"/>
          <w:szCs w:val="18"/>
        </w:rPr>
        <w:t xml:space="preserve">. </w:t>
      </w:r>
      <w:r w:rsidRPr="00B15ACB">
        <w:rPr>
          <w:rFonts w:ascii="Arial" w:hAnsi="Arial"/>
          <w:sz w:val="18"/>
          <w:szCs w:val="18"/>
        </w:rPr>
        <w:t>Ramallah</w:t>
      </w:r>
      <w:r w:rsidRPr="00891951">
        <w:rPr>
          <w:rFonts w:ascii="Arial" w:hAnsi="Arial"/>
          <w:sz w:val="18"/>
          <w:szCs w:val="18"/>
        </w:rPr>
        <w:t xml:space="preserve"> - Palestine</w:t>
      </w:r>
      <w:r w:rsidRPr="00891951">
        <w:rPr>
          <w:rFonts w:ascii="Arial" w:hAnsi="Arial"/>
          <w:sz w:val="18"/>
          <w:szCs w:val="18"/>
          <w:rtl/>
        </w:rPr>
        <w:t>.</w:t>
      </w:r>
    </w:p>
    <w:p w14:paraId="1CA28349" w14:textId="77777777" w:rsidR="0071415F" w:rsidRDefault="0071415F" w:rsidP="005374D2">
      <w:pPr>
        <w:tabs>
          <w:tab w:val="left" w:pos="9072"/>
        </w:tabs>
        <w:bidi w:val="0"/>
        <w:spacing w:after="0" w:line="240" w:lineRule="auto"/>
        <w:rPr>
          <w:rFonts w:ascii="Arial" w:hAnsi="Arial"/>
          <w:b/>
          <w:bCs/>
        </w:rPr>
      </w:pPr>
    </w:p>
    <w:p w14:paraId="21934AF5" w14:textId="77777777"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lastRenderedPageBreak/>
        <w:t xml:space="preserve">Proportion of Population (18 Years and </w:t>
      </w:r>
      <w:r w:rsidR="00737D8F">
        <w:rPr>
          <w:rFonts w:ascii="Arial" w:hAnsi="Arial"/>
          <w:b/>
          <w:bCs/>
        </w:rPr>
        <w:t>older</w:t>
      </w:r>
      <w:r w:rsidRPr="00422BE3">
        <w:rPr>
          <w:rFonts w:ascii="Arial" w:hAnsi="Arial"/>
          <w:b/>
          <w:bCs/>
        </w:rPr>
        <w:t xml:space="preserve">) </w:t>
      </w:r>
      <w:r w:rsidR="00737D8F">
        <w:rPr>
          <w:rFonts w:ascii="Arial" w:hAnsi="Arial"/>
          <w:b/>
          <w:bCs/>
        </w:rPr>
        <w:t>that</w:t>
      </w:r>
      <w:r w:rsidRPr="00422BE3">
        <w:rPr>
          <w:rFonts w:ascii="Arial" w:hAnsi="Arial"/>
          <w:b/>
          <w:bCs/>
        </w:rPr>
        <w:t xml:space="preserve"> Experienced Discrimination or Harassment Under International Human Rights Law, </w:t>
      </w:r>
      <w:r w:rsidR="00737D8F">
        <w:rPr>
          <w:rFonts w:ascii="Arial" w:hAnsi="Arial"/>
          <w:b/>
          <w:bCs/>
        </w:rPr>
        <w:t>by R</w:t>
      </w:r>
      <w:r w:rsidRPr="00422BE3">
        <w:rPr>
          <w:rFonts w:ascii="Arial" w:hAnsi="Arial"/>
          <w:b/>
          <w:bCs/>
        </w:rPr>
        <w:t>egion</w:t>
      </w:r>
      <w:r>
        <w:rPr>
          <w:rFonts w:ascii="Arial" w:hAnsi="Arial"/>
          <w:b/>
          <w:bCs/>
        </w:rPr>
        <w:t xml:space="preserve">, Sex, Locality </w:t>
      </w:r>
      <w:r w:rsidR="00737D8F">
        <w:rPr>
          <w:rFonts w:ascii="Arial" w:hAnsi="Arial"/>
          <w:b/>
          <w:bCs/>
        </w:rPr>
        <w:t>T</w:t>
      </w:r>
      <w:r>
        <w:rPr>
          <w:rFonts w:ascii="Arial" w:hAnsi="Arial"/>
          <w:b/>
          <w:bCs/>
        </w:rPr>
        <w:t>ype, 2021</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68C78F3" w14:textId="77777777" w:rsidTr="0071415F">
        <w:trPr>
          <w:trHeight w:val="3482"/>
        </w:trPr>
        <w:tc>
          <w:tcPr>
            <w:tcW w:w="9242" w:type="dxa"/>
            <w:shd w:val="clear" w:color="auto" w:fill="auto"/>
          </w:tcPr>
          <w:p w14:paraId="2AAF6A44"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6A2D4302" wp14:editId="65708AAD">
                  <wp:extent cx="5572125" cy="2122805"/>
                  <wp:effectExtent l="0" t="0" r="0" b="0"/>
                  <wp:docPr id="9"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tc>
      </w:tr>
    </w:tbl>
    <w:p w14:paraId="7608D3FC" w14:textId="77777777" w:rsidR="0071415F" w:rsidRPr="00891951" w:rsidRDefault="0071415F" w:rsidP="00BD6E0B">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 Palestinian Central Bureau of Statistics</w:t>
      </w:r>
      <w:r w:rsidRPr="00B15ACB">
        <w:rPr>
          <w:rFonts w:ascii="Arial" w:hAnsi="Arial"/>
          <w:sz w:val="18"/>
          <w:szCs w:val="18"/>
        </w:rPr>
        <w:t xml:space="preserve">, </w:t>
      </w:r>
      <w:r w:rsidRPr="00891951">
        <w:rPr>
          <w:rFonts w:ascii="Arial" w:hAnsi="Arial"/>
          <w:sz w:val="18"/>
          <w:szCs w:val="18"/>
        </w:rPr>
        <w:t xml:space="preserve">Rule of Law and Access to Justice Survey </w:t>
      </w:r>
      <w:r w:rsidR="00BD6E0B" w:rsidRPr="00891951">
        <w:rPr>
          <w:rFonts w:ascii="Arial" w:hAnsi="Arial"/>
          <w:sz w:val="18"/>
          <w:szCs w:val="18"/>
        </w:rPr>
        <w:t>Database</w:t>
      </w:r>
      <w:r w:rsidR="00BD6E0B">
        <w:rPr>
          <w:rFonts w:ascii="Arial" w:hAnsi="Arial"/>
          <w:sz w:val="18"/>
          <w:szCs w:val="18"/>
        </w:rPr>
        <w:t>,</w:t>
      </w:r>
      <w:r w:rsidRPr="00891951">
        <w:rPr>
          <w:rFonts w:ascii="Arial" w:hAnsi="Arial"/>
          <w:sz w:val="18"/>
          <w:szCs w:val="18"/>
        </w:rPr>
        <w:t>2018</w:t>
      </w:r>
      <w:r w:rsidR="00BD6E0B">
        <w:rPr>
          <w:rFonts w:ascii="Arial" w:hAnsi="Arial"/>
          <w:sz w:val="18"/>
          <w:szCs w:val="18"/>
        </w:rPr>
        <w:t xml:space="preserve"> and</w:t>
      </w:r>
      <w:r>
        <w:rPr>
          <w:rFonts w:ascii="Arial" w:hAnsi="Arial"/>
          <w:sz w:val="18"/>
          <w:szCs w:val="18"/>
        </w:rPr>
        <w:t xml:space="preserve"> 2021</w:t>
      </w:r>
      <w:r w:rsidR="006F5D57">
        <w:rPr>
          <w:rFonts w:ascii="Arial" w:hAnsi="Arial"/>
          <w:sz w:val="18"/>
          <w:szCs w:val="18"/>
        </w:rPr>
        <w:t>.</w:t>
      </w:r>
      <w:r w:rsidRPr="00B15ACB">
        <w:rPr>
          <w:rFonts w:ascii="Arial" w:hAnsi="Arial"/>
          <w:sz w:val="18"/>
          <w:szCs w:val="18"/>
        </w:rPr>
        <w:t>Ramallah</w:t>
      </w:r>
      <w:r w:rsidRPr="00891951">
        <w:rPr>
          <w:rFonts w:ascii="Arial" w:hAnsi="Arial"/>
          <w:sz w:val="18"/>
          <w:szCs w:val="18"/>
        </w:rPr>
        <w:t xml:space="preserve"> - Palestine</w:t>
      </w:r>
      <w:r w:rsidRPr="00891951">
        <w:rPr>
          <w:rFonts w:ascii="Arial" w:hAnsi="Arial"/>
          <w:sz w:val="18"/>
          <w:szCs w:val="18"/>
          <w:rtl/>
        </w:rPr>
        <w:t>.</w:t>
      </w:r>
    </w:p>
    <w:p w14:paraId="4BB95A9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20D5A555" w14:textId="77777777" w:rsidR="0071415F" w:rsidRPr="00B15ACB"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B15ACB">
        <w:rPr>
          <w:rFonts w:ascii="Times New Roman" w:hAnsi="Times New Roman" w:cs="Times New Roman"/>
          <w:b/>
          <w:bCs/>
          <w:sz w:val="24"/>
          <w:szCs w:val="24"/>
        </w:rPr>
        <w:t>Summary</w:t>
      </w:r>
    </w:p>
    <w:p w14:paraId="3F346A1F" w14:textId="77777777" w:rsidR="0071415F" w:rsidRDefault="0071415F" w:rsidP="00444566">
      <w:pPr>
        <w:autoSpaceDE w:val="0"/>
        <w:autoSpaceDN w:val="0"/>
        <w:bidi w:val="0"/>
        <w:adjustRightInd w:val="0"/>
        <w:spacing w:after="0" w:line="240" w:lineRule="auto"/>
        <w:jc w:val="both"/>
        <w:rPr>
          <w:rFonts w:ascii="Times New Roman" w:hAnsi="Times New Roman" w:cs="Times New Roman"/>
          <w:sz w:val="24"/>
          <w:szCs w:val="24"/>
        </w:rPr>
      </w:pPr>
      <w:r w:rsidRPr="00891951">
        <w:rPr>
          <w:rFonts w:ascii="Times New Roman" w:hAnsi="Times New Roman" w:cs="Times New Roman"/>
          <w:sz w:val="24"/>
          <w:szCs w:val="24"/>
        </w:rPr>
        <w:t xml:space="preserve">Notably, </w:t>
      </w:r>
      <w:r w:rsidR="00737D8F">
        <w:rPr>
          <w:rFonts w:ascii="Times New Roman" w:hAnsi="Times New Roman" w:cs="Times New Roman"/>
          <w:sz w:val="24"/>
          <w:szCs w:val="24"/>
        </w:rPr>
        <w:t xml:space="preserve">in 2020 </w:t>
      </w:r>
      <w:r w:rsidRPr="00891951">
        <w:rPr>
          <w:rFonts w:ascii="Times New Roman" w:hAnsi="Times New Roman" w:cs="Times New Roman"/>
          <w:sz w:val="24"/>
          <w:szCs w:val="24"/>
        </w:rPr>
        <w:t xml:space="preserve">there </w:t>
      </w:r>
      <w:r w:rsidR="00737D8F">
        <w:rPr>
          <w:rFonts w:ascii="Times New Roman" w:hAnsi="Times New Roman" w:cs="Times New Roman"/>
          <w:sz w:val="24"/>
          <w:szCs w:val="24"/>
        </w:rPr>
        <w:t>was</w:t>
      </w:r>
      <w:r w:rsidRPr="00891951">
        <w:rPr>
          <w:rFonts w:ascii="Times New Roman" w:hAnsi="Times New Roman" w:cs="Times New Roman"/>
          <w:sz w:val="24"/>
          <w:szCs w:val="24"/>
        </w:rPr>
        <w:t xml:space="preserve"> a decrease in the rate of victims of violence </w:t>
      </w:r>
      <w:r w:rsidR="00737D8F">
        <w:rPr>
          <w:rFonts w:ascii="Times New Roman" w:hAnsi="Times New Roman" w:cs="Times New Roman"/>
          <w:sz w:val="24"/>
          <w:szCs w:val="24"/>
        </w:rPr>
        <w:t>that</w:t>
      </w:r>
      <w:r w:rsidRPr="00891951">
        <w:rPr>
          <w:rFonts w:ascii="Times New Roman" w:hAnsi="Times New Roman" w:cs="Times New Roman"/>
          <w:sz w:val="24"/>
          <w:szCs w:val="24"/>
        </w:rPr>
        <w:t xml:space="preserve"> reported they were abused to the authorities with a percentage of </w:t>
      </w:r>
      <w:r>
        <w:rPr>
          <w:rFonts w:ascii="Times New Roman" w:hAnsi="Times New Roman" w:cs="Times New Roman"/>
          <w:sz w:val="24"/>
          <w:szCs w:val="24"/>
        </w:rPr>
        <w:t>52.4</w:t>
      </w:r>
      <w:r w:rsidRPr="00891951">
        <w:rPr>
          <w:rFonts w:ascii="Times New Roman" w:hAnsi="Times New Roman" w:cs="Times New Roman"/>
          <w:sz w:val="24"/>
          <w:szCs w:val="24"/>
        </w:rPr>
        <w:t xml:space="preserve">%: </w:t>
      </w:r>
      <w:r>
        <w:rPr>
          <w:rFonts w:ascii="Times New Roman" w:hAnsi="Times New Roman" w:cs="Times New Roman"/>
          <w:sz w:val="24"/>
          <w:szCs w:val="24"/>
        </w:rPr>
        <w:t>47.0</w:t>
      </w:r>
      <w:r w:rsidRPr="00891951">
        <w:rPr>
          <w:rFonts w:ascii="Times New Roman" w:hAnsi="Times New Roman" w:cs="Times New Roman"/>
          <w:sz w:val="24"/>
          <w:szCs w:val="24"/>
        </w:rPr>
        <w:t xml:space="preserve">% in the West Bank and </w:t>
      </w:r>
      <w:r>
        <w:rPr>
          <w:rFonts w:ascii="Times New Roman" w:hAnsi="Times New Roman" w:cs="Times New Roman"/>
          <w:sz w:val="24"/>
          <w:szCs w:val="24"/>
        </w:rPr>
        <w:t>56.2</w:t>
      </w:r>
      <w:r w:rsidRPr="00891951">
        <w:rPr>
          <w:rFonts w:ascii="Times New Roman" w:hAnsi="Times New Roman" w:cs="Times New Roman"/>
          <w:sz w:val="24"/>
          <w:szCs w:val="24"/>
        </w:rPr>
        <w:t xml:space="preserve">% in Gaza Strip. Nonetheless, there was a significant decline in the reporting rate in the West Bank in the years </w:t>
      </w:r>
      <w:r>
        <w:rPr>
          <w:rFonts w:ascii="Times New Roman" w:hAnsi="Times New Roman" w:cs="Times New Roman"/>
          <w:sz w:val="24"/>
          <w:szCs w:val="24"/>
        </w:rPr>
        <w:t>2020</w:t>
      </w:r>
      <w:r w:rsidRPr="00891951">
        <w:rPr>
          <w:rFonts w:ascii="Times New Roman" w:hAnsi="Times New Roman" w:cs="Times New Roman"/>
          <w:sz w:val="24"/>
          <w:szCs w:val="24"/>
        </w:rPr>
        <w:t xml:space="preserve"> and </w:t>
      </w:r>
      <w:r>
        <w:rPr>
          <w:rFonts w:ascii="Times New Roman" w:hAnsi="Times New Roman" w:cs="Times New Roman"/>
          <w:sz w:val="24"/>
          <w:szCs w:val="24"/>
        </w:rPr>
        <w:t>2016</w:t>
      </w:r>
      <w:r w:rsidRPr="00891951">
        <w:rPr>
          <w:rFonts w:ascii="Times New Roman" w:hAnsi="Times New Roman" w:cs="Times New Roman"/>
          <w:sz w:val="24"/>
          <w:szCs w:val="24"/>
        </w:rPr>
        <w:t xml:space="preserve"> where the percentages reached </w:t>
      </w:r>
      <w:r>
        <w:rPr>
          <w:rFonts w:ascii="Times New Roman" w:hAnsi="Times New Roman" w:cs="Times New Roman"/>
          <w:sz w:val="24"/>
          <w:szCs w:val="24"/>
        </w:rPr>
        <w:t>47.0</w:t>
      </w:r>
      <w:r w:rsidRPr="00891951">
        <w:rPr>
          <w:rFonts w:ascii="Times New Roman" w:hAnsi="Times New Roman" w:cs="Times New Roman"/>
          <w:sz w:val="24"/>
          <w:szCs w:val="24"/>
        </w:rPr>
        <w:t xml:space="preserve">% and </w:t>
      </w:r>
      <w:r>
        <w:rPr>
          <w:rFonts w:ascii="Times New Roman" w:hAnsi="Times New Roman" w:cs="Times New Roman"/>
          <w:sz w:val="24"/>
          <w:szCs w:val="24"/>
        </w:rPr>
        <w:t>38.3</w:t>
      </w:r>
      <w:r w:rsidRPr="00891951">
        <w:rPr>
          <w:rFonts w:ascii="Times New Roman" w:hAnsi="Times New Roman" w:cs="Times New Roman"/>
          <w:sz w:val="24"/>
          <w:szCs w:val="24"/>
        </w:rPr>
        <w:t>%</w:t>
      </w:r>
      <w:r w:rsidR="00737D8F">
        <w:rPr>
          <w:rFonts w:ascii="Times New Roman" w:hAnsi="Times New Roman" w:cs="Times New Roman"/>
          <w:sz w:val="24"/>
          <w:szCs w:val="24"/>
        </w:rPr>
        <w:t>,</w:t>
      </w:r>
      <w:r w:rsidRPr="00891951">
        <w:rPr>
          <w:rFonts w:ascii="Times New Roman" w:hAnsi="Times New Roman" w:cs="Times New Roman"/>
          <w:sz w:val="24"/>
          <w:szCs w:val="24"/>
        </w:rPr>
        <w:t xml:space="preserve"> respectively. </w:t>
      </w:r>
      <w:r w:rsidR="00737D8F">
        <w:rPr>
          <w:rFonts w:ascii="Times New Roman" w:hAnsi="Times New Roman" w:cs="Times New Roman"/>
          <w:sz w:val="24"/>
          <w:szCs w:val="24"/>
        </w:rPr>
        <w:t xml:space="preserve">On the other hand, </w:t>
      </w:r>
      <w:r w:rsidRPr="00891951">
        <w:rPr>
          <w:rFonts w:ascii="Times New Roman" w:hAnsi="Times New Roman" w:cs="Times New Roman"/>
          <w:sz w:val="24"/>
          <w:szCs w:val="24"/>
        </w:rPr>
        <w:t xml:space="preserve">the reporting rate in </w:t>
      </w:r>
      <w:r w:rsidR="00737D8F">
        <w:rPr>
          <w:rFonts w:ascii="Times New Roman" w:hAnsi="Times New Roman" w:cs="Times New Roman"/>
          <w:sz w:val="24"/>
          <w:szCs w:val="24"/>
        </w:rPr>
        <w:t xml:space="preserve">the </w:t>
      </w:r>
      <w:r w:rsidRPr="00891951">
        <w:rPr>
          <w:rFonts w:ascii="Times New Roman" w:hAnsi="Times New Roman" w:cs="Times New Roman"/>
          <w:sz w:val="24"/>
          <w:szCs w:val="24"/>
        </w:rPr>
        <w:t xml:space="preserve">Gaza Strip increased during the years </w:t>
      </w:r>
      <w:r>
        <w:rPr>
          <w:rFonts w:ascii="Times New Roman" w:hAnsi="Times New Roman" w:cs="Times New Roman"/>
          <w:sz w:val="24"/>
          <w:szCs w:val="24"/>
        </w:rPr>
        <w:t>2020</w:t>
      </w:r>
      <w:r w:rsidRPr="00891951">
        <w:rPr>
          <w:rFonts w:ascii="Times New Roman" w:hAnsi="Times New Roman" w:cs="Times New Roman"/>
          <w:sz w:val="24"/>
          <w:szCs w:val="24"/>
        </w:rPr>
        <w:t xml:space="preserve"> and </w:t>
      </w:r>
      <w:r>
        <w:rPr>
          <w:rFonts w:ascii="Times New Roman" w:hAnsi="Times New Roman" w:cs="Times New Roman"/>
          <w:sz w:val="24"/>
          <w:szCs w:val="24"/>
        </w:rPr>
        <w:t>2016</w:t>
      </w:r>
      <w:r w:rsidRPr="00891951">
        <w:rPr>
          <w:rFonts w:ascii="Times New Roman" w:hAnsi="Times New Roman" w:cs="Times New Roman"/>
          <w:sz w:val="24"/>
          <w:szCs w:val="24"/>
        </w:rPr>
        <w:t xml:space="preserve"> where the percentages reached </w:t>
      </w:r>
      <w:r>
        <w:rPr>
          <w:rFonts w:ascii="Times New Roman" w:hAnsi="Times New Roman" w:cs="Times New Roman"/>
          <w:sz w:val="24"/>
          <w:szCs w:val="24"/>
        </w:rPr>
        <w:t>56.9</w:t>
      </w:r>
      <w:r w:rsidRPr="00891951">
        <w:rPr>
          <w:rFonts w:ascii="Times New Roman" w:hAnsi="Times New Roman" w:cs="Times New Roman"/>
          <w:sz w:val="24"/>
          <w:szCs w:val="24"/>
        </w:rPr>
        <w:t xml:space="preserve">% and </w:t>
      </w:r>
      <w:r>
        <w:rPr>
          <w:rFonts w:ascii="Times New Roman" w:hAnsi="Times New Roman" w:cs="Times New Roman"/>
          <w:sz w:val="24"/>
          <w:szCs w:val="24"/>
        </w:rPr>
        <w:t>45.9</w:t>
      </w:r>
      <w:r w:rsidR="00350B7C">
        <w:rPr>
          <w:rFonts w:ascii="Times New Roman" w:hAnsi="Times New Roman" w:cs="Times New Roman"/>
          <w:sz w:val="24"/>
          <w:szCs w:val="24"/>
        </w:rPr>
        <w:t>% respectively.</w:t>
      </w:r>
    </w:p>
    <w:p w14:paraId="58D80299"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71E89187"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0223E21B"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35A5D53D"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35F25E2E"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2E13CD19"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48B00F60"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254AA0CE"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3B07CAE4"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34FF4E51"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416C49D3"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7258F9AB"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5A6F030A"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6FD48274"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469D8497"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23F476CA"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747DE65E"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1CFB8CD3"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79564B0C"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tbl>
      <w:tblPr>
        <w:tblW w:w="9027" w:type="dxa"/>
        <w:tblBorders>
          <w:top w:val="thinThickSmallGap" w:sz="24" w:space="0" w:color="333352"/>
          <w:left w:val="thinThickSmallGap" w:sz="24" w:space="0" w:color="333352"/>
          <w:bottom w:val="thinThickSmallGap" w:sz="24" w:space="0" w:color="333352"/>
          <w:right w:val="thinThickSmallGap" w:sz="24" w:space="0" w:color="333352"/>
        </w:tblBorders>
        <w:tblLook w:val="04A0" w:firstRow="1" w:lastRow="0" w:firstColumn="1" w:lastColumn="0" w:noHBand="0" w:noVBand="1"/>
      </w:tblPr>
      <w:tblGrid>
        <w:gridCol w:w="2078"/>
        <w:gridCol w:w="6949"/>
      </w:tblGrid>
      <w:tr w:rsidR="0071415F" w:rsidRPr="000D2E4D" w14:paraId="1329D897" w14:textId="77777777" w:rsidTr="0071415F">
        <w:tc>
          <w:tcPr>
            <w:tcW w:w="2078" w:type="dxa"/>
            <w:shd w:val="clear" w:color="auto" w:fill="auto"/>
            <w:vAlign w:val="center"/>
          </w:tcPr>
          <w:p w14:paraId="7E8A07BD" w14:textId="77777777" w:rsidR="0071415F" w:rsidRPr="000D2E4D" w:rsidRDefault="0071415F" w:rsidP="0071415F">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2984FEB8" wp14:editId="6E2C9396">
                  <wp:extent cx="1121410" cy="1081405"/>
                  <wp:effectExtent l="19050" t="0" r="2540" b="0"/>
                  <wp:docPr id="25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30" cstate="print"/>
                          <a:srcRect/>
                          <a:stretch>
                            <a:fillRect/>
                          </a:stretch>
                        </pic:blipFill>
                        <pic:spPr bwMode="auto">
                          <a:xfrm>
                            <a:off x="0" y="0"/>
                            <a:ext cx="1121410" cy="1081405"/>
                          </a:xfrm>
                          <a:prstGeom prst="rect">
                            <a:avLst/>
                          </a:prstGeom>
                          <a:noFill/>
                          <a:ln w="9525">
                            <a:noFill/>
                            <a:miter lim="800000"/>
                            <a:headEnd/>
                            <a:tailEnd/>
                          </a:ln>
                        </pic:spPr>
                      </pic:pic>
                    </a:graphicData>
                  </a:graphic>
                </wp:inline>
              </w:drawing>
            </w:r>
          </w:p>
        </w:tc>
        <w:tc>
          <w:tcPr>
            <w:tcW w:w="6949" w:type="dxa"/>
            <w:shd w:val="clear" w:color="auto" w:fill="auto"/>
            <w:vAlign w:val="center"/>
          </w:tcPr>
          <w:p w14:paraId="1057CB95" w14:textId="77777777" w:rsidR="0071415F" w:rsidRPr="000D2E4D" w:rsidRDefault="0071415F" w:rsidP="0071415F">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17 – </w:t>
            </w:r>
            <w:r w:rsidRPr="000D2E4D">
              <w:rPr>
                <w:rFonts w:ascii="Times New Roman" w:hAnsi="Times New Roman" w:cs="Times New Roman"/>
                <w:b/>
                <w:bCs/>
                <w:kern w:val="36"/>
                <w:sz w:val="32"/>
                <w:szCs w:val="32"/>
              </w:rPr>
              <w:t xml:space="preserve">Revitalize </w:t>
            </w:r>
            <w:r w:rsidR="00737D8F">
              <w:rPr>
                <w:rFonts w:ascii="Times New Roman" w:hAnsi="Times New Roman" w:cs="Times New Roman"/>
                <w:b/>
                <w:bCs/>
                <w:kern w:val="36"/>
                <w:sz w:val="32"/>
                <w:szCs w:val="32"/>
              </w:rPr>
              <w:t>t</w:t>
            </w:r>
            <w:r w:rsidRPr="000D2E4D">
              <w:rPr>
                <w:rFonts w:ascii="Times New Roman" w:hAnsi="Times New Roman" w:cs="Times New Roman"/>
                <w:b/>
                <w:bCs/>
                <w:kern w:val="36"/>
                <w:sz w:val="32"/>
                <w:szCs w:val="32"/>
              </w:rPr>
              <w:t>he Global Partnership For Sustainable Development</w:t>
            </w:r>
          </w:p>
        </w:tc>
      </w:tr>
    </w:tbl>
    <w:p w14:paraId="4766DAF1" w14:textId="77777777" w:rsidR="0071415F" w:rsidRPr="008C29DB"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4FEA3155"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Introduction to the Goal</w:t>
      </w:r>
    </w:p>
    <w:p w14:paraId="6673654A"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Goal 17 centered on strengthening the means of implementing the 2030 agenda and the promotion of the global partnership for sustainable development, is a goal with a distinctly cross-cutting character ascompared to the other SDGs which instead provide for specific means of implementation. Cooperation, a principle inherent in the very concept of sustainability, 'all countries and all stakeholders, acting in collaborative partnership, will implement this programme</w:t>
      </w:r>
      <w:r w:rsidR="00737D8F">
        <w:rPr>
          <w:rFonts w:asciiTheme="majorBidi" w:hAnsiTheme="majorBidi" w:cstheme="majorBidi"/>
          <w:sz w:val="24"/>
          <w:szCs w:val="24"/>
        </w:rPr>
        <w:t>.</w:t>
      </w:r>
      <w:r w:rsidRPr="00C06ADB">
        <w:rPr>
          <w:rFonts w:asciiTheme="majorBidi" w:hAnsiTheme="majorBidi" w:cstheme="majorBidi"/>
          <w:sz w:val="24"/>
          <w:szCs w:val="24"/>
        </w:rPr>
        <w:t xml:space="preserve"> In an increasingly globally interconnected world, collaboration for sustainable development must be done internationally, nationally</w:t>
      </w:r>
      <w:r w:rsidR="00737D8F">
        <w:rPr>
          <w:rFonts w:asciiTheme="majorBidi" w:hAnsiTheme="majorBidi" w:cstheme="majorBidi"/>
          <w:sz w:val="24"/>
          <w:szCs w:val="24"/>
        </w:rPr>
        <w:t>,</w:t>
      </w:r>
      <w:r w:rsidRPr="00C06ADB">
        <w:rPr>
          <w:rFonts w:asciiTheme="majorBidi" w:hAnsiTheme="majorBidi" w:cstheme="majorBidi"/>
          <w:sz w:val="24"/>
          <w:szCs w:val="24"/>
        </w:rPr>
        <w:t xml:space="preserve"> and locally and involve public institutions, the private sector and civil society as the main tool for reinforcing solidarity on the global level, protecting the needs of the most vulnerable categories. There is a special focus on the developing and least developed countries, with the objective of integrating them more into the global economy and strengthening them through the contributions and resources of the more developed countries, consistent with each country's abilities and needs and respecting national priorities and policies.</w:t>
      </w:r>
    </w:p>
    <w:p w14:paraId="7401B8CC"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p>
    <w:p w14:paraId="011B600D"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Target:</w:t>
      </w:r>
    </w:p>
    <w:p w14:paraId="1240829B" w14:textId="77777777" w:rsidR="0071415F"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 xml:space="preserve">Goal 17 is broken down into 19 </w:t>
      </w:r>
      <w:r w:rsidR="00AD1A4E">
        <w:rPr>
          <w:rFonts w:asciiTheme="majorBidi" w:hAnsiTheme="majorBidi" w:cstheme="majorBidi"/>
          <w:sz w:val="24"/>
          <w:szCs w:val="24"/>
        </w:rPr>
        <w:t>t</w:t>
      </w:r>
      <w:r w:rsidRPr="00C06ADB">
        <w:rPr>
          <w:rFonts w:asciiTheme="majorBidi" w:hAnsiTheme="majorBidi" w:cstheme="majorBidi"/>
          <w:sz w:val="24"/>
          <w:szCs w:val="24"/>
        </w:rPr>
        <w:t xml:space="preserve">argets, of which the last </w:t>
      </w:r>
      <w:r w:rsidR="00AD1A4E">
        <w:rPr>
          <w:rFonts w:asciiTheme="majorBidi" w:hAnsiTheme="majorBidi" w:cstheme="majorBidi"/>
          <w:sz w:val="24"/>
          <w:szCs w:val="24"/>
        </w:rPr>
        <w:t>two</w:t>
      </w:r>
      <w:r w:rsidRPr="00C06ADB">
        <w:rPr>
          <w:rFonts w:asciiTheme="majorBidi" w:hAnsiTheme="majorBidi" w:cstheme="majorBidi"/>
          <w:sz w:val="24"/>
          <w:szCs w:val="24"/>
        </w:rPr>
        <w:t xml:space="preserve"> refer to means of implementation: </w:t>
      </w:r>
    </w:p>
    <w:p w14:paraId="4FDF2A68" w14:textId="77777777" w:rsidR="006E49BE" w:rsidRPr="00C06ADB" w:rsidRDefault="006E49BE" w:rsidP="006E49BE">
      <w:pPr>
        <w:autoSpaceDE w:val="0"/>
        <w:autoSpaceDN w:val="0"/>
        <w:bidi w:val="0"/>
        <w:adjustRightInd w:val="0"/>
        <w:spacing w:after="0" w:line="240" w:lineRule="auto"/>
        <w:jc w:val="both"/>
        <w:rPr>
          <w:rFonts w:asciiTheme="majorBidi" w:hAnsiTheme="majorBidi" w:cstheme="majorBidi"/>
          <w:sz w:val="24"/>
          <w:szCs w:val="24"/>
        </w:rPr>
      </w:pPr>
    </w:p>
    <w:p w14:paraId="3F6AC2AB"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w:t>
      </w:r>
    </w:p>
    <w:p w14:paraId="7DBAE50C"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color w:val="000000"/>
          <w:sz w:val="24"/>
          <w:szCs w:val="24"/>
        </w:rPr>
        <w:t>S</w:t>
      </w:r>
      <w:r w:rsidRPr="00C06ADB">
        <w:rPr>
          <w:rFonts w:asciiTheme="majorBidi" w:hAnsiTheme="majorBidi" w:cstheme="majorBidi"/>
          <w:sz w:val="24"/>
          <w:szCs w:val="24"/>
        </w:rPr>
        <w:t>trengthen domestic resource mobilization including through international support to developing countries, to improve domestic capacity for tax and other revenue collection.</w:t>
      </w:r>
    </w:p>
    <w:p w14:paraId="05F1EFC7"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2D8866DB"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17.2</w:t>
      </w:r>
    </w:p>
    <w:p w14:paraId="64DEB6EC"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Developed countries to implement fully their official development assistance commitments including the commitment by many developed countries to achieve the target of 0.7</w:t>
      </w:r>
      <w:r w:rsidR="00AD1A4E">
        <w:rPr>
          <w:rFonts w:asciiTheme="majorBidi" w:hAnsiTheme="majorBidi" w:cstheme="majorBidi"/>
          <w:sz w:val="24"/>
          <w:szCs w:val="24"/>
        </w:rPr>
        <w:t>%</w:t>
      </w:r>
      <w:r w:rsidRPr="00C06ADB">
        <w:rPr>
          <w:rFonts w:asciiTheme="majorBidi" w:hAnsiTheme="majorBidi" w:cstheme="majorBidi"/>
          <w:sz w:val="24"/>
          <w:szCs w:val="24"/>
        </w:rPr>
        <w:t xml:space="preserve"> of gross national income for official development assistance (ODA/GNI) to developing countries and 0.15 to 0.20</w:t>
      </w:r>
      <w:r w:rsidR="00AD1A4E">
        <w:rPr>
          <w:rFonts w:asciiTheme="majorBidi" w:hAnsiTheme="majorBidi" w:cstheme="majorBidi"/>
          <w:sz w:val="24"/>
          <w:szCs w:val="24"/>
        </w:rPr>
        <w:t>%</w:t>
      </w:r>
      <w:r w:rsidRPr="00C06ADB">
        <w:rPr>
          <w:rFonts w:asciiTheme="majorBidi" w:hAnsiTheme="majorBidi" w:cstheme="majorBidi"/>
          <w:sz w:val="24"/>
          <w:szCs w:val="24"/>
        </w:rPr>
        <w:t xml:space="preserve"> of ODA/GNI to least developed countries; ODA providers are encouraged to consider setting a target to provide at least 0.20</w:t>
      </w:r>
      <w:r w:rsidR="00AD1A4E">
        <w:rPr>
          <w:rFonts w:asciiTheme="majorBidi" w:hAnsiTheme="majorBidi" w:cstheme="majorBidi"/>
          <w:sz w:val="24"/>
          <w:szCs w:val="24"/>
        </w:rPr>
        <w:t>%</w:t>
      </w:r>
      <w:r w:rsidRPr="00C06ADB">
        <w:rPr>
          <w:rFonts w:asciiTheme="majorBidi" w:hAnsiTheme="majorBidi" w:cstheme="majorBidi"/>
          <w:sz w:val="24"/>
          <w:szCs w:val="24"/>
        </w:rPr>
        <w:t xml:space="preserve"> of ODA/GNI to least developed countries.</w:t>
      </w:r>
    </w:p>
    <w:p w14:paraId="4F1C73FE"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119AC592"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17.3</w:t>
      </w:r>
    </w:p>
    <w:p w14:paraId="799A33E6"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Mobilize additional financial resources for developing countries from multiple sources.</w:t>
      </w:r>
    </w:p>
    <w:p w14:paraId="2BC5F1CC"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63D9E0AB"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17.4</w:t>
      </w:r>
    </w:p>
    <w:p w14:paraId="388CFDDA"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Assist developing countries in attaining long-term debt sustainability through coordinated policies aimed at fostering debt financing, debt relief and debt restructuring, as appropriate, and address the external debt of highly indebted poor countries to reduce debt distress.</w:t>
      </w:r>
    </w:p>
    <w:p w14:paraId="13F36618"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7BA06EA6"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17.5</w:t>
      </w:r>
    </w:p>
    <w:p w14:paraId="54C1BE87" w14:textId="77777777" w:rsidR="0071415F"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Adopt and implement investment promotion regimes for least developed countries.</w:t>
      </w:r>
    </w:p>
    <w:p w14:paraId="27B7345C" w14:textId="77777777" w:rsidR="0071415F"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3A6075CE" w14:textId="77777777" w:rsidR="00B10C76" w:rsidRDefault="00B10C76" w:rsidP="00B10C76">
      <w:pPr>
        <w:autoSpaceDE w:val="0"/>
        <w:autoSpaceDN w:val="0"/>
        <w:bidi w:val="0"/>
        <w:adjustRightInd w:val="0"/>
        <w:spacing w:after="0" w:line="240" w:lineRule="auto"/>
        <w:jc w:val="both"/>
        <w:rPr>
          <w:rFonts w:asciiTheme="majorBidi" w:hAnsiTheme="majorBidi" w:cstheme="majorBidi"/>
          <w:b/>
          <w:bCs/>
          <w:sz w:val="24"/>
          <w:szCs w:val="24"/>
        </w:rPr>
      </w:pPr>
    </w:p>
    <w:p w14:paraId="21942526" w14:textId="77777777" w:rsidR="006E49BE" w:rsidRDefault="006E49BE" w:rsidP="006E49BE">
      <w:pPr>
        <w:autoSpaceDE w:val="0"/>
        <w:autoSpaceDN w:val="0"/>
        <w:bidi w:val="0"/>
        <w:adjustRightInd w:val="0"/>
        <w:spacing w:after="0" w:line="240" w:lineRule="auto"/>
        <w:jc w:val="both"/>
        <w:rPr>
          <w:rFonts w:asciiTheme="majorBidi" w:hAnsiTheme="majorBidi" w:cstheme="majorBidi"/>
          <w:b/>
          <w:bCs/>
          <w:sz w:val="24"/>
          <w:szCs w:val="24"/>
        </w:rPr>
      </w:pPr>
    </w:p>
    <w:p w14:paraId="4B61D6F4"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lastRenderedPageBreak/>
        <w:t>17.6</w:t>
      </w:r>
    </w:p>
    <w:p w14:paraId="038038AB"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Enhance North-South, South-South and triangular regional and international cooperation on and access to science, technology and innovation and enhance knowledge sharing on mutually agreed terms including through improved coordination among existing mechanisms, in particular at the United Nations level and through a global technology facilitation mechanism.</w:t>
      </w:r>
    </w:p>
    <w:p w14:paraId="690AAC6B"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59857CD4"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17.7</w:t>
      </w:r>
    </w:p>
    <w:p w14:paraId="7112C9CC"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Promote the development, transfer, dissemination and diffusion of environmentally sound technologies to developing countries on favorable terms including on concessional and preferential terms, as mutually agreed.</w:t>
      </w:r>
    </w:p>
    <w:p w14:paraId="78D48FD1"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0D9E36BF"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17.8</w:t>
      </w:r>
    </w:p>
    <w:p w14:paraId="09A6ED92"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Fully operationalize the technology bank and science, technology and innovation capacity-building mechanism for least developed countries by 2017 and enhance the use of enabling technology, in particular information and communications technology.</w:t>
      </w:r>
    </w:p>
    <w:p w14:paraId="63F4A5A5"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3B83A034"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17.9</w:t>
      </w:r>
    </w:p>
    <w:p w14:paraId="43A5CEFF"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 xml:space="preserve">Capacity-building </w:t>
      </w:r>
      <w:r w:rsidR="00AD1A4E">
        <w:rPr>
          <w:rFonts w:asciiTheme="majorBidi" w:hAnsiTheme="majorBidi" w:cstheme="majorBidi"/>
          <w:sz w:val="24"/>
          <w:szCs w:val="24"/>
        </w:rPr>
        <w:t>e</w:t>
      </w:r>
      <w:r w:rsidRPr="00C06ADB">
        <w:rPr>
          <w:rFonts w:asciiTheme="majorBidi" w:hAnsiTheme="majorBidi" w:cstheme="majorBidi"/>
          <w:sz w:val="24"/>
          <w:szCs w:val="24"/>
        </w:rPr>
        <w:t>nhance international support for implementing effective and targeted capacity-building in developing countries to support national plans to implement all the Sustainable Development Goals including through North-South, South-South and triangular cooperation.</w:t>
      </w:r>
    </w:p>
    <w:p w14:paraId="4B02D9E3"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476DBDB8"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17.10</w:t>
      </w:r>
    </w:p>
    <w:p w14:paraId="58141708"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Promote a universal, rules-based, open, non-discriminatory and equitable multilateral trading system under the World Trade Organization including through the conclusion of negotiations under its Doha Development Agenda.</w:t>
      </w:r>
    </w:p>
    <w:p w14:paraId="15C469EC"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2B20384F"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17.11</w:t>
      </w:r>
    </w:p>
    <w:p w14:paraId="0E1D03AC"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Significantly increase the exports of developing countries, in particular with a view to doubling the least developed countries’ share of global exports by 2020.</w:t>
      </w:r>
    </w:p>
    <w:p w14:paraId="0A229037"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6B034054"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17.12</w:t>
      </w:r>
    </w:p>
    <w:p w14:paraId="76C7D91D"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Realize timely implementation of duty-free and quota-free market access on a lasting basis for all least developed countries, consistent with World Trade Organization decisions including by ensuring that preferential rules of origin applicable to imports from least developed countries are transparent and simple, and contribute to facilitating market access.</w:t>
      </w:r>
    </w:p>
    <w:p w14:paraId="6BE11E73"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365A17CA"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17.13</w:t>
      </w:r>
    </w:p>
    <w:p w14:paraId="394F7D85"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Enhance global macroeconomic stability including through policy coordination and policy coherence.</w:t>
      </w:r>
    </w:p>
    <w:p w14:paraId="398F28B0"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4418CBD1"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17.14</w:t>
      </w:r>
    </w:p>
    <w:p w14:paraId="064FEFA4"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Enhance policy coherence for sustainable development.</w:t>
      </w:r>
    </w:p>
    <w:p w14:paraId="43A90A78"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p>
    <w:p w14:paraId="470377A8"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r w:rsidRPr="00C06ADB">
        <w:rPr>
          <w:rFonts w:asciiTheme="majorBidi" w:eastAsia="Arial Narrow" w:hAnsiTheme="majorBidi" w:cstheme="majorBidi"/>
          <w:b/>
          <w:bCs/>
          <w:spacing w:val="10"/>
          <w:sz w:val="24"/>
          <w:szCs w:val="24"/>
        </w:rPr>
        <w:t>17.15</w:t>
      </w:r>
    </w:p>
    <w:p w14:paraId="6B124E9B"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Respect each country’s policy space and leadership to establish and implement policies for poverty eradication and sustainable development.</w:t>
      </w:r>
    </w:p>
    <w:p w14:paraId="385E83B3" w14:textId="77777777" w:rsidR="0071415F" w:rsidRDefault="0071415F" w:rsidP="0071415F">
      <w:pPr>
        <w:autoSpaceDE w:val="0"/>
        <w:autoSpaceDN w:val="0"/>
        <w:bidi w:val="0"/>
        <w:adjustRightInd w:val="0"/>
        <w:spacing w:after="0" w:line="240" w:lineRule="auto"/>
        <w:jc w:val="both"/>
        <w:rPr>
          <w:rFonts w:asciiTheme="majorBidi" w:hAnsiTheme="majorBidi" w:cstheme="majorBidi"/>
          <w:sz w:val="24"/>
          <w:szCs w:val="24"/>
        </w:rPr>
      </w:pPr>
    </w:p>
    <w:p w14:paraId="1CEF3961" w14:textId="77777777" w:rsidR="006E49BE" w:rsidRDefault="006E49BE" w:rsidP="006E49BE">
      <w:pPr>
        <w:autoSpaceDE w:val="0"/>
        <w:autoSpaceDN w:val="0"/>
        <w:bidi w:val="0"/>
        <w:adjustRightInd w:val="0"/>
        <w:spacing w:after="0" w:line="240" w:lineRule="auto"/>
        <w:jc w:val="both"/>
        <w:rPr>
          <w:rFonts w:asciiTheme="majorBidi" w:hAnsiTheme="majorBidi" w:cstheme="majorBidi"/>
          <w:sz w:val="24"/>
          <w:szCs w:val="24"/>
        </w:rPr>
      </w:pPr>
    </w:p>
    <w:p w14:paraId="2078FF6E" w14:textId="77777777" w:rsidR="006E49BE" w:rsidRDefault="006E49BE" w:rsidP="006E49BE">
      <w:pPr>
        <w:autoSpaceDE w:val="0"/>
        <w:autoSpaceDN w:val="0"/>
        <w:bidi w:val="0"/>
        <w:adjustRightInd w:val="0"/>
        <w:spacing w:after="0" w:line="240" w:lineRule="auto"/>
        <w:jc w:val="both"/>
        <w:rPr>
          <w:rFonts w:asciiTheme="majorBidi" w:hAnsiTheme="majorBidi" w:cstheme="majorBidi"/>
          <w:sz w:val="24"/>
          <w:szCs w:val="24"/>
        </w:rPr>
      </w:pPr>
    </w:p>
    <w:p w14:paraId="5CEBD37C"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r w:rsidRPr="00C06ADB">
        <w:rPr>
          <w:rFonts w:asciiTheme="majorBidi" w:eastAsia="Arial Narrow" w:hAnsiTheme="majorBidi" w:cstheme="majorBidi"/>
          <w:b/>
          <w:bCs/>
          <w:spacing w:val="10"/>
          <w:sz w:val="24"/>
          <w:szCs w:val="24"/>
        </w:rPr>
        <w:lastRenderedPageBreak/>
        <w:t>17.</w:t>
      </w:r>
      <w:r w:rsidRPr="00C06ADB">
        <w:rPr>
          <w:rFonts w:asciiTheme="majorBidi" w:hAnsiTheme="majorBidi" w:cstheme="majorBidi"/>
          <w:b/>
          <w:bCs/>
          <w:sz w:val="24"/>
          <w:szCs w:val="24"/>
        </w:rPr>
        <w:t>16</w:t>
      </w:r>
    </w:p>
    <w:p w14:paraId="5E1D228C"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Multi-stakeholder partnerships Enhance the Global Partnership for Sustainable Development, complemented by multi-stakeholder partnerships that mobilize and share knowledge, expertise, technology and financial resources, to support the achievement of the Sustainable Development Goals in all countries, particular</w:t>
      </w:r>
      <w:r w:rsidR="00AD1A4E">
        <w:rPr>
          <w:rFonts w:asciiTheme="majorBidi" w:hAnsiTheme="majorBidi" w:cstheme="majorBidi"/>
          <w:sz w:val="24"/>
          <w:szCs w:val="24"/>
        </w:rPr>
        <w:t>ly</w:t>
      </w:r>
      <w:r w:rsidRPr="00C06ADB">
        <w:rPr>
          <w:rFonts w:asciiTheme="majorBidi" w:hAnsiTheme="majorBidi" w:cstheme="majorBidi"/>
          <w:sz w:val="24"/>
          <w:szCs w:val="24"/>
        </w:rPr>
        <w:t xml:space="preserve"> developing countries.</w:t>
      </w:r>
    </w:p>
    <w:p w14:paraId="1EC34148"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p>
    <w:p w14:paraId="43AC3AA0"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r w:rsidRPr="00C06ADB">
        <w:rPr>
          <w:rFonts w:asciiTheme="majorBidi" w:eastAsia="Arial Narrow" w:hAnsiTheme="majorBidi" w:cstheme="majorBidi"/>
          <w:b/>
          <w:bCs/>
          <w:spacing w:val="10"/>
          <w:sz w:val="24"/>
          <w:szCs w:val="24"/>
        </w:rPr>
        <w:t>17.17</w:t>
      </w:r>
    </w:p>
    <w:p w14:paraId="4151F34D"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Encourage and promote effective public, public-private and civil society partnerships, building on the experience and resourcing strategies of partnerships.</w:t>
      </w:r>
    </w:p>
    <w:p w14:paraId="7FEFAF61"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p>
    <w:p w14:paraId="29281759"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r w:rsidRPr="00C06ADB">
        <w:rPr>
          <w:rFonts w:asciiTheme="majorBidi" w:eastAsia="Arial Narrow" w:hAnsiTheme="majorBidi" w:cstheme="majorBidi"/>
          <w:b/>
          <w:bCs/>
          <w:spacing w:val="10"/>
          <w:sz w:val="24"/>
          <w:szCs w:val="24"/>
        </w:rPr>
        <w:t>17.18</w:t>
      </w:r>
    </w:p>
    <w:p w14:paraId="02147599"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 xml:space="preserve">Data, monitoring and accountability </w:t>
      </w:r>
      <w:r w:rsidR="00AD1A4E">
        <w:rPr>
          <w:rFonts w:asciiTheme="majorBidi" w:hAnsiTheme="majorBidi" w:cstheme="majorBidi"/>
          <w:sz w:val="24"/>
          <w:szCs w:val="24"/>
        </w:rPr>
        <w:t>b</w:t>
      </w:r>
      <w:r w:rsidRPr="00C06ADB">
        <w:rPr>
          <w:rFonts w:asciiTheme="majorBidi" w:hAnsiTheme="majorBidi" w:cstheme="majorBidi"/>
          <w:sz w:val="24"/>
          <w:szCs w:val="24"/>
        </w:rPr>
        <w:t xml:space="preserve">y 2020, enhance capacity-building support to developing countries including for least developed countries and </w:t>
      </w:r>
      <w:r w:rsidR="00A853EC">
        <w:rPr>
          <w:rFonts w:asciiTheme="majorBidi" w:hAnsiTheme="majorBidi" w:cstheme="majorBidi"/>
          <w:sz w:val="24"/>
          <w:szCs w:val="24"/>
        </w:rPr>
        <w:t>S</w:t>
      </w:r>
      <w:r w:rsidRPr="00C06ADB">
        <w:rPr>
          <w:rFonts w:asciiTheme="majorBidi" w:hAnsiTheme="majorBidi" w:cstheme="majorBidi"/>
          <w:sz w:val="24"/>
          <w:szCs w:val="24"/>
        </w:rPr>
        <w:t xml:space="preserve">mall </w:t>
      </w:r>
      <w:r w:rsidR="00A853EC">
        <w:rPr>
          <w:rFonts w:asciiTheme="majorBidi" w:hAnsiTheme="majorBidi" w:cstheme="majorBidi"/>
          <w:sz w:val="24"/>
          <w:szCs w:val="24"/>
        </w:rPr>
        <w:t>I</w:t>
      </w:r>
      <w:r w:rsidRPr="00C06ADB">
        <w:rPr>
          <w:rFonts w:asciiTheme="majorBidi" w:hAnsiTheme="majorBidi" w:cstheme="majorBidi"/>
          <w:sz w:val="24"/>
          <w:szCs w:val="24"/>
        </w:rPr>
        <w:t xml:space="preserve">sland </w:t>
      </w:r>
      <w:r w:rsidR="00A853EC">
        <w:rPr>
          <w:rFonts w:asciiTheme="majorBidi" w:hAnsiTheme="majorBidi" w:cstheme="majorBidi"/>
          <w:sz w:val="24"/>
          <w:szCs w:val="24"/>
        </w:rPr>
        <w:t>D</w:t>
      </w:r>
      <w:r w:rsidRPr="00C06ADB">
        <w:rPr>
          <w:rFonts w:asciiTheme="majorBidi" w:hAnsiTheme="majorBidi" w:cstheme="majorBidi"/>
          <w:sz w:val="24"/>
          <w:szCs w:val="24"/>
        </w:rPr>
        <w:t>eveloping States, to increase significantly the availability of high-quality, timely and reliable data disaggregated by income, gender, age, race, ethnicity, migratory status, disability, geographic location</w:t>
      </w:r>
      <w:r w:rsidR="00A853EC">
        <w:rPr>
          <w:rFonts w:asciiTheme="majorBidi" w:hAnsiTheme="majorBidi" w:cstheme="majorBidi"/>
          <w:sz w:val="24"/>
          <w:szCs w:val="24"/>
        </w:rPr>
        <w:t>,</w:t>
      </w:r>
      <w:r w:rsidRPr="00C06ADB">
        <w:rPr>
          <w:rFonts w:asciiTheme="majorBidi" w:hAnsiTheme="majorBidi" w:cstheme="majorBidi"/>
          <w:sz w:val="24"/>
          <w:szCs w:val="24"/>
        </w:rPr>
        <w:t xml:space="preserve"> and other characteristics relevant in national contexts.</w:t>
      </w:r>
    </w:p>
    <w:p w14:paraId="65F00DE6"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45522DE9"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spacing w:val="10"/>
          <w:sz w:val="24"/>
          <w:szCs w:val="24"/>
        </w:rPr>
      </w:pPr>
      <w:r w:rsidRPr="00C06ADB">
        <w:rPr>
          <w:rFonts w:asciiTheme="majorBidi" w:hAnsiTheme="majorBidi" w:cstheme="majorBidi"/>
          <w:b/>
          <w:bCs/>
          <w:sz w:val="24"/>
          <w:szCs w:val="24"/>
        </w:rPr>
        <w:t>17</w:t>
      </w:r>
      <w:r w:rsidRPr="00C06ADB">
        <w:rPr>
          <w:rFonts w:asciiTheme="majorBidi" w:eastAsia="Arial Narrow" w:hAnsiTheme="majorBidi" w:cstheme="majorBidi"/>
          <w:b/>
          <w:bCs/>
          <w:spacing w:val="10"/>
          <w:sz w:val="24"/>
          <w:szCs w:val="24"/>
        </w:rPr>
        <w:t>.19</w:t>
      </w:r>
    </w:p>
    <w:p w14:paraId="7CB83010"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By 2030, build on existing initiatives to develop measurements of progress on sustainable development that complement gross domestic product and support statistical capacity-building in developing countries.</w:t>
      </w:r>
    </w:p>
    <w:p w14:paraId="4118CFA5"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p>
    <w:p w14:paraId="6FE2D444" w14:textId="77777777" w:rsidR="0071415F" w:rsidRPr="00C06ADB" w:rsidRDefault="0071415F" w:rsidP="00FB1314">
      <w:pPr>
        <w:pStyle w:val="ListParagraph"/>
        <w:numPr>
          <w:ilvl w:val="0"/>
          <w:numId w:val="21"/>
        </w:numPr>
        <w:autoSpaceDE w:val="0"/>
        <w:autoSpaceDN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Indicators released by PCBS</w:t>
      </w:r>
    </w:p>
    <w:p w14:paraId="6BF6210C"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 xml:space="preserve">There are </w:t>
      </w:r>
      <w:r w:rsidR="00A853EC">
        <w:rPr>
          <w:rFonts w:asciiTheme="majorBidi" w:hAnsiTheme="majorBidi" w:cstheme="majorBidi"/>
          <w:sz w:val="24"/>
          <w:szCs w:val="24"/>
        </w:rPr>
        <w:t>nine</w:t>
      </w:r>
      <w:r w:rsidRPr="00C06ADB">
        <w:rPr>
          <w:rFonts w:asciiTheme="majorBidi" w:hAnsiTheme="majorBidi" w:cstheme="majorBidi"/>
          <w:sz w:val="24"/>
          <w:szCs w:val="24"/>
        </w:rPr>
        <w:t xml:space="preserve"> indicators released by PCBS for Goal 17, represent</w:t>
      </w:r>
      <w:r w:rsidR="00A853EC">
        <w:rPr>
          <w:rFonts w:asciiTheme="majorBidi" w:hAnsiTheme="majorBidi" w:cstheme="majorBidi"/>
          <w:sz w:val="24"/>
          <w:szCs w:val="24"/>
        </w:rPr>
        <w:t>ing</w:t>
      </w:r>
      <w:r w:rsidRPr="00C06ADB">
        <w:rPr>
          <w:rFonts w:asciiTheme="majorBidi" w:hAnsiTheme="majorBidi" w:cstheme="majorBidi"/>
          <w:sz w:val="24"/>
          <w:szCs w:val="24"/>
          <w:rtl/>
        </w:rPr>
        <w:t>12</w:t>
      </w:r>
      <w:r w:rsidRPr="00C06ADB">
        <w:rPr>
          <w:rFonts w:asciiTheme="majorBidi" w:hAnsiTheme="majorBidi" w:cstheme="majorBidi"/>
          <w:sz w:val="24"/>
          <w:szCs w:val="24"/>
        </w:rPr>
        <w:t xml:space="preserve"> data point</w:t>
      </w:r>
      <w:r w:rsidR="00A853EC">
        <w:rPr>
          <w:rFonts w:asciiTheme="majorBidi" w:hAnsiTheme="majorBidi" w:cstheme="majorBidi"/>
          <w:sz w:val="24"/>
          <w:szCs w:val="24"/>
        </w:rPr>
        <w:t>s</w:t>
      </w:r>
      <w:r w:rsidRPr="00C06ADB">
        <w:rPr>
          <w:rFonts w:asciiTheme="majorBidi" w:hAnsiTheme="majorBidi" w:cstheme="majorBidi"/>
          <w:sz w:val="24"/>
          <w:szCs w:val="24"/>
        </w:rPr>
        <w:t xml:space="preserve">, referring to </w:t>
      </w:r>
      <w:r w:rsidR="00A853EC">
        <w:rPr>
          <w:rFonts w:asciiTheme="majorBidi" w:hAnsiTheme="majorBidi" w:cstheme="majorBidi"/>
          <w:sz w:val="24"/>
          <w:szCs w:val="24"/>
        </w:rPr>
        <w:t>six</w:t>
      </w:r>
      <w:r w:rsidRPr="00C06ADB">
        <w:rPr>
          <w:rFonts w:asciiTheme="majorBidi" w:hAnsiTheme="majorBidi" w:cstheme="majorBidi"/>
          <w:sz w:val="24"/>
          <w:szCs w:val="24"/>
        </w:rPr>
        <w:t xml:space="preserve"> of the 19 targets.</w:t>
      </w:r>
    </w:p>
    <w:p w14:paraId="5C5EBC5F" w14:textId="77777777" w:rsidR="0071415F" w:rsidRPr="008C29DB"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396D81D2" w14:textId="77777777"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t>Table</w:t>
      </w:r>
      <w:r w:rsidRPr="00422BE3">
        <w:rPr>
          <w:rFonts w:ascii="Arial" w:hAnsi="Arial" w:hint="cs"/>
          <w:b/>
          <w:bCs/>
          <w:rtl/>
        </w:rPr>
        <w:t>17</w:t>
      </w:r>
      <w:r>
        <w:rPr>
          <w:rFonts w:ascii="Arial" w:hAnsi="Arial"/>
          <w:b/>
          <w:bCs/>
        </w:rPr>
        <w:t xml:space="preserve">.1: </w:t>
      </w:r>
      <w:r w:rsidRPr="00422BE3">
        <w:rPr>
          <w:rFonts w:ascii="Arial" w:hAnsi="Arial"/>
          <w:b/>
          <w:bCs/>
        </w:rPr>
        <w:t>List of SDG Indicators Released by PCBS</w:t>
      </w:r>
    </w:p>
    <w:tbl>
      <w:tblPr>
        <w:tblW w:w="5142" w:type="pct"/>
        <w:jc w:val="center"/>
        <w:tblLook w:val="04A0" w:firstRow="1" w:lastRow="0" w:firstColumn="1" w:lastColumn="0" w:noHBand="0" w:noVBand="1"/>
      </w:tblPr>
      <w:tblGrid>
        <w:gridCol w:w="4252"/>
        <w:gridCol w:w="1806"/>
        <w:gridCol w:w="1001"/>
        <w:gridCol w:w="1034"/>
        <w:gridCol w:w="1363"/>
      </w:tblGrid>
      <w:tr w:rsidR="0071415F" w:rsidRPr="00C06ADB" w14:paraId="663803E8" w14:textId="77777777" w:rsidTr="00137121">
        <w:trPr>
          <w:trHeight w:val="504"/>
          <w:tblHeader/>
          <w:jc w:val="center"/>
        </w:trPr>
        <w:tc>
          <w:tcPr>
            <w:tcW w:w="42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A320D" w14:textId="77777777" w:rsidR="0071415F" w:rsidRPr="00C06ADB" w:rsidRDefault="0071415F" w:rsidP="0071415F">
            <w:pPr>
              <w:bidi w:val="0"/>
              <w:spacing w:after="0" w:line="240" w:lineRule="auto"/>
              <w:jc w:val="center"/>
              <w:rPr>
                <w:rFonts w:asciiTheme="minorBidi" w:hAnsiTheme="minorBidi" w:cstheme="minorBidi"/>
                <w:b/>
                <w:bCs/>
                <w:sz w:val="18"/>
                <w:szCs w:val="18"/>
              </w:rPr>
            </w:pPr>
            <w:r w:rsidRPr="00C06ADB">
              <w:rPr>
                <w:rFonts w:asciiTheme="minorBidi" w:hAnsiTheme="minorBidi" w:cstheme="minorBidi"/>
                <w:b/>
                <w:bCs/>
                <w:sz w:val="18"/>
                <w:szCs w:val="18"/>
              </w:rPr>
              <w:t>Indicator</w:t>
            </w:r>
          </w:p>
        </w:tc>
        <w:tc>
          <w:tcPr>
            <w:tcW w:w="1806" w:type="dxa"/>
            <w:tcBorders>
              <w:top w:val="single" w:sz="4" w:space="0" w:color="auto"/>
              <w:left w:val="nil"/>
              <w:bottom w:val="single" w:sz="4" w:space="0" w:color="auto"/>
              <w:right w:val="single" w:sz="4" w:space="0" w:color="auto"/>
            </w:tcBorders>
            <w:shd w:val="clear" w:color="auto" w:fill="auto"/>
            <w:noWrap/>
            <w:vAlign w:val="center"/>
            <w:hideMark/>
          </w:tcPr>
          <w:p w14:paraId="3CFEF19E" w14:textId="77777777" w:rsidR="0071415F" w:rsidRPr="00C06ADB" w:rsidRDefault="0071415F" w:rsidP="0071415F">
            <w:pPr>
              <w:bidi w:val="0"/>
              <w:spacing w:after="0" w:line="240" w:lineRule="auto"/>
              <w:jc w:val="center"/>
              <w:rPr>
                <w:rFonts w:asciiTheme="minorBidi" w:hAnsiTheme="minorBidi" w:cstheme="minorBidi"/>
                <w:b/>
                <w:bCs/>
                <w:sz w:val="18"/>
                <w:szCs w:val="18"/>
                <w:lang w:val="en-GB"/>
              </w:rPr>
            </w:pPr>
            <w:r w:rsidRPr="00C06ADB">
              <w:rPr>
                <w:rStyle w:val="Bodytext8ptBoldSpacing0pt2"/>
                <w:rFonts w:asciiTheme="minorBidi" w:hAnsiTheme="minorBidi" w:cstheme="minorBidi"/>
                <w:sz w:val="18"/>
                <w:szCs w:val="18"/>
              </w:rPr>
              <w:t>Referring to the SDG Indicator</w:t>
            </w:r>
          </w:p>
        </w:tc>
        <w:tc>
          <w:tcPr>
            <w:tcW w:w="1060" w:type="dxa"/>
            <w:tcBorders>
              <w:top w:val="single" w:sz="4" w:space="0" w:color="auto"/>
              <w:left w:val="nil"/>
              <w:bottom w:val="single" w:sz="4" w:space="0" w:color="auto"/>
              <w:right w:val="single" w:sz="4" w:space="0" w:color="auto"/>
            </w:tcBorders>
            <w:vAlign w:val="center"/>
          </w:tcPr>
          <w:p w14:paraId="1B880C86" w14:textId="77777777" w:rsidR="0071415F" w:rsidRPr="00C06ADB" w:rsidRDefault="0071415F" w:rsidP="0071415F">
            <w:pPr>
              <w:bidi w:val="0"/>
              <w:spacing w:after="0" w:line="240" w:lineRule="auto"/>
              <w:jc w:val="center"/>
              <w:rPr>
                <w:rStyle w:val="Bodytext8ptBoldSpacing0pt2"/>
                <w:rFonts w:asciiTheme="minorBidi" w:hAnsiTheme="minorBidi" w:cstheme="minorBidi"/>
                <w:sz w:val="18"/>
                <w:szCs w:val="18"/>
              </w:rPr>
            </w:pPr>
            <w:r w:rsidRPr="00C06ADB">
              <w:rPr>
                <w:rStyle w:val="Bodytext8ptBoldSpacing0pt2"/>
                <w:rFonts w:asciiTheme="minorBidi" w:hAnsiTheme="minorBidi" w:cstheme="minorBidi"/>
                <w:sz w:val="18"/>
                <w:szCs w:val="18"/>
              </w:rPr>
              <w:t>Previous data point</w:t>
            </w:r>
          </w:p>
        </w:tc>
        <w:tc>
          <w:tcPr>
            <w:tcW w:w="1069" w:type="dxa"/>
            <w:tcBorders>
              <w:top w:val="single" w:sz="4" w:space="0" w:color="auto"/>
              <w:left w:val="single" w:sz="4" w:space="0" w:color="auto"/>
              <w:bottom w:val="single" w:sz="4" w:space="0" w:color="auto"/>
              <w:right w:val="single" w:sz="4" w:space="0" w:color="auto"/>
            </w:tcBorders>
            <w:vAlign w:val="center"/>
          </w:tcPr>
          <w:p w14:paraId="4D552727" w14:textId="77777777" w:rsidR="0071415F" w:rsidRPr="00C06ADB" w:rsidRDefault="0071415F" w:rsidP="0071415F">
            <w:pPr>
              <w:bidi w:val="0"/>
              <w:spacing w:after="0" w:line="240" w:lineRule="auto"/>
              <w:jc w:val="center"/>
              <w:rPr>
                <w:rFonts w:asciiTheme="minorBidi" w:hAnsiTheme="minorBidi" w:cstheme="minorBidi"/>
                <w:b/>
                <w:bCs/>
                <w:sz w:val="18"/>
                <w:szCs w:val="18"/>
              </w:rPr>
            </w:pPr>
            <w:r w:rsidRPr="00C06ADB">
              <w:rPr>
                <w:rStyle w:val="Bodytext8ptBoldSpacing0pt2"/>
                <w:rFonts w:asciiTheme="minorBidi" w:hAnsiTheme="minorBidi" w:cstheme="minorBidi"/>
                <w:sz w:val="18"/>
                <w:szCs w:val="18"/>
              </w:rPr>
              <w:t>Last Available Value</w:t>
            </w:r>
          </w:p>
        </w:tc>
        <w:tc>
          <w:tcPr>
            <w:tcW w:w="13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BDF07" w14:textId="77777777" w:rsidR="0071415F" w:rsidRPr="00C06ADB" w:rsidRDefault="0071415F" w:rsidP="0071415F">
            <w:pPr>
              <w:bidi w:val="0"/>
              <w:spacing w:after="0" w:line="240" w:lineRule="auto"/>
              <w:jc w:val="center"/>
              <w:rPr>
                <w:rStyle w:val="Bodytext8ptBoldSpacing0pt2"/>
                <w:rFonts w:asciiTheme="minorBidi" w:hAnsiTheme="minorBidi" w:cstheme="minorBidi"/>
                <w:b w:val="0"/>
                <w:bCs w:val="0"/>
                <w:color w:val="auto"/>
                <w:sz w:val="18"/>
                <w:szCs w:val="18"/>
              </w:rPr>
            </w:pPr>
            <w:r w:rsidRPr="00C06ADB">
              <w:rPr>
                <w:rFonts w:asciiTheme="minorBidi" w:hAnsiTheme="minorBidi" w:cstheme="minorBidi"/>
                <w:b/>
                <w:bCs/>
                <w:sz w:val="18"/>
                <w:szCs w:val="18"/>
              </w:rPr>
              <w:t>Compared to the previous data point</w:t>
            </w:r>
          </w:p>
        </w:tc>
      </w:tr>
      <w:tr w:rsidR="000B0E96" w:rsidRPr="00C06ADB" w14:paraId="1F84297F" w14:textId="77777777" w:rsidTr="00137121">
        <w:trPr>
          <w:trHeight w:val="389"/>
          <w:jc w:val="center"/>
        </w:trPr>
        <w:tc>
          <w:tcPr>
            <w:tcW w:w="4252" w:type="dxa"/>
            <w:tcBorders>
              <w:top w:val="single" w:sz="4" w:space="0" w:color="auto"/>
              <w:left w:val="single" w:sz="4" w:space="0" w:color="auto"/>
              <w:right w:val="single" w:sz="4" w:space="0" w:color="auto"/>
            </w:tcBorders>
            <w:shd w:val="clear" w:color="auto" w:fill="auto"/>
            <w:noWrap/>
            <w:vAlign w:val="center"/>
            <w:hideMark/>
          </w:tcPr>
          <w:p w14:paraId="0DFAB87F" w14:textId="77777777" w:rsidR="000B0E96" w:rsidRPr="00B10C76" w:rsidRDefault="000B0E96" w:rsidP="000B0E96">
            <w:pPr>
              <w:tabs>
                <w:tab w:val="left" w:pos="9072"/>
              </w:tabs>
              <w:bidi w:val="0"/>
              <w:spacing w:after="0" w:line="240" w:lineRule="auto"/>
              <w:rPr>
                <w:rFonts w:asciiTheme="minorBidi" w:hAnsiTheme="minorBidi" w:cstheme="minorBidi"/>
                <w:color w:val="000000"/>
                <w:sz w:val="18"/>
                <w:szCs w:val="18"/>
              </w:rPr>
            </w:pPr>
            <w:r w:rsidRPr="00B10C76">
              <w:rPr>
                <w:rFonts w:asciiTheme="minorBidi" w:hAnsiTheme="minorBidi" w:cstheme="minorBidi"/>
                <w:b/>
                <w:sz w:val="18"/>
                <w:szCs w:val="18"/>
              </w:rPr>
              <w:t>Indicator</w:t>
            </w:r>
            <w:r w:rsidRPr="00B10C76">
              <w:rPr>
                <w:rFonts w:asciiTheme="minorBidi" w:hAnsiTheme="minorBidi" w:cstheme="minorBidi"/>
                <w:b/>
                <w:bCs/>
                <w:color w:val="000000"/>
                <w:sz w:val="18"/>
                <w:szCs w:val="18"/>
              </w:rPr>
              <w:t xml:space="preserve"> 1</w:t>
            </w:r>
            <w:r w:rsidRPr="00B10C76">
              <w:rPr>
                <w:rFonts w:asciiTheme="minorBidi" w:hAnsiTheme="minorBidi" w:cstheme="minorBidi"/>
                <w:b/>
                <w:bCs/>
                <w:color w:val="000000"/>
                <w:sz w:val="18"/>
                <w:szCs w:val="18"/>
                <w:rtl/>
              </w:rPr>
              <w:t>7</w:t>
            </w:r>
            <w:r w:rsidRPr="00B10C76">
              <w:rPr>
                <w:rFonts w:asciiTheme="minorBidi" w:hAnsiTheme="minorBidi" w:cstheme="minorBidi"/>
                <w:b/>
                <w:bCs/>
                <w:color w:val="000000"/>
                <w:sz w:val="18"/>
                <w:szCs w:val="18"/>
              </w:rPr>
              <w:t>.1.1</w:t>
            </w:r>
            <w:r w:rsidRPr="00B10C76">
              <w:rPr>
                <w:rFonts w:asciiTheme="minorBidi" w:hAnsiTheme="minorBidi" w:cstheme="minorBidi"/>
                <w:color w:val="000000"/>
                <w:sz w:val="18"/>
                <w:szCs w:val="18"/>
              </w:rPr>
              <w:t xml:space="preserve"> Total government revenue as a proportion of GDP, by source (PCBS, </w:t>
            </w:r>
            <w:r w:rsidRPr="00B10C76">
              <w:rPr>
                <w:rFonts w:asciiTheme="minorBidi" w:hAnsiTheme="minorBidi" w:cstheme="minorBidi" w:hint="cs"/>
                <w:color w:val="000000"/>
                <w:sz w:val="18"/>
                <w:szCs w:val="18"/>
                <w:rtl/>
              </w:rPr>
              <w:t>2022</w:t>
            </w:r>
            <w:r w:rsidRPr="00B10C76">
              <w:rPr>
                <w:rFonts w:asciiTheme="minorBidi" w:hAnsiTheme="minorBidi" w:cstheme="minorBidi"/>
                <w:color w:val="000000"/>
                <w:sz w:val="18"/>
                <w:szCs w:val="18"/>
              </w:rPr>
              <w:t>,Percentage)</w:t>
            </w:r>
          </w:p>
        </w:tc>
        <w:tc>
          <w:tcPr>
            <w:tcW w:w="1806" w:type="dxa"/>
            <w:tcBorders>
              <w:top w:val="single" w:sz="4" w:space="0" w:color="auto"/>
              <w:left w:val="nil"/>
              <w:right w:val="single" w:sz="4" w:space="0" w:color="auto"/>
            </w:tcBorders>
            <w:shd w:val="clear" w:color="auto" w:fill="auto"/>
            <w:noWrap/>
            <w:vAlign w:val="center"/>
            <w:hideMark/>
          </w:tcPr>
          <w:p w14:paraId="6684921D" w14:textId="77777777" w:rsidR="000B0E96" w:rsidRPr="00B10C76" w:rsidRDefault="000B0E96" w:rsidP="000B0E96">
            <w:pPr>
              <w:bidi w:val="0"/>
              <w:spacing w:after="0" w:line="240" w:lineRule="auto"/>
              <w:jc w:val="center"/>
              <w:rPr>
                <w:rFonts w:asciiTheme="minorBidi" w:hAnsiTheme="minorBidi" w:cstheme="minorBidi"/>
                <w:color w:val="000000"/>
                <w:sz w:val="18"/>
                <w:szCs w:val="18"/>
              </w:rPr>
            </w:pPr>
            <w:r w:rsidRPr="00B10C76">
              <w:rPr>
                <w:rFonts w:asciiTheme="minorBidi" w:hAnsiTheme="minorBidi" w:cstheme="minorBidi"/>
                <w:color w:val="000000"/>
                <w:sz w:val="18"/>
                <w:szCs w:val="18"/>
                <w:lang w:val="it-IT"/>
              </w:rPr>
              <w:t>Identical</w:t>
            </w:r>
          </w:p>
        </w:tc>
        <w:tc>
          <w:tcPr>
            <w:tcW w:w="1060" w:type="dxa"/>
            <w:tcBorders>
              <w:top w:val="single" w:sz="4" w:space="0" w:color="auto"/>
              <w:left w:val="nil"/>
              <w:right w:val="single" w:sz="4" w:space="0" w:color="auto"/>
            </w:tcBorders>
          </w:tcPr>
          <w:p w14:paraId="06E6424C" w14:textId="77777777" w:rsidR="000B0E96" w:rsidRPr="00B10C76" w:rsidRDefault="000B0E96" w:rsidP="000B0E96">
            <w:pPr>
              <w:spacing w:after="0" w:line="240" w:lineRule="auto"/>
              <w:jc w:val="center"/>
              <w:rPr>
                <w:rFonts w:ascii="Simplified Arabic" w:hAnsi="Simplified Arabic" w:cs="Simplified Arabic"/>
                <w:sz w:val="18"/>
                <w:szCs w:val="18"/>
                <w:rtl/>
              </w:rPr>
            </w:pPr>
            <w:r w:rsidRPr="00B10C76">
              <w:rPr>
                <w:rFonts w:ascii="Simplified Arabic" w:hAnsi="Simplified Arabic" w:cs="Simplified Arabic"/>
                <w:sz w:val="18"/>
                <w:szCs w:val="18"/>
              </w:rPr>
              <w:t>23.8 (2021)</w:t>
            </w:r>
          </w:p>
        </w:tc>
        <w:tc>
          <w:tcPr>
            <w:tcW w:w="1069" w:type="dxa"/>
            <w:tcBorders>
              <w:top w:val="single" w:sz="4" w:space="0" w:color="auto"/>
              <w:left w:val="single" w:sz="4" w:space="0" w:color="auto"/>
              <w:right w:val="single" w:sz="4" w:space="0" w:color="auto"/>
            </w:tcBorders>
          </w:tcPr>
          <w:p w14:paraId="4A8A1654" w14:textId="77777777" w:rsidR="000B0E96" w:rsidRPr="00B10C76" w:rsidRDefault="000B0E96" w:rsidP="000B0E96">
            <w:pPr>
              <w:spacing w:after="0" w:line="240" w:lineRule="auto"/>
              <w:jc w:val="center"/>
              <w:rPr>
                <w:rFonts w:ascii="Simplified Arabic" w:hAnsi="Simplified Arabic" w:cs="Simplified Arabic"/>
                <w:sz w:val="18"/>
                <w:szCs w:val="18"/>
                <w:rtl/>
              </w:rPr>
            </w:pPr>
            <w:r w:rsidRPr="00B10C76">
              <w:rPr>
                <w:rFonts w:ascii="Simplified Arabic" w:hAnsi="Simplified Arabic" w:cs="Simplified Arabic"/>
                <w:sz w:val="18"/>
                <w:szCs w:val="18"/>
              </w:rPr>
              <w:t>23.6</w:t>
            </w:r>
          </w:p>
        </w:tc>
        <w:tc>
          <w:tcPr>
            <w:tcW w:w="1363" w:type="dxa"/>
            <w:tcBorders>
              <w:top w:val="single" w:sz="4" w:space="0" w:color="auto"/>
              <w:left w:val="single" w:sz="4" w:space="0" w:color="auto"/>
              <w:right w:val="single" w:sz="4" w:space="0" w:color="auto"/>
            </w:tcBorders>
            <w:shd w:val="clear" w:color="auto" w:fill="auto"/>
            <w:noWrap/>
            <w:vAlign w:val="center"/>
            <w:hideMark/>
          </w:tcPr>
          <w:p w14:paraId="2E87819D" w14:textId="77777777" w:rsidR="000B0E96" w:rsidRPr="00B10C76" w:rsidRDefault="000B0E96" w:rsidP="000B0E96">
            <w:pPr>
              <w:bidi w:val="0"/>
              <w:spacing w:after="0" w:line="240" w:lineRule="auto"/>
              <w:jc w:val="center"/>
              <w:rPr>
                <w:rFonts w:asciiTheme="minorBidi" w:hAnsiTheme="minorBidi" w:cstheme="minorBidi"/>
                <w:sz w:val="18"/>
                <w:szCs w:val="18"/>
              </w:rPr>
            </w:pPr>
            <w:r w:rsidRPr="00B10C76">
              <w:rPr>
                <w:rFonts w:asciiTheme="minorBidi" w:hAnsiTheme="minorBidi" w:cstheme="minorBidi"/>
                <w:sz w:val="18"/>
                <w:szCs w:val="18"/>
              </w:rPr>
              <w:t>Decrease</w:t>
            </w:r>
          </w:p>
        </w:tc>
      </w:tr>
      <w:tr w:rsidR="000B0E96" w:rsidRPr="00C06ADB" w14:paraId="1156E91D" w14:textId="77777777" w:rsidTr="00137121">
        <w:trPr>
          <w:trHeight w:val="389"/>
          <w:jc w:val="center"/>
        </w:trPr>
        <w:tc>
          <w:tcPr>
            <w:tcW w:w="4252" w:type="dxa"/>
            <w:tcBorders>
              <w:top w:val="single" w:sz="4" w:space="0" w:color="auto"/>
              <w:left w:val="single" w:sz="4" w:space="0" w:color="auto"/>
              <w:right w:val="single" w:sz="4" w:space="0" w:color="auto"/>
            </w:tcBorders>
            <w:shd w:val="clear" w:color="auto" w:fill="auto"/>
            <w:noWrap/>
            <w:vAlign w:val="center"/>
            <w:hideMark/>
          </w:tcPr>
          <w:p w14:paraId="2C38AF3A" w14:textId="77777777" w:rsidR="000B0E96" w:rsidRPr="00B10C76" w:rsidRDefault="000B0E96" w:rsidP="000B0E96">
            <w:pPr>
              <w:tabs>
                <w:tab w:val="left" w:pos="9072"/>
              </w:tabs>
              <w:bidi w:val="0"/>
              <w:spacing w:after="0" w:line="240" w:lineRule="auto"/>
              <w:rPr>
                <w:rFonts w:asciiTheme="minorBidi" w:hAnsiTheme="minorBidi" w:cstheme="minorBidi"/>
                <w:color w:val="000000"/>
                <w:sz w:val="18"/>
                <w:szCs w:val="18"/>
              </w:rPr>
            </w:pPr>
            <w:r w:rsidRPr="00B10C76">
              <w:rPr>
                <w:rFonts w:asciiTheme="minorBidi" w:hAnsiTheme="minorBidi" w:cstheme="minorBidi"/>
                <w:b/>
                <w:sz w:val="18"/>
                <w:szCs w:val="18"/>
              </w:rPr>
              <w:t>Indicator</w:t>
            </w:r>
            <w:r w:rsidRPr="00B10C76">
              <w:rPr>
                <w:rFonts w:asciiTheme="minorBidi" w:hAnsiTheme="minorBidi" w:cstheme="minorBidi"/>
                <w:b/>
                <w:bCs/>
                <w:color w:val="000000"/>
                <w:sz w:val="18"/>
                <w:szCs w:val="18"/>
              </w:rPr>
              <w:t xml:space="preserve"> 17.1.2</w:t>
            </w:r>
            <w:r w:rsidRPr="00B10C76">
              <w:rPr>
                <w:rFonts w:asciiTheme="minorBidi" w:hAnsiTheme="minorBidi" w:cstheme="minorBidi"/>
                <w:color w:val="000000"/>
                <w:sz w:val="18"/>
                <w:szCs w:val="18"/>
              </w:rPr>
              <w:t xml:space="preserve">  Proportion of domestic budget funded by domestic taxes (PCBS, </w:t>
            </w:r>
            <w:r w:rsidRPr="00B10C76">
              <w:rPr>
                <w:rFonts w:asciiTheme="minorBidi" w:hAnsiTheme="minorBidi" w:cstheme="minorBidi" w:hint="cs"/>
                <w:sz w:val="18"/>
                <w:szCs w:val="18"/>
                <w:rtl/>
              </w:rPr>
              <w:t>2022</w:t>
            </w:r>
            <w:r w:rsidRPr="00B10C76">
              <w:rPr>
                <w:rFonts w:asciiTheme="minorBidi" w:hAnsiTheme="minorBidi" w:cstheme="minorBidi"/>
                <w:color w:val="000000"/>
                <w:sz w:val="18"/>
                <w:szCs w:val="18"/>
              </w:rPr>
              <w:t>, percentage)</w:t>
            </w:r>
          </w:p>
        </w:tc>
        <w:tc>
          <w:tcPr>
            <w:tcW w:w="1806" w:type="dxa"/>
            <w:tcBorders>
              <w:top w:val="single" w:sz="4" w:space="0" w:color="auto"/>
              <w:left w:val="nil"/>
              <w:right w:val="single" w:sz="4" w:space="0" w:color="auto"/>
            </w:tcBorders>
            <w:shd w:val="clear" w:color="auto" w:fill="auto"/>
            <w:noWrap/>
            <w:vAlign w:val="center"/>
            <w:hideMark/>
          </w:tcPr>
          <w:p w14:paraId="15A6FF7E" w14:textId="77777777" w:rsidR="000B0E96" w:rsidRPr="00B10C76" w:rsidRDefault="000B0E96" w:rsidP="000B0E96">
            <w:pPr>
              <w:bidi w:val="0"/>
              <w:spacing w:after="0" w:line="240" w:lineRule="auto"/>
              <w:jc w:val="center"/>
              <w:rPr>
                <w:rFonts w:asciiTheme="minorBidi" w:hAnsiTheme="minorBidi" w:cstheme="minorBidi"/>
                <w:color w:val="000000"/>
                <w:sz w:val="18"/>
                <w:szCs w:val="18"/>
              </w:rPr>
            </w:pPr>
            <w:r w:rsidRPr="00B10C76">
              <w:rPr>
                <w:rFonts w:asciiTheme="minorBidi" w:hAnsiTheme="minorBidi" w:cstheme="minorBidi"/>
                <w:color w:val="000000"/>
                <w:sz w:val="18"/>
                <w:szCs w:val="18"/>
                <w:lang w:val="it-IT"/>
              </w:rPr>
              <w:t>Identical</w:t>
            </w:r>
          </w:p>
        </w:tc>
        <w:tc>
          <w:tcPr>
            <w:tcW w:w="1060" w:type="dxa"/>
            <w:tcBorders>
              <w:top w:val="single" w:sz="4" w:space="0" w:color="auto"/>
              <w:left w:val="nil"/>
              <w:right w:val="single" w:sz="4" w:space="0" w:color="auto"/>
            </w:tcBorders>
          </w:tcPr>
          <w:p w14:paraId="42A439D3" w14:textId="77777777" w:rsidR="000B0E96" w:rsidRPr="00B10C76" w:rsidRDefault="000B0E96" w:rsidP="000B0E96">
            <w:pPr>
              <w:spacing w:after="0" w:line="240" w:lineRule="auto"/>
              <w:jc w:val="center"/>
              <w:rPr>
                <w:rFonts w:ascii="Simplified Arabic" w:hAnsi="Simplified Arabic" w:cs="Simplified Arabic"/>
                <w:sz w:val="18"/>
                <w:szCs w:val="18"/>
                <w:rtl/>
              </w:rPr>
            </w:pPr>
            <w:r w:rsidRPr="00B10C76">
              <w:rPr>
                <w:rFonts w:ascii="Simplified Arabic" w:hAnsi="Simplified Arabic" w:cs="Simplified Arabic"/>
                <w:sz w:val="18"/>
                <w:szCs w:val="18"/>
              </w:rPr>
              <w:t>30.0 (2021)</w:t>
            </w:r>
          </w:p>
        </w:tc>
        <w:tc>
          <w:tcPr>
            <w:tcW w:w="1069" w:type="dxa"/>
            <w:tcBorders>
              <w:top w:val="single" w:sz="4" w:space="0" w:color="auto"/>
              <w:left w:val="single" w:sz="4" w:space="0" w:color="auto"/>
              <w:right w:val="single" w:sz="4" w:space="0" w:color="auto"/>
            </w:tcBorders>
          </w:tcPr>
          <w:p w14:paraId="314B1E35" w14:textId="77777777" w:rsidR="000B0E96" w:rsidRPr="00B10C76" w:rsidRDefault="000B0E96" w:rsidP="000B0E96">
            <w:pPr>
              <w:spacing w:after="0" w:line="240" w:lineRule="auto"/>
              <w:jc w:val="center"/>
              <w:rPr>
                <w:rFonts w:ascii="Simplified Arabic" w:hAnsi="Simplified Arabic" w:cs="Simplified Arabic"/>
                <w:sz w:val="18"/>
                <w:szCs w:val="18"/>
                <w:rtl/>
              </w:rPr>
            </w:pPr>
            <w:r w:rsidRPr="00B10C76">
              <w:rPr>
                <w:rFonts w:ascii="Simplified Arabic" w:hAnsi="Simplified Arabic" w:cs="Simplified Arabic"/>
                <w:sz w:val="18"/>
                <w:szCs w:val="18"/>
              </w:rPr>
              <w:t>30.0</w:t>
            </w:r>
          </w:p>
        </w:tc>
        <w:tc>
          <w:tcPr>
            <w:tcW w:w="1363" w:type="dxa"/>
            <w:tcBorders>
              <w:top w:val="single" w:sz="4" w:space="0" w:color="auto"/>
              <w:left w:val="single" w:sz="4" w:space="0" w:color="auto"/>
              <w:right w:val="single" w:sz="4" w:space="0" w:color="auto"/>
            </w:tcBorders>
            <w:shd w:val="clear" w:color="auto" w:fill="auto"/>
            <w:noWrap/>
            <w:vAlign w:val="center"/>
          </w:tcPr>
          <w:p w14:paraId="29D2A6D4" w14:textId="77777777" w:rsidR="000B0E96" w:rsidRPr="00B10C76" w:rsidRDefault="000B0E96" w:rsidP="000B0E96">
            <w:pPr>
              <w:bidi w:val="0"/>
              <w:spacing w:after="0" w:line="240" w:lineRule="auto"/>
              <w:jc w:val="center"/>
              <w:rPr>
                <w:rFonts w:asciiTheme="minorBidi" w:hAnsiTheme="minorBidi" w:cstheme="minorBidi"/>
                <w:sz w:val="18"/>
                <w:szCs w:val="18"/>
              </w:rPr>
            </w:pPr>
            <w:r w:rsidRPr="00B10C76">
              <w:rPr>
                <w:rFonts w:asciiTheme="minorBidi" w:hAnsiTheme="minorBidi" w:cstheme="minorBidi"/>
                <w:sz w:val="18"/>
                <w:szCs w:val="18"/>
              </w:rPr>
              <w:t>No Change</w:t>
            </w:r>
          </w:p>
        </w:tc>
      </w:tr>
      <w:tr w:rsidR="0071415F" w:rsidRPr="00C06ADB" w14:paraId="057E71C9" w14:textId="77777777" w:rsidTr="00137121">
        <w:trPr>
          <w:trHeight w:val="389"/>
          <w:jc w:val="center"/>
        </w:trPr>
        <w:tc>
          <w:tcPr>
            <w:tcW w:w="4252" w:type="dxa"/>
            <w:tcBorders>
              <w:top w:val="single" w:sz="4" w:space="0" w:color="auto"/>
              <w:left w:val="single" w:sz="4" w:space="0" w:color="auto"/>
              <w:right w:val="single" w:sz="4" w:space="0" w:color="auto"/>
            </w:tcBorders>
            <w:shd w:val="clear" w:color="auto" w:fill="auto"/>
            <w:noWrap/>
            <w:vAlign w:val="center"/>
            <w:hideMark/>
          </w:tcPr>
          <w:p w14:paraId="4E39A5B2" w14:textId="77777777" w:rsidR="0071415F" w:rsidRPr="00B10C76" w:rsidRDefault="0071415F" w:rsidP="0071415F">
            <w:pPr>
              <w:tabs>
                <w:tab w:val="left" w:pos="9072"/>
              </w:tabs>
              <w:bidi w:val="0"/>
              <w:spacing w:after="0" w:line="240" w:lineRule="auto"/>
              <w:rPr>
                <w:rFonts w:asciiTheme="minorBidi" w:hAnsiTheme="minorBidi" w:cstheme="minorBidi"/>
                <w:color w:val="000000"/>
                <w:sz w:val="18"/>
                <w:szCs w:val="18"/>
              </w:rPr>
            </w:pPr>
            <w:r w:rsidRPr="00B10C76">
              <w:rPr>
                <w:rFonts w:asciiTheme="minorBidi" w:hAnsiTheme="minorBidi" w:cstheme="minorBidi"/>
                <w:b/>
                <w:sz w:val="18"/>
                <w:szCs w:val="18"/>
              </w:rPr>
              <w:t>Indicator</w:t>
            </w:r>
            <w:r w:rsidRPr="00B10C76">
              <w:rPr>
                <w:rFonts w:asciiTheme="minorBidi" w:hAnsiTheme="minorBidi" w:cstheme="minorBidi"/>
                <w:b/>
                <w:bCs/>
                <w:color w:val="000000"/>
                <w:sz w:val="18"/>
                <w:szCs w:val="18"/>
              </w:rPr>
              <w:t xml:space="preserve"> 17.3.1</w:t>
            </w:r>
            <w:r w:rsidRPr="00B10C76">
              <w:rPr>
                <w:rFonts w:asciiTheme="minorBidi" w:hAnsiTheme="minorBidi" w:cstheme="minorBidi"/>
                <w:color w:val="000000"/>
                <w:sz w:val="18"/>
                <w:szCs w:val="18"/>
              </w:rPr>
              <w:t xml:space="preserve"> Foreign direct investments (FDI), (inflows) (PCBS, 2018, USD Million)</w:t>
            </w:r>
          </w:p>
        </w:tc>
        <w:tc>
          <w:tcPr>
            <w:tcW w:w="1806" w:type="dxa"/>
            <w:tcBorders>
              <w:top w:val="single" w:sz="4" w:space="0" w:color="auto"/>
              <w:left w:val="nil"/>
              <w:right w:val="single" w:sz="4" w:space="0" w:color="auto"/>
            </w:tcBorders>
            <w:shd w:val="clear" w:color="auto" w:fill="auto"/>
            <w:noWrap/>
            <w:vAlign w:val="center"/>
            <w:hideMark/>
          </w:tcPr>
          <w:p w14:paraId="1496854B" w14:textId="77777777" w:rsidR="0071415F" w:rsidRPr="00B10C76" w:rsidRDefault="0071415F" w:rsidP="0071415F">
            <w:pPr>
              <w:bidi w:val="0"/>
              <w:spacing w:after="0" w:line="240" w:lineRule="auto"/>
              <w:jc w:val="center"/>
              <w:rPr>
                <w:rFonts w:asciiTheme="minorBidi" w:hAnsiTheme="minorBidi" w:cstheme="minorBidi"/>
                <w:color w:val="000000"/>
                <w:sz w:val="18"/>
                <w:szCs w:val="18"/>
              </w:rPr>
            </w:pPr>
            <w:r w:rsidRPr="00B10C76">
              <w:rPr>
                <w:rFonts w:asciiTheme="minorBidi" w:hAnsiTheme="minorBidi" w:cstheme="minorBidi"/>
                <w:color w:val="000000"/>
                <w:sz w:val="18"/>
                <w:szCs w:val="18"/>
                <w:lang w:val="it-IT"/>
              </w:rPr>
              <w:t>Identical</w:t>
            </w:r>
          </w:p>
        </w:tc>
        <w:tc>
          <w:tcPr>
            <w:tcW w:w="1060" w:type="dxa"/>
            <w:tcBorders>
              <w:top w:val="single" w:sz="4" w:space="0" w:color="auto"/>
              <w:left w:val="nil"/>
              <w:right w:val="single" w:sz="4" w:space="0" w:color="auto"/>
            </w:tcBorders>
            <w:vAlign w:val="center"/>
          </w:tcPr>
          <w:p w14:paraId="6D8449BD" w14:textId="77777777" w:rsidR="0071415F" w:rsidRPr="00B10C76" w:rsidRDefault="0071415F" w:rsidP="0071415F">
            <w:pPr>
              <w:bidi w:val="0"/>
              <w:spacing w:after="0" w:line="240" w:lineRule="auto"/>
              <w:jc w:val="center"/>
              <w:rPr>
                <w:rFonts w:asciiTheme="minorBidi" w:hAnsiTheme="minorBidi" w:cstheme="minorBidi"/>
                <w:color w:val="000000"/>
                <w:sz w:val="18"/>
                <w:szCs w:val="18"/>
              </w:rPr>
            </w:pPr>
            <w:r w:rsidRPr="00B10C76">
              <w:rPr>
                <w:rFonts w:asciiTheme="minorBidi" w:hAnsiTheme="minorBidi" w:cstheme="minorBidi"/>
                <w:color w:val="000000"/>
                <w:sz w:val="18"/>
                <w:szCs w:val="18"/>
                <w:lang w:val="it-IT"/>
              </w:rPr>
              <w:t>624.4 (2017)</w:t>
            </w:r>
          </w:p>
        </w:tc>
        <w:tc>
          <w:tcPr>
            <w:tcW w:w="1069" w:type="dxa"/>
            <w:tcBorders>
              <w:top w:val="single" w:sz="4" w:space="0" w:color="auto"/>
              <w:left w:val="single" w:sz="4" w:space="0" w:color="auto"/>
              <w:right w:val="single" w:sz="4" w:space="0" w:color="auto"/>
            </w:tcBorders>
            <w:vAlign w:val="center"/>
          </w:tcPr>
          <w:p w14:paraId="070DBA0B" w14:textId="77777777" w:rsidR="0071415F" w:rsidRPr="00B10C76" w:rsidRDefault="0071415F" w:rsidP="0071415F">
            <w:pPr>
              <w:bidi w:val="0"/>
              <w:spacing w:after="0" w:line="240" w:lineRule="auto"/>
              <w:jc w:val="center"/>
              <w:rPr>
                <w:rFonts w:asciiTheme="minorBidi" w:hAnsiTheme="minorBidi" w:cstheme="minorBidi"/>
                <w:color w:val="000000"/>
                <w:sz w:val="18"/>
                <w:szCs w:val="18"/>
              </w:rPr>
            </w:pPr>
            <w:r w:rsidRPr="00B10C76">
              <w:rPr>
                <w:rFonts w:asciiTheme="minorBidi" w:hAnsiTheme="minorBidi" w:cstheme="minorBidi"/>
                <w:color w:val="000000"/>
                <w:sz w:val="18"/>
                <w:szCs w:val="18"/>
                <w:lang w:val="it-IT"/>
              </w:rPr>
              <w:t>449.2</w:t>
            </w:r>
          </w:p>
        </w:tc>
        <w:tc>
          <w:tcPr>
            <w:tcW w:w="1363" w:type="dxa"/>
            <w:tcBorders>
              <w:top w:val="single" w:sz="4" w:space="0" w:color="auto"/>
              <w:left w:val="single" w:sz="4" w:space="0" w:color="auto"/>
              <w:right w:val="single" w:sz="4" w:space="0" w:color="auto"/>
            </w:tcBorders>
            <w:shd w:val="clear" w:color="auto" w:fill="auto"/>
            <w:noWrap/>
            <w:vAlign w:val="center"/>
          </w:tcPr>
          <w:p w14:paraId="34A6FE81" w14:textId="77777777" w:rsidR="0071415F" w:rsidRPr="00B10C76" w:rsidRDefault="0071415F" w:rsidP="0071415F">
            <w:pPr>
              <w:bidi w:val="0"/>
              <w:spacing w:after="0" w:line="240" w:lineRule="auto"/>
              <w:jc w:val="center"/>
              <w:rPr>
                <w:rFonts w:asciiTheme="minorBidi" w:hAnsiTheme="minorBidi" w:cstheme="minorBidi"/>
                <w:sz w:val="18"/>
                <w:szCs w:val="18"/>
              </w:rPr>
            </w:pPr>
            <w:r w:rsidRPr="00B10C76">
              <w:rPr>
                <w:rFonts w:asciiTheme="minorBidi" w:hAnsiTheme="minorBidi" w:cstheme="minorBidi"/>
                <w:sz w:val="18"/>
                <w:szCs w:val="18"/>
              </w:rPr>
              <w:t>Decrease</w:t>
            </w:r>
          </w:p>
        </w:tc>
      </w:tr>
      <w:tr w:rsidR="000B0E96" w:rsidRPr="00C06ADB" w14:paraId="455967CD" w14:textId="77777777" w:rsidTr="000B381B">
        <w:trPr>
          <w:trHeight w:val="389"/>
          <w:jc w:val="center"/>
        </w:trPr>
        <w:tc>
          <w:tcPr>
            <w:tcW w:w="4252" w:type="dxa"/>
            <w:tcBorders>
              <w:top w:val="single" w:sz="4" w:space="0" w:color="auto"/>
              <w:left w:val="single" w:sz="4" w:space="0" w:color="auto"/>
              <w:right w:val="single" w:sz="4" w:space="0" w:color="auto"/>
            </w:tcBorders>
            <w:shd w:val="clear" w:color="auto" w:fill="auto"/>
            <w:noWrap/>
            <w:vAlign w:val="center"/>
            <w:hideMark/>
          </w:tcPr>
          <w:p w14:paraId="5EDFD41B" w14:textId="77777777" w:rsidR="000B0E96" w:rsidRPr="00B10C76" w:rsidRDefault="000B0E96" w:rsidP="000B0E96">
            <w:pPr>
              <w:tabs>
                <w:tab w:val="left" w:pos="9072"/>
              </w:tabs>
              <w:bidi w:val="0"/>
              <w:spacing w:after="0" w:line="240" w:lineRule="auto"/>
              <w:rPr>
                <w:rFonts w:asciiTheme="minorBidi" w:hAnsiTheme="minorBidi" w:cstheme="minorBidi"/>
                <w:color w:val="000000"/>
                <w:sz w:val="18"/>
                <w:szCs w:val="18"/>
              </w:rPr>
            </w:pPr>
            <w:r w:rsidRPr="00B10C76">
              <w:rPr>
                <w:rFonts w:asciiTheme="minorBidi" w:hAnsiTheme="minorBidi" w:cstheme="minorBidi"/>
                <w:b/>
                <w:sz w:val="18"/>
                <w:szCs w:val="18"/>
              </w:rPr>
              <w:t>Indicator</w:t>
            </w:r>
            <w:r w:rsidRPr="00B10C76">
              <w:rPr>
                <w:rFonts w:asciiTheme="minorBidi" w:hAnsiTheme="minorBidi" w:cstheme="minorBidi"/>
                <w:b/>
                <w:bCs/>
                <w:color w:val="000000"/>
                <w:sz w:val="18"/>
                <w:szCs w:val="18"/>
              </w:rPr>
              <w:t xml:space="preserve"> 17.3.2</w:t>
            </w:r>
            <w:r w:rsidRPr="00B10C76">
              <w:rPr>
                <w:rFonts w:asciiTheme="minorBidi" w:hAnsiTheme="minorBidi" w:cstheme="minorBidi"/>
                <w:color w:val="000000"/>
                <w:sz w:val="18"/>
                <w:szCs w:val="18"/>
              </w:rPr>
              <w:t xml:space="preserve"> Volume of remittances (in United States dollars) as a proportion of total GDP  (PCBS, </w:t>
            </w:r>
            <w:r w:rsidRPr="00B10C76">
              <w:rPr>
                <w:rFonts w:asciiTheme="minorBidi" w:hAnsiTheme="minorBidi" w:cstheme="minorBidi" w:hint="cs"/>
                <w:color w:val="000000"/>
                <w:sz w:val="18"/>
                <w:szCs w:val="18"/>
                <w:rtl/>
              </w:rPr>
              <w:t>2022</w:t>
            </w:r>
            <w:r w:rsidRPr="00B10C76">
              <w:rPr>
                <w:rFonts w:asciiTheme="minorBidi" w:hAnsiTheme="minorBidi" w:cstheme="minorBidi"/>
                <w:color w:val="000000"/>
                <w:sz w:val="18"/>
                <w:szCs w:val="18"/>
              </w:rPr>
              <w:t>, percentage)</w:t>
            </w:r>
          </w:p>
        </w:tc>
        <w:tc>
          <w:tcPr>
            <w:tcW w:w="1806" w:type="dxa"/>
            <w:tcBorders>
              <w:top w:val="single" w:sz="4" w:space="0" w:color="auto"/>
              <w:left w:val="nil"/>
              <w:right w:val="single" w:sz="4" w:space="0" w:color="auto"/>
            </w:tcBorders>
            <w:shd w:val="clear" w:color="auto" w:fill="auto"/>
            <w:noWrap/>
            <w:vAlign w:val="center"/>
            <w:hideMark/>
          </w:tcPr>
          <w:p w14:paraId="4BD8F077" w14:textId="77777777" w:rsidR="000B0E96" w:rsidRPr="00B10C76" w:rsidRDefault="000B0E96" w:rsidP="000B0E96">
            <w:pPr>
              <w:bidi w:val="0"/>
              <w:spacing w:after="0" w:line="240" w:lineRule="auto"/>
              <w:jc w:val="center"/>
              <w:rPr>
                <w:rFonts w:asciiTheme="minorBidi" w:hAnsiTheme="minorBidi" w:cstheme="minorBidi"/>
                <w:color w:val="000000"/>
                <w:sz w:val="18"/>
                <w:szCs w:val="18"/>
              </w:rPr>
            </w:pPr>
            <w:r w:rsidRPr="00B10C76">
              <w:rPr>
                <w:rFonts w:asciiTheme="minorBidi" w:hAnsiTheme="minorBidi" w:cstheme="minorBidi"/>
                <w:color w:val="000000"/>
                <w:sz w:val="18"/>
                <w:szCs w:val="18"/>
                <w:lang w:val="it-IT"/>
              </w:rPr>
              <w:t>Identical</w:t>
            </w:r>
          </w:p>
        </w:tc>
        <w:tc>
          <w:tcPr>
            <w:tcW w:w="1060" w:type="dxa"/>
            <w:tcBorders>
              <w:top w:val="single" w:sz="4" w:space="0" w:color="auto"/>
              <w:left w:val="nil"/>
              <w:right w:val="single" w:sz="4" w:space="0" w:color="auto"/>
            </w:tcBorders>
          </w:tcPr>
          <w:p w14:paraId="5C8DEB35" w14:textId="77777777" w:rsidR="000B0E96" w:rsidRPr="00B10C76" w:rsidRDefault="000B0E96" w:rsidP="000B0E96">
            <w:pPr>
              <w:spacing w:after="0" w:line="240" w:lineRule="auto"/>
              <w:jc w:val="center"/>
              <w:rPr>
                <w:rFonts w:ascii="Simplified Arabic" w:hAnsi="Simplified Arabic" w:cs="Simplified Arabic"/>
                <w:sz w:val="18"/>
                <w:szCs w:val="18"/>
                <w:rtl/>
              </w:rPr>
            </w:pPr>
            <w:r w:rsidRPr="00B10C76">
              <w:rPr>
                <w:rFonts w:ascii="Simplified Arabic" w:hAnsi="Simplified Arabic" w:cs="Simplified Arabic"/>
                <w:sz w:val="18"/>
                <w:szCs w:val="18"/>
              </w:rPr>
              <w:t>12.1 (2021)</w:t>
            </w:r>
          </w:p>
        </w:tc>
        <w:tc>
          <w:tcPr>
            <w:tcW w:w="1069" w:type="dxa"/>
            <w:tcBorders>
              <w:top w:val="single" w:sz="4" w:space="0" w:color="auto"/>
              <w:left w:val="single" w:sz="4" w:space="0" w:color="auto"/>
              <w:right w:val="single" w:sz="4" w:space="0" w:color="auto"/>
            </w:tcBorders>
          </w:tcPr>
          <w:p w14:paraId="4B853242" w14:textId="77777777" w:rsidR="000B0E96" w:rsidRPr="00B10C76" w:rsidRDefault="000B0E96" w:rsidP="000B0E96">
            <w:pPr>
              <w:spacing w:after="0" w:line="240" w:lineRule="auto"/>
              <w:jc w:val="center"/>
              <w:rPr>
                <w:rFonts w:ascii="Simplified Arabic" w:hAnsi="Simplified Arabic" w:cs="Simplified Arabic"/>
                <w:sz w:val="18"/>
                <w:szCs w:val="18"/>
                <w:rtl/>
              </w:rPr>
            </w:pPr>
            <w:r w:rsidRPr="00B10C76">
              <w:rPr>
                <w:rFonts w:ascii="Simplified Arabic" w:hAnsi="Simplified Arabic" w:cs="Simplified Arabic"/>
                <w:sz w:val="18"/>
                <w:szCs w:val="18"/>
              </w:rPr>
              <w:t>14.9</w:t>
            </w:r>
          </w:p>
        </w:tc>
        <w:tc>
          <w:tcPr>
            <w:tcW w:w="1363" w:type="dxa"/>
            <w:tcBorders>
              <w:top w:val="single" w:sz="4" w:space="0" w:color="auto"/>
              <w:left w:val="single" w:sz="4" w:space="0" w:color="auto"/>
              <w:right w:val="single" w:sz="4" w:space="0" w:color="auto"/>
            </w:tcBorders>
            <w:shd w:val="clear" w:color="auto" w:fill="auto"/>
            <w:noWrap/>
            <w:vAlign w:val="center"/>
          </w:tcPr>
          <w:p w14:paraId="4FE5FE4B" w14:textId="77777777" w:rsidR="000B0E96" w:rsidRPr="00B10C76" w:rsidRDefault="000B0E96" w:rsidP="000B0E96">
            <w:pPr>
              <w:bidi w:val="0"/>
              <w:spacing w:after="0" w:line="240" w:lineRule="auto"/>
              <w:jc w:val="center"/>
              <w:rPr>
                <w:rFonts w:asciiTheme="minorBidi" w:hAnsiTheme="minorBidi" w:cstheme="minorBidi"/>
                <w:sz w:val="18"/>
                <w:szCs w:val="18"/>
              </w:rPr>
            </w:pPr>
            <w:r w:rsidRPr="00B10C76">
              <w:rPr>
                <w:rFonts w:asciiTheme="minorBidi" w:hAnsiTheme="minorBidi" w:cstheme="minorBidi"/>
                <w:sz w:val="18"/>
                <w:szCs w:val="18"/>
              </w:rPr>
              <w:t>Increase</w:t>
            </w:r>
          </w:p>
        </w:tc>
      </w:tr>
      <w:tr w:rsidR="0071415F" w:rsidRPr="00C06ADB" w14:paraId="3234557C" w14:textId="77777777" w:rsidTr="00137121">
        <w:trPr>
          <w:trHeight w:val="389"/>
          <w:jc w:val="center"/>
        </w:trPr>
        <w:tc>
          <w:tcPr>
            <w:tcW w:w="4252" w:type="dxa"/>
            <w:tcBorders>
              <w:top w:val="single" w:sz="4" w:space="0" w:color="auto"/>
              <w:left w:val="single" w:sz="4" w:space="0" w:color="auto"/>
              <w:right w:val="single" w:sz="4" w:space="0" w:color="auto"/>
            </w:tcBorders>
            <w:shd w:val="clear" w:color="auto" w:fill="auto"/>
            <w:noWrap/>
            <w:vAlign w:val="center"/>
            <w:hideMark/>
          </w:tcPr>
          <w:p w14:paraId="11EFF42C" w14:textId="77777777" w:rsidR="0071415F" w:rsidRPr="00B10C76" w:rsidRDefault="0071415F" w:rsidP="0071415F">
            <w:pPr>
              <w:tabs>
                <w:tab w:val="left" w:pos="9072"/>
              </w:tabs>
              <w:bidi w:val="0"/>
              <w:spacing w:after="0" w:line="240" w:lineRule="auto"/>
              <w:rPr>
                <w:rFonts w:asciiTheme="minorBidi" w:hAnsiTheme="minorBidi" w:cstheme="minorBidi"/>
                <w:color w:val="000000"/>
                <w:sz w:val="18"/>
                <w:szCs w:val="18"/>
              </w:rPr>
            </w:pPr>
            <w:r w:rsidRPr="00B10C76">
              <w:rPr>
                <w:rFonts w:asciiTheme="minorBidi" w:hAnsiTheme="minorBidi" w:cstheme="minorBidi"/>
                <w:b/>
                <w:sz w:val="18"/>
                <w:szCs w:val="18"/>
              </w:rPr>
              <w:t>Indicator</w:t>
            </w:r>
            <w:r w:rsidRPr="00B10C76">
              <w:rPr>
                <w:rFonts w:asciiTheme="minorBidi" w:hAnsiTheme="minorBidi" w:cstheme="minorBidi"/>
                <w:b/>
                <w:bCs/>
                <w:color w:val="000000"/>
                <w:sz w:val="18"/>
                <w:szCs w:val="18"/>
              </w:rPr>
              <w:t xml:space="preserve"> 17.6.1</w:t>
            </w:r>
            <w:r w:rsidRPr="00B10C76">
              <w:rPr>
                <w:rFonts w:asciiTheme="minorBidi" w:hAnsiTheme="minorBidi" w:cstheme="minorBidi"/>
                <w:color w:val="000000"/>
                <w:sz w:val="18"/>
                <w:szCs w:val="18"/>
              </w:rPr>
              <w:t xml:space="preserve"> Fixed Internet broadband subscriptions, by speed</w:t>
            </w:r>
          </w:p>
        </w:tc>
        <w:tc>
          <w:tcPr>
            <w:tcW w:w="1806" w:type="dxa"/>
            <w:tcBorders>
              <w:top w:val="single" w:sz="4" w:space="0" w:color="auto"/>
              <w:left w:val="nil"/>
              <w:right w:val="single" w:sz="4" w:space="0" w:color="auto"/>
            </w:tcBorders>
            <w:shd w:val="clear" w:color="auto" w:fill="auto"/>
            <w:noWrap/>
            <w:vAlign w:val="center"/>
            <w:hideMark/>
          </w:tcPr>
          <w:p w14:paraId="3D770783" w14:textId="77777777" w:rsidR="0071415F" w:rsidRPr="00B10C76" w:rsidRDefault="0071415F" w:rsidP="0071415F">
            <w:pPr>
              <w:bidi w:val="0"/>
              <w:spacing w:after="0" w:line="240" w:lineRule="auto"/>
              <w:jc w:val="center"/>
              <w:rPr>
                <w:rFonts w:asciiTheme="minorBidi" w:hAnsiTheme="minorBidi" w:cstheme="minorBidi"/>
                <w:color w:val="000000"/>
                <w:sz w:val="18"/>
                <w:szCs w:val="18"/>
              </w:rPr>
            </w:pPr>
          </w:p>
        </w:tc>
        <w:tc>
          <w:tcPr>
            <w:tcW w:w="1060" w:type="dxa"/>
            <w:tcBorders>
              <w:top w:val="single" w:sz="4" w:space="0" w:color="auto"/>
              <w:left w:val="nil"/>
              <w:right w:val="single" w:sz="4" w:space="0" w:color="auto"/>
            </w:tcBorders>
            <w:vAlign w:val="center"/>
          </w:tcPr>
          <w:p w14:paraId="1A680A07" w14:textId="77777777" w:rsidR="0071415F" w:rsidRPr="00B10C76" w:rsidRDefault="0071415F" w:rsidP="0071415F">
            <w:pPr>
              <w:bidi w:val="0"/>
              <w:spacing w:after="0" w:line="240" w:lineRule="auto"/>
              <w:jc w:val="center"/>
              <w:rPr>
                <w:rFonts w:asciiTheme="minorBidi" w:hAnsiTheme="minorBidi" w:cstheme="minorBidi"/>
                <w:color w:val="000000"/>
                <w:sz w:val="18"/>
                <w:szCs w:val="18"/>
              </w:rPr>
            </w:pPr>
          </w:p>
        </w:tc>
        <w:tc>
          <w:tcPr>
            <w:tcW w:w="1069" w:type="dxa"/>
            <w:tcBorders>
              <w:top w:val="single" w:sz="4" w:space="0" w:color="auto"/>
              <w:left w:val="single" w:sz="4" w:space="0" w:color="auto"/>
              <w:right w:val="single" w:sz="4" w:space="0" w:color="auto"/>
            </w:tcBorders>
            <w:vAlign w:val="center"/>
          </w:tcPr>
          <w:p w14:paraId="2455756D" w14:textId="77777777" w:rsidR="0071415F" w:rsidRPr="00B10C76" w:rsidRDefault="0071415F" w:rsidP="0071415F">
            <w:pPr>
              <w:bidi w:val="0"/>
              <w:spacing w:after="0" w:line="240" w:lineRule="auto"/>
              <w:jc w:val="center"/>
              <w:rPr>
                <w:rFonts w:asciiTheme="minorBidi" w:hAnsiTheme="minorBidi" w:cstheme="minorBidi"/>
                <w:color w:val="000000"/>
                <w:sz w:val="18"/>
                <w:szCs w:val="18"/>
              </w:rPr>
            </w:pPr>
          </w:p>
        </w:tc>
        <w:tc>
          <w:tcPr>
            <w:tcW w:w="1363" w:type="dxa"/>
            <w:tcBorders>
              <w:top w:val="single" w:sz="4" w:space="0" w:color="auto"/>
              <w:left w:val="single" w:sz="4" w:space="0" w:color="auto"/>
              <w:right w:val="single" w:sz="4" w:space="0" w:color="auto"/>
            </w:tcBorders>
            <w:shd w:val="clear" w:color="auto" w:fill="auto"/>
            <w:noWrap/>
            <w:vAlign w:val="center"/>
          </w:tcPr>
          <w:p w14:paraId="7D86A9FD" w14:textId="77777777" w:rsidR="0071415F" w:rsidRPr="00B10C76" w:rsidRDefault="0071415F" w:rsidP="0071415F">
            <w:pPr>
              <w:bidi w:val="0"/>
              <w:spacing w:after="0" w:line="240" w:lineRule="auto"/>
              <w:jc w:val="center"/>
              <w:rPr>
                <w:rFonts w:asciiTheme="minorBidi" w:hAnsiTheme="minorBidi" w:cstheme="minorBidi"/>
                <w:sz w:val="18"/>
                <w:szCs w:val="18"/>
              </w:rPr>
            </w:pPr>
          </w:p>
        </w:tc>
      </w:tr>
      <w:tr w:rsidR="0071415F" w:rsidRPr="00C06ADB" w14:paraId="272B1F35" w14:textId="77777777" w:rsidTr="00137121">
        <w:trPr>
          <w:trHeight w:val="389"/>
          <w:jc w:val="center"/>
        </w:trPr>
        <w:tc>
          <w:tcPr>
            <w:tcW w:w="4252" w:type="dxa"/>
            <w:tcBorders>
              <w:top w:val="nil"/>
              <w:left w:val="single" w:sz="4" w:space="0" w:color="auto"/>
              <w:right w:val="single" w:sz="4" w:space="0" w:color="auto"/>
            </w:tcBorders>
            <w:shd w:val="clear" w:color="auto" w:fill="auto"/>
            <w:noWrap/>
            <w:vAlign w:val="center"/>
            <w:hideMark/>
          </w:tcPr>
          <w:p w14:paraId="1CC03237" w14:textId="77777777" w:rsidR="0071415F" w:rsidRPr="00B10C76" w:rsidRDefault="0071415F" w:rsidP="0071415F">
            <w:pPr>
              <w:tabs>
                <w:tab w:val="left" w:pos="9072"/>
              </w:tabs>
              <w:bidi w:val="0"/>
              <w:spacing w:after="0" w:line="240" w:lineRule="auto"/>
              <w:ind w:left="336"/>
              <w:jc w:val="both"/>
              <w:rPr>
                <w:rFonts w:asciiTheme="minorBidi" w:hAnsiTheme="minorBidi" w:cstheme="minorBidi"/>
                <w:sz w:val="18"/>
                <w:szCs w:val="18"/>
              </w:rPr>
            </w:pPr>
            <w:r w:rsidRPr="00B10C76">
              <w:rPr>
                <w:rFonts w:asciiTheme="minorBidi" w:hAnsiTheme="minorBidi" w:cstheme="minorBidi"/>
                <w:sz w:val="18"/>
                <w:szCs w:val="18"/>
              </w:rPr>
              <w:t xml:space="preserve">2 Mbit/s to less than 10 Mbit/s (MTIT, 2021, </w:t>
            </w:r>
            <w:r w:rsidR="00A853EC" w:rsidRPr="00B10C76">
              <w:rPr>
                <w:rFonts w:asciiTheme="minorBidi" w:hAnsiTheme="minorBidi" w:cstheme="minorBidi"/>
                <w:sz w:val="18"/>
                <w:szCs w:val="18"/>
              </w:rPr>
              <w:t>p</w:t>
            </w:r>
            <w:r w:rsidRPr="00B10C76">
              <w:rPr>
                <w:rFonts w:asciiTheme="minorBidi" w:hAnsiTheme="minorBidi" w:cstheme="minorBidi"/>
                <w:sz w:val="18"/>
                <w:szCs w:val="18"/>
              </w:rPr>
              <w:t>ercentage)</w:t>
            </w:r>
          </w:p>
        </w:tc>
        <w:tc>
          <w:tcPr>
            <w:tcW w:w="1806" w:type="dxa"/>
            <w:tcBorders>
              <w:top w:val="nil"/>
              <w:left w:val="nil"/>
              <w:right w:val="single" w:sz="4" w:space="0" w:color="auto"/>
            </w:tcBorders>
            <w:shd w:val="clear" w:color="auto" w:fill="auto"/>
            <w:noWrap/>
            <w:vAlign w:val="center"/>
            <w:hideMark/>
          </w:tcPr>
          <w:p w14:paraId="14533C5A"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Identical</w:t>
            </w:r>
          </w:p>
        </w:tc>
        <w:tc>
          <w:tcPr>
            <w:tcW w:w="1060" w:type="dxa"/>
            <w:tcBorders>
              <w:top w:val="nil"/>
              <w:left w:val="nil"/>
              <w:right w:val="single" w:sz="4" w:space="0" w:color="auto"/>
            </w:tcBorders>
            <w:vAlign w:val="center"/>
          </w:tcPr>
          <w:p w14:paraId="583F1067"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3.11 (2020)</w:t>
            </w:r>
          </w:p>
        </w:tc>
        <w:tc>
          <w:tcPr>
            <w:tcW w:w="1069" w:type="dxa"/>
            <w:tcBorders>
              <w:top w:val="nil"/>
              <w:left w:val="single" w:sz="4" w:space="0" w:color="auto"/>
              <w:right w:val="single" w:sz="4" w:space="0" w:color="auto"/>
            </w:tcBorders>
            <w:vAlign w:val="center"/>
          </w:tcPr>
          <w:p w14:paraId="066512BE"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3.32</w:t>
            </w:r>
          </w:p>
        </w:tc>
        <w:tc>
          <w:tcPr>
            <w:tcW w:w="1363" w:type="dxa"/>
            <w:tcBorders>
              <w:top w:val="nil"/>
              <w:left w:val="single" w:sz="4" w:space="0" w:color="auto"/>
              <w:right w:val="single" w:sz="4" w:space="0" w:color="auto"/>
            </w:tcBorders>
            <w:shd w:val="clear" w:color="auto" w:fill="auto"/>
            <w:noWrap/>
            <w:vAlign w:val="center"/>
          </w:tcPr>
          <w:p w14:paraId="6E8CB5E6" w14:textId="77777777" w:rsidR="0071415F" w:rsidRPr="00B10C76" w:rsidRDefault="0071415F" w:rsidP="0071415F">
            <w:pPr>
              <w:bidi w:val="0"/>
              <w:spacing w:after="0" w:line="240" w:lineRule="auto"/>
              <w:ind w:left="39"/>
              <w:jc w:val="center"/>
              <w:rPr>
                <w:rFonts w:asciiTheme="minorBidi" w:hAnsiTheme="minorBidi" w:cstheme="minorBidi"/>
                <w:sz w:val="18"/>
                <w:szCs w:val="18"/>
              </w:rPr>
            </w:pPr>
            <w:r w:rsidRPr="00B10C76">
              <w:rPr>
                <w:rFonts w:asciiTheme="minorBidi" w:hAnsiTheme="minorBidi" w:cstheme="minorBidi"/>
                <w:sz w:val="18"/>
                <w:szCs w:val="18"/>
              </w:rPr>
              <w:t>Decrease</w:t>
            </w:r>
          </w:p>
        </w:tc>
      </w:tr>
      <w:tr w:rsidR="0071415F" w:rsidRPr="00C06ADB" w14:paraId="501BC455" w14:textId="77777777" w:rsidTr="00137121">
        <w:trPr>
          <w:trHeight w:val="389"/>
          <w:jc w:val="center"/>
        </w:trPr>
        <w:tc>
          <w:tcPr>
            <w:tcW w:w="4252" w:type="dxa"/>
            <w:tcBorders>
              <w:top w:val="nil"/>
              <w:left w:val="single" w:sz="4" w:space="0" w:color="auto"/>
              <w:bottom w:val="single" w:sz="4" w:space="0" w:color="auto"/>
              <w:right w:val="single" w:sz="4" w:space="0" w:color="auto"/>
            </w:tcBorders>
            <w:shd w:val="clear" w:color="auto" w:fill="auto"/>
            <w:noWrap/>
            <w:vAlign w:val="center"/>
            <w:hideMark/>
          </w:tcPr>
          <w:p w14:paraId="3C590866" w14:textId="77777777" w:rsidR="0071415F" w:rsidRPr="00B10C76" w:rsidRDefault="0071415F" w:rsidP="0071415F">
            <w:pPr>
              <w:tabs>
                <w:tab w:val="left" w:pos="9072"/>
              </w:tabs>
              <w:bidi w:val="0"/>
              <w:spacing w:after="0" w:line="240" w:lineRule="auto"/>
              <w:ind w:left="336"/>
              <w:jc w:val="both"/>
              <w:rPr>
                <w:rFonts w:asciiTheme="minorBidi" w:hAnsiTheme="minorBidi" w:cstheme="minorBidi"/>
                <w:sz w:val="18"/>
                <w:szCs w:val="18"/>
              </w:rPr>
            </w:pPr>
            <w:r w:rsidRPr="00B10C76">
              <w:rPr>
                <w:rFonts w:asciiTheme="minorBidi" w:hAnsiTheme="minorBidi" w:cstheme="minorBidi"/>
                <w:sz w:val="18"/>
                <w:szCs w:val="18"/>
              </w:rPr>
              <w:t xml:space="preserve">Equal to or above 10 Mbit/s (MTIT, 2021, </w:t>
            </w:r>
            <w:r w:rsidR="00A853EC" w:rsidRPr="00B10C76">
              <w:rPr>
                <w:rFonts w:asciiTheme="minorBidi" w:hAnsiTheme="minorBidi" w:cstheme="minorBidi"/>
                <w:sz w:val="18"/>
                <w:szCs w:val="18"/>
              </w:rPr>
              <w:t>p</w:t>
            </w:r>
            <w:r w:rsidRPr="00B10C76">
              <w:rPr>
                <w:rFonts w:asciiTheme="minorBidi" w:hAnsiTheme="minorBidi" w:cstheme="minorBidi"/>
                <w:sz w:val="18"/>
                <w:szCs w:val="18"/>
              </w:rPr>
              <w:t>ercentage)</w:t>
            </w:r>
          </w:p>
        </w:tc>
        <w:tc>
          <w:tcPr>
            <w:tcW w:w="1806" w:type="dxa"/>
            <w:tcBorders>
              <w:top w:val="nil"/>
              <w:left w:val="nil"/>
              <w:bottom w:val="single" w:sz="4" w:space="0" w:color="auto"/>
              <w:right w:val="single" w:sz="4" w:space="0" w:color="auto"/>
            </w:tcBorders>
            <w:shd w:val="clear" w:color="auto" w:fill="auto"/>
            <w:noWrap/>
            <w:vAlign w:val="center"/>
            <w:hideMark/>
          </w:tcPr>
          <w:p w14:paraId="3EA40A38"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Identical</w:t>
            </w:r>
          </w:p>
        </w:tc>
        <w:tc>
          <w:tcPr>
            <w:tcW w:w="1060" w:type="dxa"/>
            <w:tcBorders>
              <w:top w:val="nil"/>
              <w:left w:val="nil"/>
              <w:bottom w:val="single" w:sz="4" w:space="0" w:color="auto"/>
              <w:right w:val="single" w:sz="4" w:space="0" w:color="auto"/>
            </w:tcBorders>
            <w:vAlign w:val="center"/>
          </w:tcPr>
          <w:p w14:paraId="3628E607"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4.54 (2020)</w:t>
            </w:r>
          </w:p>
        </w:tc>
        <w:tc>
          <w:tcPr>
            <w:tcW w:w="1069" w:type="dxa"/>
            <w:tcBorders>
              <w:top w:val="nil"/>
              <w:left w:val="single" w:sz="4" w:space="0" w:color="auto"/>
              <w:bottom w:val="single" w:sz="4" w:space="0" w:color="auto"/>
              <w:right w:val="single" w:sz="4" w:space="0" w:color="auto"/>
            </w:tcBorders>
            <w:vAlign w:val="center"/>
          </w:tcPr>
          <w:p w14:paraId="5A0D72A8"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4.8</w:t>
            </w:r>
          </w:p>
        </w:tc>
        <w:tc>
          <w:tcPr>
            <w:tcW w:w="1363" w:type="dxa"/>
            <w:tcBorders>
              <w:top w:val="nil"/>
              <w:left w:val="single" w:sz="4" w:space="0" w:color="auto"/>
              <w:bottom w:val="single" w:sz="4" w:space="0" w:color="auto"/>
              <w:right w:val="single" w:sz="4" w:space="0" w:color="auto"/>
            </w:tcBorders>
            <w:shd w:val="clear" w:color="auto" w:fill="auto"/>
            <w:noWrap/>
            <w:vAlign w:val="center"/>
          </w:tcPr>
          <w:p w14:paraId="50F4883F" w14:textId="77777777" w:rsidR="0071415F" w:rsidRPr="00B10C76" w:rsidRDefault="0071415F" w:rsidP="0071415F">
            <w:pPr>
              <w:bidi w:val="0"/>
              <w:spacing w:after="0" w:line="240" w:lineRule="auto"/>
              <w:jc w:val="center"/>
              <w:rPr>
                <w:rFonts w:asciiTheme="minorBidi" w:hAnsiTheme="minorBidi" w:cstheme="minorBidi"/>
                <w:sz w:val="18"/>
                <w:szCs w:val="18"/>
              </w:rPr>
            </w:pPr>
            <w:r w:rsidRPr="00B10C76">
              <w:rPr>
                <w:rFonts w:asciiTheme="minorBidi" w:hAnsiTheme="minorBidi" w:cstheme="minorBidi"/>
                <w:sz w:val="18"/>
                <w:szCs w:val="18"/>
              </w:rPr>
              <w:t>Increase</w:t>
            </w:r>
          </w:p>
        </w:tc>
      </w:tr>
      <w:tr w:rsidR="0071415F" w:rsidRPr="00C06ADB" w14:paraId="0E6D00B6" w14:textId="77777777" w:rsidTr="00137121">
        <w:trPr>
          <w:trHeight w:val="597"/>
          <w:jc w:val="center"/>
        </w:trPr>
        <w:tc>
          <w:tcPr>
            <w:tcW w:w="42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7DCDA" w14:textId="77777777" w:rsidR="0071415F" w:rsidRPr="00B10C76" w:rsidRDefault="0071415F" w:rsidP="000B0E96">
            <w:pPr>
              <w:tabs>
                <w:tab w:val="left" w:pos="9072"/>
              </w:tabs>
              <w:bidi w:val="0"/>
              <w:spacing w:after="0" w:line="240" w:lineRule="auto"/>
              <w:rPr>
                <w:rFonts w:asciiTheme="minorBidi" w:hAnsiTheme="minorBidi" w:cstheme="minorBidi"/>
                <w:color w:val="000000"/>
                <w:sz w:val="18"/>
                <w:szCs w:val="18"/>
              </w:rPr>
            </w:pPr>
            <w:r w:rsidRPr="00B10C76">
              <w:rPr>
                <w:rFonts w:asciiTheme="minorBidi" w:hAnsiTheme="minorBidi" w:cstheme="minorBidi"/>
                <w:b/>
                <w:sz w:val="18"/>
                <w:szCs w:val="18"/>
              </w:rPr>
              <w:t>Indicator</w:t>
            </w:r>
            <w:r w:rsidRPr="00B10C76">
              <w:rPr>
                <w:rFonts w:asciiTheme="minorBidi" w:hAnsiTheme="minorBidi" w:cstheme="minorBidi"/>
                <w:b/>
                <w:bCs/>
                <w:color w:val="000000"/>
                <w:sz w:val="18"/>
                <w:szCs w:val="18"/>
              </w:rPr>
              <w:t xml:space="preserve"> 17.8.1</w:t>
            </w:r>
            <w:r w:rsidRPr="00B10C76">
              <w:rPr>
                <w:rFonts w:asciiTheme="minorBidi" w:hAnsiTheme="minorBidi" w:cstheme="minorBidi"/>
                <w:color w:val="000000"/>
                <w:sz w:val="18"/>
                <w:szCs w:val="18"/>
              </w:rPr>
              <w:t xml:space="preserve"> Proportion of individuals using the Internet (PCBS, </w:t>
            </w:r>
            <w:r w:rsidR="000B0E96" w:rsidRPr="00B10C76">
              <w:rPr>
                <w:rFonts w:asciiTheme="minorBidi" w:hAnsiTheme="minorBidi" w:cstheme="minorBidi"/>
                <w:color w:val="000000"/>
                <w:sz w:val="18"/>
                <w:szCs w:val="18"/>
              </w:rPr>
              <w:t>2022</w:t>
            </w:r>
            <w:r w:rsidRPr="00B10C76">
              <w:rPr>
                <w:rFonts w:asciiTheme="minorBidi" w:hAnsiTheme="minorBidi" w:cstheme="minorBidi"/>
                <w:color w:val="000000"/>
                <w:sz w:val="18"/>
                <w:szCs w:val="18"/>
              </w:rPr>
              <w:t xml:space="preserve">, </w:t>
            </w:r>
            <w:r w:rsidR="00A853EC" w:rsidRPr="00B10C76">
              <w:rPr>
                <w:rFonts w:asciiTheme="minorBidi" w:hAnsiTheme="minorBidi" w:cstheme="minorBidi"/>
                <w:color w:val="000000"/>
                <w:sz w:val="18"/>
                <w:szCs w:val="18"/>
              </w:rPr>
              <w:t>p</w:t>
            </w:r>
            <w:r w:rsidRPr="00B10C76">
              <w:rPr>
                <w:rFonts w:asciiTheme="minorBidi" w:hAnsiTheme="minorBidi" w:cstheme="minorBidi"/>
                <w:color w:val="000000"/>
                <w:sz w:val="18"/>
                <w:szCs w:val="18"/>
              </w:rPr>
              <w:t>ercentage)</w:t>
            </w:r>
          </w:p>
        </w:tc>
        <w:tc>
          <w:tcPr>
            <w:tcW w:w="1806" w:type="dxa"/>
            <w:tcBorders>
              <w:top w:val="single" w:sz="4" w:space="0" w:color="auto"/>
              <w:left w:val="nil"/>
              <w:bottom w:val="single" w:sz="4" w:space="0" w:color="auto"/>
              <w:right w:val="single" w:sz="4" w:space="0" w:color="auto"/>
            </w:tcBorders>
            <w:shd w:val="clear" w:color="auto" w:fill="auto"/>
            <w:noWrap/>
            <w:vAlign w:val="center"/>
            <w:hideMark/>
          </w:tcPr>
          <w:p w14:paraId="63F06738"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Identical</w:t>
            </w:r>
          </w:p>
        </w:tc>
        <w:tc>
          <w:tcPr>
            <w:tcW w:w="1060" w:type="dxa"/>
            <w:tcBorders>
              <w:top w:val="single" w:sz="4" w:space="0" w:color="auto"/>
              <w:left w:val="nil"/>
              <w:bottom w:val="single" w:sz="4" w:space="0" w:color="auto"/>
              <w:right w:val="single" w:sz="4" w:space="0" w:color="auto"/>
            </w:tcBorders>
            <w:vAlign w:val="center"/>
          </w:tcPr>
          <w:p w14:paraId="18B4A8E3"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70.6 (2019)</w:t>
            </w:r>
          </w:p>
        </w:tc>
        <w:tc>
          <w:tcPr>
            <w:tcW w:w="1069" w:type="dxa"/>
            <w:tcBorders>
              <w:top w:val="single" w:sz="4" w:space="0" w:color="auto"/>
              <w:left w:val="single" w:sz="4" w:space="0" w:color="auto"/>
              <w:bottom w:val="single" w:sz="4" w:space="0" w:color="auto"/>
              <w:right w:val="single" w:sz="4" w:space="0" w:color="auto"/>
            </w:tcBorders>
            <w:vAlign w:val="center"/>
          </w:tcPr>
          <w:p w14:paraId="65BFC243" w14:textId="77777777" w:rsidR="0071415F" w:rsidRPr="00B10C76" w:rsidRDefault="000B0E96"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88.6</w:t>
            </w:r>
          </w:p>
        </w:tc>
        <w:tc>
          <w:tcPr>
            <w:tcW w:w="13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C6E38" w14:textId="77777777" w:rsidR="0071415F" w:rsidRPr="00B10C76" w:rsidRDefault="0071415F" w:rsidP="0071415F">
            <w:pPr>
              <w:bidi w:val="0"/>
              <w:spacing w:after="0" w:line="240" w:lineRule="auto"/>
              <w:ind w:left="39"/>
              <w:jc w:val="center"/>
              <w:rPr>
                <w:rFonts w:asciiTheme="minorBidi" w:hAnsiTheme="minorBidi" w:cstheme="minorBidi"/>
                <w:sz w:val="18"/>
                <w:szCs w:val="18"/>
              </w:rPr>
            </w:pPr>
            <w:r w:rsidRPr="00B10C76">
              <w:rPr>
                <w:rFonts w:asciiTheme="minorBidi" w:hAnsiTheme="minorBidi" w:cstheme="minorBidi"/>
                <w:sz w:val="18"/>
                <w:szCs w:val="18"/>
              </w:rPr>
              <w:t>Increase</w:t>
            </w:r>
          </w:p>
        </w:tc>
      </w:tr>
      <w:tr w:rsidR="0071415F" w:rsidRPr="00C06ADB" w14:paraId="18CA8EE1" w14:textId="77777777" w:rsidTr="00137121">
        <w:trPr>
          <w:trHeight w:val="389"/>
          <w:jc w:val="center"/>
        </w:trPr>
        <w:tc>
          <w:tcPr>
            <w:tcW w:w="4252" w:type="dxa"/>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06C0F999" w14:textId="77777777" w:rsidR="00AC2E62" w:rsidRDefault="0071415F" w:rsidP="00B10C76">
            <w:pPr>
              <w:tabs>
                <w:tab w:val="left" w:pos="9072"/>
              </w:tabs>
              <w:bidi w:val="0"/>
              <w:spacing w:after="0" w:line="240" w:lineRule="auto"/>
              <w:rPr>
                <w:rFonts w:asciiTheme="minorBidi" w:hAnsiTheme="minorBidi" w:cstheme="minorBidi"/>
                <w:sz w:val="18"/>
                <w:szCs w:val="18"/>
              </w:rPr>
            </w:pPr>
            <w:r w:rsidRPr="00B10C76">
              <w:rPr>
                <w:rFonts w:asciiTheme="minorBidi" w:hAnsiTheme="minorBidi" w:cstheme="minorBidi"/>
                <w:b/>
                <w:sz w:val="18"/>
                <w:szCs w:val="18"/>
              </w:rPr>
              <w:t>Indicator</w:t>
            </w:r>
            <w:r w:rsidRPr="00B10C76">
              <w:rPr>
                <w:rFonts w:asciiTheme="minorBidi" w:hAnsiTheme="minorBidi" w:cstheme="minorBidi"/>
                <w:b/>
                <w:bCs/>
                <w:sz w:val="18"/>
                <w:szCs w:val="18"/>
              </w:rPr>
              <w:t xml:space="preserve"> 17.</w:t>
            </w:r>
            <w:r w:rsidR="00137121" w:rsidRPr="00B10C76">
              <w:rPr>
                <w:rFonts w:asciiTheme="minorBidi" w:hAnsiTheme="minorBidi" w:cstheme="minorBidi"/>
                <w:b/>
                <w:bCs/>
                <w:sz w:val="18"/>
                <w:szCs w:val="18"/>
              </w:rPr>
              <w:t>8</w:t>
            </w:r>
            <w:r w:rsidRPr="00B10C76">
              <w:rPr>
                <w:rFonts w:asciiTheme="minorBidi" w:hAnsiTheme="minorBidi" w:cstheme="minorBidi"/>
                <w:b/>
                <w:bCs/>
                <w:sz w:val="18"/>
                <w:szCs w:val="18"/>
              </w:rPr>
              <w:t>.2</w:t>
            </w:r>
            <w:r w:rsidRPr="00B10C76">
              <w:rPr>
                <w:rFonts w:asciiTheme="minorBidi" w:hAnsiTheme="minorBidi" w:cstheme="minorBidi"/>
                <w:sz w:val="18"/>
                <w:szCs w:val="18"/>
              </w:rPr>
              <w:t xml:space="preserve"> Number of countries that have national statistical legislation that complies with the Fundamental Principles of Official Statistics(PCBS, 202</w:t>
            </w:r>
            <w:r w:rsidR="000B0E96" w:rsidRPr="00B10C76">
              <w:rPr>
                <w:rFonts w:asciiTheme="minorBidi" w:hAnsiTheme="minorBidi" w:cstheme="minorBidi"/>
                <w:sz w:val="18"/>
                <w:szCs w:val="18"/>
              </w:rPr>
              <w:t>2</w:t>
            </w:r>
            <w:r w:rsidRPr="00B10C76">
              <w:rPr>
                <w:rFonts w:asciiTheme="minorBidi" w:hAnsiTheme="minorBidi" w:cstheme="minorBidi"/>
                <w:sz w:val="18"/>
                <w:szCs w:val="18"/>
              </w:rPr>
              <w:t>, 1=Yes/0=No)</w:t>
            </w:r>
          </w:p>
          <w:p w14:paraId="34340DE4" w14:textId="77777777" w:rsidR="00B10C76" w:rsidRPr="00B10C76" w:rsidRDefault="00B10C76" w:rsidP="00B10C76">
            <w:pPr>
              <w:tabs>
                <w:tab w:val="left" w:pos="9072"/>
              </w:tabs>
              <w:bidi w:val="0"/>
              <w:spacing w:after="0" w:line="240" w:lineRule="auto"/>
              <w:rPr>
                <w:rFonts w:asciiTheme="minorBidi" w:hAnsiTheme="minorBidi" w:cstheme="minorBidi"/>
                <w:sz w:val="18"/>
                <w:szCs w:val="18"/>
              </w:rPr>
            </w:pPr>
          </w:p>
          <w:p w14:paraId="4C05BD38" w14:textId="77777777" w:rsidR="006E49BE" w:rsidRPr="00B10C76" w:rsidRDefault="006E49BE" w:rsidP="006E49BE">
            <w:pPr>
              <w:tabs>
                <w:tab w:val="left" w:pos="9072"/>
              </w:tabs>
              <w:bidi w:val="0"/>
              <w:spacing w:after="0" w:line="240" w:lineRule="auto"/>
              <w:rPr>
                <w:rFonts w:asciiTheme="minorBidi" w:hAnsiTheme="minorBidi" w:cstheme="minorBidi"/>
                <w:sz w:val="18"/>
                <w:szCs w:val="18"/>
              </w:rPr>
            </w:pPr>
          </w:p>
        </w:tc>
        <w:tc>
          <w:tcPr>
            <w:tcW w:w="1806" w:type="dxa"/>
            <w:tcBorders>
              <w:top w:val="single" w:sz="4" w:space="0" w:color="auto"/>
              <w:left w:val="nil"/>
              <w:bottom w:val="single" w:sz="8" w:space="0" w:color="000000"/>
              <w:right w:val="single" w:sz="4" w:space="0" w:color="auto"/>
            </w:tcBorders>
            <w:shd w:val="clear" w:color="auto" w:fill="auto"/>
            <w:noWrap/>
            <w:vAlign w:val="center"/>
            <w:hideMark/>
          </w:tcPr>
          <w:p w14:paraId="1338DB92" w14:textId="77777777" w:rsidR="0071415F" w:rsidRPr="00B10C76" w:rsidRDefault="0071415F" w:rsidP="0071415F">
            <w:pPr>
              <w:bidi w:val="0"/>
              <w:spacing w:after="0" w:line="240" w:lineRule="auto"/>
              <w:ind w:left="39"/>
              <w:jc w:val="center"/>
              <w:rPr>
                <w:rFonts w:asciiTheme="minorBidi" w:hAnsiTheme="minorBidi" w:cstheme="minorBidi"/>
                <w:sz w:val="18"/>
                <w:szCs w:val="18"/>
              </w:rPr>
            </w:pPr>
            <w:r w:rsidRPr="00B10C76">
              <w:rPr>
                <w:rFonts w:asciiTheme="minorBidi" w:hAnsiTheme="minorBidi" w:cstheme="minorBidi"/>
                <w:sz w:val="18"/>
                <w:szCs w:val="18"/>
              </w:rPr>
              <w:t>Identical</w:t>
            </w:r>
          </w:p>
        </w:tc>
        <w:tc>
          <w:tcPr>
            <w:tcW w:w="1060" w:type="dxa"/>
            <w:tcBorders>
              <w:top w:val="single" w:sz="4" w:space="0" w:color="auto"/>
              <w:left w:val="nil"/>
              <w:bottom w:val="single" w:sz="8" w:space="0" w:color="000000"/>
              <w:right w:val="single" w:sz="4" w:space="0" w:color="auto"/>
            </w:tcBorders>
            <w:vAlign w:val="center"/>
          </w:tcPr>
          <w:p w14:paraId="074C3BCC" w14:textId="77777777" w:rsidR="0071415F" w:rsidRPr="00B10C76" w:rsidRDefault="0071415F" w:rsidP="000B0E96">
            <w:pPr>
              <w:bidi w:val="0"/>
              <w:spacing w:after="0" w:line="240" w:lineRule="auto"/>
              <w:ind w:left="39"/>
              <w:jc w:val="center"/>
              <w:rPr>
                <w:rFonts w:asciiTheme="minorBidi" w:hAnsiTheme="minorBidi" w:cstheme="minorBidi"/>
                <w:sz w:val="18"/>
                <w:szCs w:val="18"/>
              </w:rPr>
            </w:pPr>
            <w:r w:rsidRPr="00B10C76">
              <w:rPr>
                <w:rFonts w:asciiTheme="minorBidi" w:hAnsiTheme="minorBidi" w:cstheme="minorBidi"/>
                <w:sz w:val="18"/>
                <w:szCs w:val="18"/>
              </w:rPr>
              <w:t>Yes (202</w:t>
            </w:r>
            <w:r w:rsidR="000B0E96" w:rsidRPr="00B10C76">
              <w:rPr>
                <w:rFonts w:asciiTheme="minorBidi" w:hAnsiTheme="minorBidi" w:cstheme="minorBidi"/>
                <w:sz w:val="18"/>
                <w:szCs w:val="18"/>
              </w:rPr>
              <w:t>1</w:t>
            </w:r>
            <w:r w:rsidRPr="00B10C76">
              <w:rPr>
                <w:rFonts w:asciiTheme="minorBidi" w:hAnsiTheme="minorBidi" w:cstheme="minorBidi"/>
                <w:sz w:val="18"/>
                <w:szCs w:val="18"/>
              </w:rPr>
              <w:t>)</w:t>
            </w:r>
          </w:p>
        </w:tc>
        <w:tc>
          <w:tcPr>
            <w:tcW w:w="1069" w:type="dxa"/>
            <w:tcBorders>
              <w:top w:val="single" w:sz="4" w:space="0" w:color="auto"/>
              <w:left w:val="single" w:sz="4" w:space="0" w:color="auto"/>
              <w:bottom w:val="single" w:sz="8" w:space="0" w:color="000000"/>
              <w:right w:val="single" w:sz="4" w:space="0" w:color="auto"/>
            </w:tcBorders>
            <w:vAlign w:val="center"/>
          </w:tcPr>
          <w:p w14:paraId="129EA6BA" w14:textId="77777777" w:rsidR="0071415F" w:rsidRPr="00B10C76" w:rsidRDefault="0071415F" w:rsidP="0071415F">
            <w:pPr>
              <w:bidi w:val="0"/>
              <w:spacing w:after="0" w:line="240" w:lineRule="auto"/>
              <w:ind w:left="39"/>
              <w:jc w:val="center"/>
              <w:rPr>
                <w:rFonts w:asciiTheme="minorBidi" w:hAnsiTheme="minorBidi" w:cstheme="minorBidi"/>
                <w:sz w:val="18"/>
                <w:szCs w:val="18"/>
              </w:rPr>
            </w:pPr>
            <w:r w:rsidRPr="00B10C76">
              <w:rPr>
                <w:rFonts w:asciiTheme="minorBidi" w:hAnsiTheme="minorBidi" w:cstheme="minorBidi"/>
                <w:sz w:val="18"/>
                <w:szCs w:val="18"/>
              </w:rPr>
              <w:t>Yes</w:t>
            </w:r>
          </w:p>
        </w:tc>
        <w:tc>
          <w:tcPr>
            <w:tcW w:w="1363" w:type="dxa"/>
            <w:tcBorders>
              <w:top w:val="single" w:sz="4" w:space="0" w:color="auto"/>
              <w:left w:val="single" w:sz="4" w:space="0" w:color="auto"/>
              <w:bottom w:val="single" w:sz="8" w:space="0" w:color="000000"/>
              <w:right w:val="single" w:sz="4" w:space="0" w:color="auto"/>
            </w:tcBorders>
            <w:shd w:val="clear" w:color="auto" w:fill="auto"/>
            <w:noWrap/>
            <w:vAlign w:val="center"/>
          </w:tcPr>
          <w:p w14:paraId="6B6EE816" w14:textId="77777777" w:rsidR="0071415F" w:rsidRPr="00B10C76" w:rsidRDefault="0071415F" w:rsidP="0071415F">
            <w:pPr>
              <w:keepNext/>
              <w:bidi w:val="0"/>
              <w:spacing w:after="0" w:line="240" w:lineRule="auto"/>
              <w:ind w:left="39"/>
              <w:jc w:val="center"/>
              <w:rPr>
                <w:rFonts w:asciiTheme="minorBidi" w:hAnsiTheme="minorBidi" w:cstheme="minorBidi"/>
                <w:sz w:val="18"/>
                <w:szCs w:val="18"/>
              </w:rPr>
            </w:pPr>
            <w:r w:rsidRPr="00B10C76">
              <w:rPr>
                <w:rFonts w:asciiTheme="minorBidi" w:hAnsiTheme="minorBidi" w:cstheme="minorBidi"/>
                <w:sz w:val="18"/>
                <w:szCs w:val="18"/>
              </w:rPr>
              <w:t>No change</w:t>
            </w:r>
          </w:p>
        </w:tc>
      </w:tr>
      <w:tr w:rsidR="0071415F" w:rsidRPr="00C06ADB" w14:paraId="633CD629" w14:textId="77777777" w:rsidTr="00137121">
        <w:trPr>
          <w:trHeight w:val="389"/>
          <w:jc w:val="center"/>
        </w:trPr>
        <w:tc>
          <w:tcPr>
            <w:tcW w:w="4252" w:type="dxa"/>
            <w:tcBorders>
              <w:top w:val="single" w:sz="8" w:space="0" w:color="000000"/>
              <w:left w:val="single" w:sz="4" w:space="0" w:color="auto"/>
              <w:right w:val="single" w:sz="4" w:space="0" w:color="auto"/>
            </w:tcBorders>
            <w:shd w:val="clear" w:color="auto" w:fill="auto"/>
            <w:noWrap/>
            <w:vAlign w:val="center"/>
            <w:hideMark/>
          </w:tcPr>
          <w:p w14:paraId="2DD7FD05" w14:textId="77777777" w:rsidR="0071415F" w:rsidRPr="00B10C76" w:rsidRDefault="0071415F" w:rsidP="00137121">
            <w:pPr>
              <w:tabs>
                <w:tab w:val="left" w:pos="9072"/>
              </w:tabs>
              <w:bidi w:val="0"/>
              <w:spacing w:after="0" w:line="240" w:lineRule="auto"/>
              <w:rPr>
                <w:rFonts w:asciiTheme="minorBidi" w:hAnsiTheme="minorBidi" w:cstheme="minorBidi"/>
                <w:color w:val="000000"/>
                <w:sz w:val="18"/>
                <w:szCs w:val="18"/>
              </w:rPr>
            </w:pPr>
            <w:r w:rsidRPr="00B10C76">
              <w:rPr>
                <w:rFonts w:asciiTheme="minorBidi" w:hAnsiTheme="minorBidi" w:cstheme="minorBidi"/>
                <w:b/>
                <w:sz w:val="18"/>
                <w:szCs w:val="18"/>
              </w:rPr>
              <w:lastRenderedPageBreak/>
              <w:t>Indicator</w:t>
            </w:r>
            <w:r w:rsidRPr="00B10C76">
              <w:rPr>
                <w:rFonts w:asciiTheme="minorBidi" w:hAnsiTheme="minorBidi" w:cstheme="minorBidi"/>
                <w:b/>
                <w:bCs/>
                <w:color w:val="000000"/>
                <w:sz w:val="18"/>
                <w:szCs w:val="18"/>
              </w:rPr>
              <w:t xml:space="preserve"> 17.</w:t>
            </w:r>
            <w:r w:rsidR="00137121" w:rsidRPr="00B10C76">
              <w:rPr>
                <w:rFonts w:asciiTheme="minorBidi" w:hAnsiTheme="minorBidi" w:cstheme="minorBidi"/>
                <w:b/>
                <w:bCs/>
                <w:color w:val="000000"/>
                <w:sz w:val="18"/>
                <w:szCs w:val="18"/>
              </w:rPr>
              <w:t>8</w:t>
            </w:r>
            <w:r w:rsidRPr="00B10C76">
              <w:rPr>
                <w:rFonts w:asciiTheme="minorBidi" w:hAnsiTheme="minorBidi" w:cstheme="minorBidi"/>
                <w:b/>
                <w:bCs/>
                <w:color w:val="000000"/>
                <w:sz w:val="18"/>
                <w:szCs w:val="18"/>
              </w:rPr>
              <w:t>.3</w:t>
            </w:r>
            <w:r w:rsidRPr="00B10C76">
              <w:rPr>
                <w:rFonts w:asciiTheme="minorBidi" w:hAnsiTheme="minorBidi" w:cstheme="minorBidi"/>
                <w:color w:val="000000"/>
                <w:sz w:val="18"/>
                <w:szCs w:val="18"/>
              </w:rPr>
              <w:t xml:space="preserve"> Number of countries with a national statistical plan that is fully funded and under implementation, by source of funding </w:t>
            </w:r>
          </w:p>
        </w:tc>
        <w:tc>
          <w:tcPr>
            <w:tcW w:w="1806" w:type="dxa"/>
            <w:tcBorders>
              <w:top w:val="single" w:sz="8" w:space="0" w:color="000000"/>
              <w:left w:val="nil"/>
              <w:right w:val="single" w:sz="4" w:space="0" w:color="auto"/>
            </w:tcBorders>
            <w:shd w:val="clear" w:color="auto" w:fill="auto"/>
            <w:noWrap/>
            <w:hideMark/>
          </w:tcPr>
          <w:p w14:paraId="521273E5" w14:textId="77777777" w:rsidR="0071415F" w:rsidRPr="00B10C76" w:rsidRDefault="0071415F" w:rsidP="0071415F">
            <w:pPr>
              <w:keepNext/>
              <w:bidi w:val="0"/>
              <w:spacing w:after="0" w:line="240" w:lineRule="auto"/>
              <w:ind w:left="39"/>
              <w:jc w:val="center"/>
              <w:rPr>
                <w:rFonts w:asciiTheme="minorBidi" w:hAnsiTheme="minorBidi" w:cstheme="minorBidi"/>
                <w:color w:val="000000"/>
                <w:sz w:val="18"/>
                <w:szCs w:val="18"/>
              </w:rPr>
            </w:pPr>
          </w:p>
        </w:tc>
        <w:tc>
          <w:tcPr>
            <w:tcW w:w="1060" w:type="dxa"/>
            <w:tcBorders>
              <w:top w:val="single" w:sz="8" w:space="0" w:color="000000"/>
              <w:left w:val="nil"/>
              <w:right w:val="single" w:sz="4" w:space="0" w:color="auto"/>
            </w:tcBorders>
          </w:tcPr>
          <w:p w14:paraId="28F4F22F" w14:textId="77777777" w:rsidR="0071415F" w:rsidRPr="00B10C76" w:rsidRDefault="0071415F" w:rsidP="0071415F">
            <w:pPr>
              <w:keepNext/>
              <w:bidi w:val="0"/>
              <w:spacing w:after="0" w:line="240" w:lineRule="auto"/>
              <w:ind w:left="39"/>
              <w:jc w:val="center"/>
              <w:rPr>
                <w:rFonts w:asciiTheme="minorBidi" w:hAnsiTheme="minorBidi" w:cstheme="minorBidi"/>
                <w:color w:val="000000"/>
                <w:sz w:val="18"/>
                <w:szCs w:val="18"/>
              </w:rPr>
            </w:pPr>
          </w:p>
        </w:tc>
        <w:tc>
          <w:tcPr>
            <w:tcW w:w="1069" w:type="dxa"/>
            <w:tcBorders>
              <w:top w:val="single" w:sz="8" w:space="0" w:color="000000"/>
              <w:left w:val="single" w:sz="4" w:space="0" w:color="auto"/>
              <w:right w:val="single" w:sz="4" w:space="0" w:color="auto"/>
            </w:tcBorders>
          </w:tcPr>
          <w:p w14:paraId="57FBAE51" w14:textId="77777777" w:rsidR="0071415F" w:rsidRPr="00B10C76" w:rsidRDefault="0071415F" w:rsidP="0071415F">
            <w:pPr>
              <w:keepNext/>
              <w:bidi w:val="0"/>
              <w:spacing w:after="0" w:line="240" w:lineRule="auto"/>
              <w:ind w:left="39"/>
              <w:jc w:val="center"/>
              <w:rPr>
                <w:rFonts w:asciiTheme="minorBidi" w:hAnsiTheme="minorBidi" w:cstheme="minorBidi"/>
                <w:color w:val="000000"/>
                <w:sz w:val="18"/>
                <w:szCs w:val="18"/>
              </w:rPr>
            </w:pPr>
          </w:p>
        </w:tc>
        <w:tc>
          <w:tcPr>
            <w:tcW w:w="1363" w:type="dxa"/>
            <w:tcBorders>
              <w:top w:val="single" w:sz="8" w:space="0" w:color="000000"/>
              <w:left w:val="single" w:sz="4" w:space="0" w:color="auto"/>
              <w:right w:val="single" w:sz="4" w:space="0" w:color="auto"/>
            </w:tcBorders>
            <w:shd w:val="clear" w:color="auto" w:fill="auto"/>
            <w:noWrap/>
          </w:tcPr>
          <w:p w14:paraId="6D5B50EF" w14:textId="77777777" w:rsidR="0071415F" w:rsidRPr="00B10C76" w:rsidRDefault="0071415F" w:rsidP="0071415F">
            <w:pPr>
              <w:keepNext/>
              <w:bidi w:val="0"/>
              <w:spacing w:after="0" w:line="240" w:lineRule="auto"/>
              <w:ind w:left="39"/>
              <w:jc w:val="center"/>
              <w:rPr>
                <w:rFonts w:asciiTheme="minorBidi" w:hAnsiTheme="minorBidi" w:cstheme="minorBidi"/>
                <w:sz w:val="18"/>
                <w:szCs w:val="18"/>
              </w:rPr>
            </w:pPr>
          </w:p>
        </w:tc>
      </w:tr>
      <w:tr w:rsidR="000B0E96" w:rsidRPr="00C06ADB" w14:paraId="2A496159" w14:textId="77777777" w:rsidTr="001F12C6">
        <w:trPr>
          <w:trHeight w:val="389"/>
          <w:jc w:val="center"/>
        </w:trPr>
        <w:tc>
          <w:tcPr>
            <w:tcW w:w="4252" w:type="dxa"/>
            <w:tcBorders>
              <w:top w:val="nil"/>
              <w:left w:val="single" w:sz="4" w:space="0" w:color="auto"/>
              <w:bottom w:val="single" w:sz="4" w:space="0" w:color="auto"/>
              <w:right w:val="single" w:sz="4" w:space="0" w:color="auto"/>
            </w:tcBorders>
            <w:shd w:val="clear" w:color="auto" w:fill="auto"/>
            <w:noWrap/>
            <w:vAlign w:val="center"/>
            <w:hideMark/>
          </w:tcPr>
          <w:p w14:paraId="2FF0CE1E" w14:textId="77777777" w:rsidR="000B0E96" w:rsidRPr="00B10C76" w:rsidRDefault="000B0E96" w:rsidP="000B0E96">
            <w:pPr>
              <w:tabs>
                <w:tab w:val="left" w:pos="9072"/>
              </w:tabs>
              <w:bidi w:val="0"/>
              <w:spacing w:after="0" w:line="240" w:lineRule="auto"/>
              <w:ind w:left="336"/>
              <w:jc w:val="both"/>
              <w:rPr>
                <w:rFonts w:asciiTheme="minorBidi" w:hAnsiTheme="minorBidi" w:cstheme="minorBidi"/>
                <w:color w:val="000000"/>
                <w:sz w:val="18"/>
                <w:szCs w:val="18"/>
              </w:rPr>
            </w:pPr>
            <w:r w:rsidRPr="00B10C76">
              <w:rPr>
                <w:rFonts w:asciiTheme="minorBidi" w:hAnsiTheme="minorBidi" w:cstheme="minorBidi"/>
                <w:sz w:val="18"/>
                <w:szCs w:val="18"/>
              </w:rPr>
              <w:t>Palestine</w:t>
            </w:r>
            <w:r w:rsidRPr="00B10C76">
              <w:rPr>
                <w:rFonts w:asciiTheme="minorBidi" w:hAnsiTheme="minorBidi" w:cstheme="minorBidi"/>
                <w:color w:val="000000"/>
                <w:sz w:val="18"/>
                <w:szCs w:val="18"/>
              </w:rPr>
              <w:t xml:space="preserve"> national statistical plan is fully funded and under implementation (PCBS, 2022, </w:t>
            </w:r>
            <w:r w:rsidRPr="00B10C76">
              <w:rPr>
                <w:rFonts w:asciiTheme="minorBidi" w:hAnsiTheme="minorBidi" w:cstheme="minorBidi"/>
                <w:sz w:val="18"/>
                <w:szCs w:val="18"/>
              </w:rPr>
              <w:t>1=Yes/0=No</w:t>
            </w:r>
            <w:r w:rsidRPr="00B10C76">
              <w:rPr>
                <w:rFonts w:asciiTheme="minorBidi" w:hAnsiTheme="minorBidi" w:cstheme="minorBidi"/>
                <w:color w:val="000000"/>
                <w:sz w:val="18"/>
                <w:szCs w:val="18"/>
              </w:rPr>
              <w:t>)</w:t>
            </w:r>
          </w:p>
        </w:tc>
        <w:tc>
          <w:tcPr>
            <w:tcW w:w="1806" w:type="dxa"/>
            <w:tcBorders>
              <w:top w:val="nil"/>
              <w:left w:val="nil"/>
              <w:bottom w:val="single" w:sz="4" w:space="0" w:color="auto"/>
              <w:right w:val="single" w:sz="4" w:space="0" w:color="auto"/>
            </w:tcBorders>
            <w:shd w:val="clear" w:color="auto" w:fill="auto"/>
            <w:noWrap/>
            <w:hideMark/>
          </w:tcPr>
          <w:p w14:paraId="44202BF7" w14:textId="77777777" w:rsidR="000B0E96" w:rsidRPr="00B10C76" w:rsidRDefault="000B0E96" w:rsidP="000B0E96">
            <w:pPr>
              <w:keepNext/>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Partial</w:t>
            </w:r>
          </w:p>
        </w:tc>
        <w:tc>
          <w:tcPr>
            <w:tcW w:w="1060" w:type="dxa"/>
            <w:tcBorders>
              <w:top w:val="nil"/>
              <w:left w:val="nil"/>
              <w:bottom w:val="single" w:sz="4" w:space="0" w:color="auto"/>
              <w:right w:val="single" w:sz="4" w:space="0" w:color="auto"/>
            </w:tcBorders>
            <w:vAlign w:val="center"/>
          </w:tcPr>
          <w:p w14:paraId="21437F1F" w14:textId="77777777" w:rsidR="000B0E96" w:rsidRPr="00B10C76" w:rsidRDefault="000B0E96" w:rsidP="000B0E96">
            <w:pPr>
              <w:bidi w:val="0"/>
              <w:spacing w:after="0" w:line="240" w:lineRule="auto"/>
              <w:ind w:left="39"/>
              <w:jc w:val="center"/>
              <w:rPr>
                <w:rFonts w:asciiTheme="minorBidi" w:hAnsiTheme="minorBidi" w:cstheme="minorBidi"/>
                <w:sz w:val="18"/>
                <w:szCs w:val="18"/>
              </w:rPr>
            </w:pPr>
            <w:r w:rsidRPr="00B10C76">
              <w:rPr>
                <w:rFonts w:asciiTheme="minorBidi" w:hAnsiTheme="minorBidi" w:cstheme="minorBidi"/>
                <w:sz w:val="18"/>
                <w:szCs w:val="18"/>
              </w:rPr>
              <w:t>Yes (2021)</w:t>
            </w:r>
          </w:p>
        </w:tc>
        <w:tc>
          <w:tcPr>
            <w:tcW w:w="1069" w:type="dxa"/>
            <w:tcBorders>
              <w:top w:val="nil"/>
              <w:left w:val="single" w:sz="4" w:space="0" w:color="auto"/>
              <w:bottom w:val="single" w:sz="4" w:space="0" w:color="auto"/>
              <w:right w:val="single" w:sz="4" w:space="0" w:color="auto"/>
            </w:tcBorders>
          </w:tcPr>
          <w:p w14:paraId="35707A51" w14:textId="77777777" w:rsidR="000B0E96" w:rsidRPr="00B10C76" w:rsidRDefault="000B0E96" w:rsidP="000B0E96">
            <w:pPr>
              <w:keepNext/>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Yes</w:t>
            </w:r>
          </w:p>
        </w:tc>
        <w:tc>
          <w:tcPr>
            <w:tcW w:w="1363" w:type="dxa"/>
            <w:tcBorders>
              <w:top w:val="nil"/>
              <w:left w:val="single" w:sz="4" w:space="0" w:color="auto"/>
              <w:bottom w:val="single" w:sz="4" w:space="0" w:color="auto"/>
              <w:right w:val="single" w:sz="4" w:space="0" w:color="auto"/>
            </w:tcBorders>
            <w:shd w:val="clear" w:color="auto" w:fill="auto"/>
            <w:noWrap/>
          </w:tcPr>
          <w:p w14:paraId="371135CA" w14:textId="77777777" w:rsidR="000B0E96" w:rsidRPr="00B10C76" w:rsidRDefault="000B0E96" w:rsidP="000B0E96">
            <w:pPr>
              <w:keepNext/>
              <w:bidi w:val="0"/>
              <w:spacing w:after="0" w:line="240" w:lineRule="auto"/>
              <w:ind w:left="39"/>
              <w:jc w:val="center"/>
              <w:rPr>
                <w:rFonts w:asciiTheme="minorBidi" w:hAnsiTheme="minorBidi" w:cstheme="minorBidi"/>
                <w:sz w:val="18"/>
                <w:szCs w:val="18"/>
              </w:rPr>
            </w:pPr>
            <w:r w:rsidRPr="00B10C76">
              <w:rPr>
                <w:rFonts w:asciiTheme="minorBidi" w:hAnsiTheme="minorBidi" w:cstheme="minorBidi"/>
                <w:sz w:val="18"/>
                <w:szCs w:val="18"/>
              </w:rPr>
              <w:t>No change</w:t>
            </w:r>
          </w:p>
        </w:tc>
      </w:tr>
      <w:tr w:rsidR="0071415F" w:rsidRPr="00C06ADB" w14:paraId="0B000022" w14:textId="77777777" w:rsidTr="00137121">
        <w:trPr>
          <w:trHeight w:val="389"/>
          <w:jc w:val="center"/>
        </w:trPr>
        <w:tc>
          <w:tcPr>
            <w:tcW w:w="4252" w:type="dxa"/>
            <w:tcBorders>
              <w:top w:val="single" w:sz="4" w:space="0" w:color="auto"/>
              <w:left w:val="single" w:sz="4" w:space="0" w:color="auto"/>
              <w:right w:val="single" w:sz="4" w:space="0" w:color="auto"/>
            </w:tcBorders>
            <w:shd w:val="clear" w:color="auto" w:fill="auto"/>
            <w:noWrap/>
            <w:vAlign w:val="center"/>
            <w:hideMark/>
          </w:tcPr>
          <w:p w14:paraId="5C285A70" w14:textId="77777777" w:rsidR="0071415F" w:rsidRPr="00B10C76" w:rsidRDefault="0071415F" w:rsidP="00137121">
            <w:pPr>
              <w:tabs>
                <w:tab w:val="left" w:pos="9072"/>
              </w:tabs>
              <w:bidi w:val="0"/>
              <w:spacing w:after="0" w:line="240" w:lineRule="auto"/>
              <w:rPr>
                <w:rFonts w:asciiTheme="minorBidi" w:hAnsiTheme="minorBidi" w:cstheme="minorBidi"/>
                <w:color w:val="000000"/>
                <w:sz w:val="18"/>
                <w:szCs w:val="18"/>
              </w:rPr>
            </w:pPr>
            <w:r w:rsidRPr="00B10C76">
              <w:rPr>
                <w:rFonts w:asciiTheme="minorBidi" w:hAnsiTheme="minorBidi" w:cstheme="minorBidi"/>
                <w:b/>
                <w:bCs/>
                <w:color w:val="000000"/>
                <w:sz w:val="18"/>
                <w:szCs w:val="18"/>
              </w:rPr>
              <w:t>Indicator 17.</w:t>
            </w:r>
            <w:r w:rsidR="00137121" w:rsidRPr="00B10C76">
              <w:rPr>
                <w:rFonts w:asciiTheme="minorBidi" w:hAnsiTheme="minorBidi" w:cstheme="minorBidi"/>
                <w:b/>
                <w:bCs/>
                <w:color w:val="000000"/>
                <w:sz w:val="18"/>
                <w:szCs w:val="18"/>
              </w:rPr>
              <w:t>9</w:t>
            </w:r>
            <w:r w:rsidRPr="00B10C76">
              <w:rPr>
                <w:rFonts w:asciiTheme="minorBidi" w:hAnsiTheme="minorBidi" w:cstheme="minorBidi"/>
                <w:b/>
                <w:bCs/>
                <w:color w:val="000000"/>
                <w:sz w:val="18"/>
                <w:szCs w:val="18"/>
              </w:rPr>
              <w:t>.2</w:t>
            </w:r>
            <w:r w:rsidRPr="00B10C76">
              <w:rPr>
                <w:rFonts w:asciiTheme="minorBidi" w:hAnsiTheme="minorBidi" w:cstheme="minorBidi"/>
                <w:color w:val="000000"/>
                <w:sz w:val="18"/>
                <w:szCs w:val="18"/>
              </w:rPr>
              <w:t xml:space="preserve"> Proportion of countries that (a) have conducted at least </w:t>
            </w:r>
            <w:r w:rsidRPr="00B10C76">
              <w:rPr>
                <w:rFonts w:asciiTheme="minorBidi" w:hAnsiTheme="minorBidi" w:cstheme="minorBidi"/>
                <w:bCs/>
                <w:sz w:val="18"/>
                <w:szCs w:val="18"/>
              </w:rPr>
              <w:t>one</w:t>
            </w:r>
            <w:r w:rsidRPr="00B10C76">
              <w:rPr>
                <w:rFonts w:asciiTheme="minorBidi" w:hAnsiTheme="minorBidi" w:cstheme="minorBidi"/>
                <w:color w:val="000000"/>
                <w:sz w:val="18"/>
                <w:szCs w:val="18"/>
              </w:rPr>
              <w:t xml:space="preserve"> population and housing census in the last 10 years; and (b) have achieved 100</w:t>
            </w:r>
            <w:r w:rsidR="00A853EC" w:rsidRPr="00B10C76">
              <w:rPr>
                <w:rFonts w:asciiTheme="minorBidi" w:hAnsiTheme="minorBidi" w:cstheme="minorBidi"/>
                <w:color w:val="000000"/>
                <w:sz w:val="18"/>
                <w:szCs w:val="18"/>
              </w:rPr>
              <w:t>%</w:t>
            </w:r>
            <w:r w:rsidRPr="00B10C76">
              <w:rPr>
                <w:rFonts w:asciiTheme="minorBidi" w:hAnsiTheme="minorBidi" w:cstheme="minorBidi"/>
                <w:color w:val="000000"/>
                <w:sz w:val="18"/>
                <w:szCs w:val="18"/>
              </w:rPr>
              <w:t xml:space="preserve"> birth registration and 80</w:t>
            </w:r>
            <w:r w:rsidR="00A853EC" w:rsidRPr="00B10C76">
              <w:rPr>
                <w:rFonts w:asciiTheme="minorBidi" w:hAnsiTheme="minorBidi" w:cstheme="minorBidi"/>
                <w:color w:val="000000"/>
                <w:sz w:val="18"/>
                <w:szCs w:val="18"/>
              </w:rPr>
              <w:t>%</w:t>
            </w:r>
            <w:r w:rsidRPr="00B10C76">
              <w:rPr>
                <w:rFonts w:asciiTheme="minorBidi" w:hAnsiTheme="minorBidi" w:cstheme="minorBidi"/>
                <w:color w:val="000000"/>
                <w:sz w:val="18"/>
                <w:szCs w:val="18"/>
              </w:rPr>
              <w:t xml:space="preserve"> death registration</w:t>
            </w:r>
          </w:p>
        </w:tc>
        <w:tc>
          <w:tcPr>
            <w:tcW w:w="1806" w:type="dxa"/>
            <w:tcBorders>
              <w:top w:val="single" w:sz="4" w:space="0" w:color="auto"/>
              <w:left w:val="nil"/>
              <w:right w:val="single" w:sz="4" w:space="0" w:color="auto"/>
            </w:tcBorders>
            <w:shd w:val="clear" w:color="auto" w:fill="auto"/>
            <w:noWrap/>
            <w:hideMark/>
          </w:tcPr>
          <w:p w14:paraId="132262FE" w14:textId="77777777" w:rsidR="0071415F" w:rsidRPr="00B10C76" w:rsidRDefault="0071415F" w:rsidP="0071415F">
            <w:pPr>
              <w:keepLines/>
              <w:bidi w:val="0"/>
              <w:spacing w:after="0" w:line="240" w:lineRule="auto"/>
              <w:ind w:left="40"/>
              <w:jc w:val="center"/>
              <w:rPr>
                <w:rFonts w:asciiTheme="minorBidi" w:hAnsiTheme="minorBidi" w:cstheme="minorBidi"/>
                <w:color w:val="000000"/>
                <w:sz w:val="18"/>
                <w:szCs w:val="18"/>
              </w:rPr>
            </w:pPr>
          </w:p>
        </w:tc>
        <w:tc>
          <w:tcPr>
            <w:tcW w:w="1060" w:type="dxa"/>
            <w:tcBorders>
              <w:top w:val="single" w:sz="4" w:space="0" w:color="auto"/>
              <w:left w:val="nil"/>
              <w:right w:val="single" w:sz="4" w:space="0" w:color="auto"/>
            </w:tcBorders>
          </w:tcPr>
          <w:p w14:paraId="293C57C2" w14:textId="77777777" w:rsidR="0071415F" w:rsidRPr="00B10C76" w:rsidRDefault="0071415F" w:rsidP="0071415F">
            <w:pPr>
              <w:keepLines/>
              <w:bidi w:val="0"/>
              <w:spacing w:after="0" w:line="240" w:lineRule="auto"/>
              <w:ind w:left="40"/>
              <w:jc w:val="center"/>
              <w:rPr>
                <w:rFonts w:asciiTheme="minorBidi" w:hAnsiTheme="minorBidi" w:cstheme="minorBidi"/>
                <w:color w:val="000000"/>
                <w:sz w:val="18"/>
                <w:szCs w:val="18"/>
              </w:rPr>
            </w:pPr>
          </w:p>
        </w:tc>
        <w:tc>
          <w:tcPr>
            <w:tcW w:w="1069" w:type="dxa"/>
            <w:tcBorders>
              <w:top w:val="single" w:sz="4" w:space="0" w:color="auto"/>
              <w:left w:val="single" w:sz="4" w:space="0" w:color="auto"/>
              <w:right w:val="single" w:sz="4" w:space="0" w:color="auto"/>
            </w:tcBorders>
          </w:tcPr>
          <w:p w14:paraId="0AFF6AC5" w14:textId="77777777" w:rsidR="0071415F" w:rsidRPr="00B10C76" w:rsidRDefault="0071415F" w:rsidP="0071415F">
            <w:pPr>
              <w:keepLines/>
              <w:bidi w:val="0"/>
              <w:spacing w:after="0" w:line="240" w:lineRule="auto"/>
              <w:ind w:left="40"/>
              <w:jc w:val="center"/>
              <w:rPr>
                <w:rFonts w:asciiTheme="minorBidi" w:hAnsiTheme="minorBidi" w:cstheme="minorBidi"/>
                <w:color w:val="000000"/>
                <w:sz w:val="18"/>
                <w:szCs w:val="18"/>
              </w:rPr>
            </w:pPr>
          </w:p>
        </w:tc>
        <w:tc>
          <w:tcPr>
            <w:tcW w:w="1363" w:type="dxa"/>
            <w:tcBorders>
              <w:top w:val="single" w:sz="4" w:space="0" w:color="auto"/>
              <w:left w:val="single" w:sz="4" w:space="0" w:color="auto"/>
              <w:right w:val="single" w:sz="4" w:space="0" w:color="auto"/>
            </w:tcBorders>
            <w:shd w:val="clear" w:color="auto" w:fill="auto"/>
            <w:noWrap/>
          </w:tcPr>
          <w:p w14:paraId="03AFD160" w14:textId="77777777" w:rsidR="0071415F" w:rsidRPr="00B10C76" w:rsidRDefault="0071415F" w:rsidP="0071415F">
            <w:pPr>
              <w:keepLines/>
              <w:bidi w:val="0"/>
              <w:spacing w:after="0" w:line="240" w:lineRule="auto"/>
              <w:ind w:left="40"/>
              <w:jc w:val="center"/>
              <w:rPr>
                <w:rFonts w:asciiTheme="minorBidi" w:hAnsiTheme="minorBidi" w:cstheme="minorBidi"/>
                <w:sz w:val="18"/>
                <w:szCs w:val="18"/>
              </w:rPr>
            </w:pPr>
          </w:p>
        </w:tc>
      </w:tr>
      <w:tr w:rsidR="0071415F" w:rsidRPr="00C06ADB" w14:paraId="0AD23566" w14:textId="77777777" w:rsidTr="00137121">
        <w:trPr>
          <w:trHeight w:val="389"/>
          <w:jc w:val="center"/>
        </w:trPr>
        <w:tc>
          <w:tcPr>
            <w:tcW w:w="4252" w:type="dxa"/>
            <w:tcBorders>
              <w:top w:val="nil"/>
              <w:left w:val="single" w:sz="4" w:space="0" w:color="auto"/>
              <w:right w:val="single" w:sz="4" w:space="0" w:color="auto"/>
            </w:tcBorders>
            <w:shd w:val="clear" w:color="auto" w:fill="auto"/>
            <w:noWrap/>
            <w:vAlign w:val="center"/>
            <w:hideMark/>
          </w:tcPr>
          <w:p w14:paraId="1A11CAEE" w14:textId="77777777" w:rsidR="0071415F" w:rsidRPr="00B10C76" w:rsidRDefault="00A853EC" w:rsidP="0071415F">
            <w:pPr>
              <w:tabs>
                <w:tab w:val="left" w:pos="9072"/>
              </w:tabs>
              <w:bidi w:val="0"/>
              <w:spacing w:after="0" w:line="240" w:lineRule="auto"/>
              <w:ind w:left="336"/>
              <w:jc w:val="both"/>
              <w:rPr>
                <w:rFonts w:asciiTheme="minorBidi" w:hAnsiTheme="minorBidi" w:cstheme="minorBidi"/>
                <w:sz w:val="18"/>
                <w:szCs w:val="18"/>
              </w:rPr>
            </w:pPr>
            <w:r w:rsidRPr="00B10C76">
              <w:rPr>
                <w:rFonts w:asciiTheme="minorBidi" w:hAnsiTheme="minorBidi" w:cstheme="minorBidi"/>
                <w:sz w:val="18"/>
                <w:szCs w:val="18"/>
              </w:rPr>
              <w:t>H</w:t>
            </w:r>
            <w:r w:rsidR="0071415F" w:rsidRPr="00B10C76">
              <w:rPr>
                <w:rFonts w:asciiTheme="minorBidi" w:hAnsiTheme="minorBidi" w:cstheme="minorBidi"/>
                <w:sz w:val="18"/>
                <w:szCs w:val="18"/>
              </w:rPr>
              <w:t>ave conducted at least one population and housing census in the last 10 years (PCBS, 2017, 1=Yes/0=No)</w:t>
            </w:r>
          </w:p>
        </w:tc>
        <w:tc>
          <w:tcPr>
            <w:tcW w:w="1806" w:type="dxa"/>
            <w:tcBorders>
              <w:top w:val="nil"/>
              <w:left w:val="nil"/>
              <w:right w:val="single" w:sz="4" w:space="0" w:color="auto"/>
            </w:tcBorders>
            <w:shd w:val="clear" w:color="auto" w:fill="auto"/>
            <w:noWrap/>
            <w:hideMark/>
          </w:tcPr>
          <w:p w14:paraId="37A2D73D"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Identical</w:t>
            </w:r>
          </w:p>
        </w:tc>
        <w:tc>
          <w:tcPr>
            <w:tcW w:w="1060" w:type="dxa"/>
            <w:tcBorders>
              <w:top w:val="nil"/>
              <w:left w:val="nil"/>
              <w:right w:val="single" w:sz="4" w:space="0" w:color="auto"/>
            </w:tcBorders>
          </w:tcPr>
          <w:p w14:paraId="7D2823A3"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p>
        </w:tc>
        <w:tc>
          <w:tcPr>
            <w:tcW w:w="1069" w:type="dxa"/>
            <w:tcBorders>
              <w:top w:val="nil"/>
              <w:left w:val="single" w:sz="4" w:space="0" w:color="auto"/>
              <w:right w:val="single" w:sz="4" w:space="0" w:color="auto"/>
            </w:tcBorders>
          </w:tcPr>
          <w:p w14:paraId="07EC1450"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Yes</w:t>
            </w:r>
          </w:p>
        </w:tc>
        <w:tc>
          <w:tcPr>
            <w:tcW w:w="1363" w:type="dxa"/>
            <w:tcBorders>
              <w:top w:val="nil"/>
              <w:left w:val="single" w:sz="4" w:space="0" w:color="auto"/>
              <w:right w:val="single" w:sz="4" w:space="0" w:color="auto"/>
            </w:tcBorders>
            <w:shd w:val="clear" w:color="auto" w:fill="auto"/>
            <w:noWrap/>
          </w:tcPr>
          <w:p w14:paraId="06D3EA5A" w14:textId="77777777" w:rsidR="0071415F" w:rsidRPr="00B10C76" w:rsidRDefault="0071415F" w:rsidP="0071415F">
            <w:pPr>
              <w:bidi w:val="0"/>
              <w:spacing w:after="0" w:line="240" w:lineRule="auto"/>
              <w:ind w:left="39"/>
              <w:jc w:val="center"/>
              <w:rPr>
                <w:rFonts w:asciiTheme="minorBidi" w:hAnsiTheme="minorBidi" w:cstheme="minorBidi"/>
                <w:sz w:val="18"/>
                <w:szCs w:val="18"/>
              </w:rPr>
            </w:pPr>
          </w:p>
        </w:tc>
      </w:tr>
      <w:tr w:rsidR="0071415F" w:rsidRPr="00C06ADB" w14:paraId="5075F52F" w14:textId="77777777" w:rsidTr="00137121">
        <w:trPr>
          <w:trHeight w:val="389"/>
          <w:jc w:val="center"/>
        </w:trPr>
        <w:tc>
          <w:tcPr>
            <w:tcW w:w="4252" w:type="dxa"/>
            <w:tcBorders>
              <w:left w:val="single" w:sz="4" w:space="0" w:color="auto"/>
              <w:bottom w:val="nil"/>
              <w:right w:val="single" w:sz="4" w:space="0" w:color="auto"/>
            </w:tcBorders>
            <w:shd w:val="clear" w:color="auto" w:fill="auto"/>
            <w:noWrap/>
            <w:vAlign w:val="center"/>
          </w:tcPr>
          <w:p w14:paraId="3D572E18" w14:textId="77777777" w:rsidR="0071415F" w:rsidRPr="00B10C76" w:rsidRDefault="0071415F" w:rsidP="0071415F">
            <w:pPr>
              <w:tabs>
                <w:tab w:val="left" w:pos="9072"/>
              </w:tabs>
              <w:bidi w:val="0"/>
              <w:spacing w:after="0" w:line="240" w:lineRule="auto"/>
              <w:ind w:left="336"/>
              <w:jc w:val="both"/>
              <w:rPr>
                <w:rFonts w:asciiTheme="minorBidi" w:hAnsiTheme="minorBidi" w:cstheme="minorBidi"/>
                <w:sz w:val="18"/>
                <w:szCs w:val="18"/>
              </w:rPr>
            </w:pPr>
            <w:r w:rsidRPr="00B10C76">
              <w:rPr>
                <w:rFonts w:asciiTheme="minorBidi" w:hAnsiTheme="minorBidi" w:cstheme="minorBidi"/>
                <w:sz w:val="18"/>
                <w:szCs w:val="18"/>
              </w:rPr>
              <w:t>Proportion of countries that have achieved 90</w:t>
            </w:r>
            <w:r w:rsidR="00A853EC" w:rsidRPr="00B10C76">
              <w:rPr>
                <w:rFonts w:asciiTheme="minorBidi" w:hAnsiTheme="minorBidi" w:cstheme="minorBidi"/>
                <w:sz w:val="18"/>
                <w:szCs w:val="18"/>
              </w:rPr>
              <w:t>%</w:t>
            </w:r>
            <w:r w:rsidRPr="00B10C76">
              <w:rPr>
                <w:rFonts w:asciiTheme="minorBidi" w:hAnsiTheme="minorBidi" w:cstheme="minorBidi"/>
                <w:sz w:val="18"/>
                <w:szCs w:val="18"/>
              </w:rPr>
              <w:t xml:space="preserve"> birth registration (PCBS, </w:t>
            </w:r>
            <w:r w:rsidRPr="00B10C76">
              <w:rPr>
                <w:rFonts w:asciiTheme="minorBidi" w:hAnsiTheme="minorBidi" w:cstheme="minorBidi"/>
                <w:sz w:val="18"/>
                <w:szCs w:val="18"/>
                <w:rtl/>
              </w:rPr>
              <w:t>2019</w:t>
            </w:r>
            <w:r w:rsidRPr="00B10C76">
              <w:rPr>
                <w:rFonts w:asciiTheme="minorBidi" w:hAnsiTheme="minorBidi" w:cstheme="minorBidi"/>
                <w:sz w:val="18"/>
                <w:szCs w:val="18"/>
              </w:rPr>
              <w:t>, 1=Yes/0=No)</w:t>
            </w:r>
          </w:p>
        </w:tc>
        <w:tc>
          <w:tcPr>
            <w:tcW w:w="1806" w:type="dxa"/>
            <w:tcBorders>
              <w:left w:val="nil"/>
              <w:bottom w:val="nil"/>
              <w:right w:val="single" w:sz="4" w:space="0" w:color="auto"/>
            </w:tcBorders>
            <w:shd w:val="clear" w:color="auto" w:fill="auto"/>
            <w:noWrap/>
          </w:tcPr>
          <w:p w14:paraId="549036B8"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Partial</w:t>
            </w:r>
          </w:p>
        </w:tc>
        <w:tc>
          <w:tcPr>
            <w:tcW w:w="1060" w:type="dxa"/>
            <w:tcBorders>
              <w:left w:val="nil"/>
              <w:bottom w:val="nil"/>
              <w:right w:val="single" w:sz="4" w:space="0" w:color="auto"/>
            </w:tcBorders>
          </w:tcPr>
          <w:p w14:paraId="3B900F2E"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Yes (2018)</w:t>
            </w:r>
          </w:p>
        </w:tc>
        <w:tc>
          <w:tcPr>
            <w:tcW w:w="1069" w:type="dxa"/>
            <w:tcBorders>
              <w:left w:val="single" w:sz="4" w:space="0" w:color="auto"/>
              <w:bottom w:val="nil"/>
              <w:right w:val="single" w:sz="4" w:space="0" w:color="auto"/>
            </w:tcBorders>
          </w:tcPr>
          <w:p w14:paraId="20A3257D" w14:textId="77777777" w:rsidR="0071415F" w:rsidRPr="00B10C76" w:rsidRDefault="0071415F" w:rsidP="0071415F">
            <w:pPr>
              <w:bidi w:val="0"/>
              <w:spacing w:after="0" w:line="240" w:lineRule="auto"/>
              <w:ind w:left="39"/>
              <w:jc w:val="center"/>
              <w:rPr>
                <w:rFonts w:asciiTheme="minorBidi" w:hAnsiTheme="minorBidi" w:cstheme="minorBidi"/>
                <w:color w:val="000000"/>
                <w:sz w:val="18"/>
                <w:szCs w:val="18"/>
              </w:rPr>
            </w:pPr>
            <w:r w:rsidRPr="00B10C76">
              <w:rPr>
                <w:rFonts w:asciiTheme="minorBidi" w:hAnsiTheme="minorBidi" w:cstheme="minorBidi"/>
                <w:color w:val="000000"/>
                <w:sz w:val="18"/>
                <w:szCs w:val="18"/>
              </w:rPr>
              <w:t>Yes</w:t>
            </w:r>
          </w:p>
        </w:tc>
        <w:tc>
          <w:tcPr>
            <w:tcW w:w="1363" w:type="dxa"/>
            <w:tcBorders>
              <w:left w:val="single" w:sz="4" w:space="0" w:color="auto"/>
              <w:bottom w:val="nil"/>
              <w:right w:val="single" w:sz="4" w:space="0" w:color="auto"/>
            </w:tcBorders>
            <w:shd w:val="clear" w:color="auto" w:fill="auto"/>
            <w:noWrap/>
          </w:tcPr>
          <w:p w14:paraId="2DE1F4B8" w14:textId="77777777" w:rsidR="0071415F" w:rsidRPr="00B10C76" w:rsidRDefault="0071415F" w:rsidP="0071415F">
            <w:pPr>
              <w:bidi w:val="0"/>
              <w:spacing w:after="0" w:line="240" w:lineRule="auto"/>
              <w:ind w:left="39"/>
              <w:jc w:val="center"/>
              <w:rPr>
                <w:rFonts w:asciiTheme="minorBidi" w:hAnsiTheme="minorBidi" w:cstheme="minorBidi"/>
                <w:sz w:val="18"/>
                <w:szCs w:val="18"/>
              </w:rPr>
            </w:pPr>
            <w:r w:rsidRPr="00B10C76">
              <w:rPr>
                <w:rFonts w:asciiTheme="minorBidi" w:hAnsiTheme="minorBidi" w:cstheme="minorBidi"/>
                <w:sz w:val="18"/>
                <w:szCs w:val="18"/>
              </w:rPr>
              <w:t>No change</w:t>
            </w:r>
          </w:p>
        </w:tc>
      </w:tr>
      <w:tr w:rsidR="0071415F" w:rsidRPr="00C06ADB" w14:paraId="0F5ACA8B" w14:textId="77777777" w:rsidTr="00137121">
        <w:trPr>
          <w:trHeight w:val="389"/>
          <w:jc w:val="center"/>
        </w:trPr>
        <w:tc>
          <w:tcPr>
            <w:tcW w:w="4252" w:type="dxa"/>
            <w:tcBorders>
              <w:top w:val="nil"/>
              <w:left w:val="single" w:sz="4" w:space="0" w:color="auto"/>
              <w:bottom w:val="single" w:sz="4" w:space="0" w:color="auto"/>
              <w:right w:val="single" w:sz="4" w:space="0" w:color="auto"/>
            </w:tcBorders>
            <w:shd w:val="clear" w:color="auto" w:fill="auto"/>
            <w:noWrap/>
            <w:vAlign w:val="center"/>
          </w:tcPr>
          <w:p w14:paraId="584BEAB5"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countries that achieved 75</w:t>
            </w:r>
            <w:r w:rsidR="00A853EC">
              <w:rPr>
                <w:rFonts w:asciiTheme="minorBidi" w:hAnsiTheme="minorBidi" w:cstheme="minorBidi"/>
                <w:sz w:val="18"/>
                <w:szCs w:val="18"/>
              </w:rPr>
              <w:t>%</w:t>
            </w:r>
            <w:r w:rsidRPr="00C06ADB">
              <w:rPr>
                <w:rFonts w:asciiTheme="minorBidi" w:hAnsiTheme="minorBidi" w:cstheme="minorBidi"/>
                <w:sz w:val="18"/>
                <w:szCs w:val="18"/>
              </w:rPr>
              <w:t xml:space="preserve"> death registration(PCBS, </w:t>
            </w:r>
            <w:r w:rsidRPr="00C06ADB">
              <w:rPr>
                <w:rFonts w:asciiTheme="minorBidi" w:hAnsiTheme="minorBidi" w:cstheme="minorBidi"/>
                <w:sz w:val="18"/>
                <w:szCs w:val="18"/>
                <w:rtl/>
              </w:rPr>
              <w:t>2019</w:t>
            </w:r>
            <w:r w:rsidRPr="00C06ADB">
              <w:rPr>
                <w:rFonts w:asciiTheme="minorBidi" w:hAnsiTheme="minorBidi" w:cstheme="minorBidi"/>
                <w:sz w:val="18"/>
                <w:szCs w:val="18"/>
              </w:rPr>
              <w:t>, 1=Yes/0=No)</w:t>
            </w:r>
          </w:p>
        </w:tc>
        <w:tc>
          <w:tcPr>
            <w:tcW w:w="1806" w:type="dxa"/>
            <w:tcBorders>
              <w:top w:val="nil"/>
              <w:left w:val="nil"/>
              <w:bottom w:val="single" w:sz="4" w:space="0" w:color="auto"/>
              <w:right w:val="single" w:sz="4" w:space="0" w:color="auto"/>
            </w:tcBorders>
            <w:shd w:val="clear" w:color="auto" w:fill="auto"/>
            <w:noWrap/>
            <w:vAlign w:val="center"/>
          </w:tcPr>
          <w:p w14:paraId="73780B66"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Partial</w:t>
            </w:r>
          </w:p>
        </w:tc>
        <w:tc>
          <w:tcPr>
            <w:tcW w:w="1060" w:type="dxa"/>
            <w:tcBorders>
              <w:top w:val="nil"/>
              <w:left w:val="nil"/>
              <w:bottom w:val="single" w:sz="4" w:space="0" w:color="auto"/>
              <w:right w:val="single" w:sz="4" w:space="0" w:color="auto"/>
            </w:tcBorders>
            <w:vAlign w:val="center"/>
          </w:tcPr>
          <w:p w14:paraId="5F5A4C9A"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Yes (2018)</w:t>
            </w:r>
          </w:p>
        </w:tc>
        <w:tc>
          <w:tcPr>
            <w:tcW w:w="1069" w:type="dxa"/>
            <w:tcBorders>
              <w:top w:val="nil"/>
              <w:left w:val="single" w:sz="4" w:space="0" w:color="auto"/>
              <w:bottom w:val="single" w:sz="4" w:space="0" w:color="auto"/>
              <w:right w:val="single" w:sz="4" w:space="0" w:color="auto"/>
            </w:tcBorders>
            <w:vAlign w:val="center"/>
          </w:tcPr>
          <w:p w14:paraId="26399639"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Yes</w:t>
            </w:r>
          </w:p>
        </w:tc>
        <w:tc>
          <w:tcPr>
            <w:tcW w:w="1363" w:type="dxa"/>
            <w:tcBorders>
              <w:top w:val="nil"/>
              <w:left w:val="single" w:sz="4" w:space="0" w:color="auto"/>
              <w:bottom w:val="single" w:sz="4" w:space="0" w:color="auto"/>
              <w:right w:val="single" w:sz="4" w:space="0" w:color="auto"/>
            </w:tcBorders>
            <w:shd w:val="clear" w:color="auto" w:fill="auto"/>
            <w:noWrap/>
            <w:vAlign w:val="center"/>
          </w:tcPr>
          <w:p w14:paraId="0A44E03A" w14:textId="77777777" w:rsidR="0071415F" w:rsidRPr="00C06ADB" w:rsidRDefault="0071415F" w:rsidP="0071415F">
            <w:pPr>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No change</w:t>
            </w:r>
          </w:p>
        </w:tc>
      </w:tr>
    </w:tbl>
    <w:p w14:paraId="2918F630" w14:textId="77777777" w:rsidR="0071415F" w:rsidRPr="005374D2" w:rsidRDefault="0071415F" w:rsidP="005374D2">
      <w:pPr>
        <w:autoSpaceDE w:val="0"/>
        <w:autoSpaceDN w:val="0"/>
        <w:bidi w:val="0"/>
        <w:adjustRightInd w:val="0"/>
        <w:spacing w:after="0" w:line="240" w:lineRule="auto"/>
        <w:jc w:val="both"/>
        <w:rPr>
          <w:rFonts w:ascii="Times New Roman" w:hAnsi="Times New Roman" w:cs="Times New Roman"/>
          <w:b/>
          <w:bCs/>
          <w:sz w:val="24"/>
          <w:szCs w:val="24"/>
        </w:rPr>
      </w:pPr>
    </w:p>
    <w:p w14:paraId="3DA9520D" w14:textId="77777777" w:rsidR="0071415F" w:rsidRPr="00BE4E83" w:rsidRDefault="0071415F" w:rsidP="00FB1314">
      <w:pPr>
        <w:pStyle w:val="ListParagraph"/>
        <w:numPr>
          <w:ilvl w:val="0"/>
          <w:numId w:val="21"/>
        </w:numPr>
        <w:autoSpaceDE w:val="0"/>
        <w:autoSpaceDN w:val="0"/>
        <w:adjustRightInd w:val="0"/>
        <w:spacing w:after="0" w:line="240" w:lineRule="auto"/>
        <w:jc w:val="both"/>
        <w:rPr>
          <w:rFonts w:ascii="Times New Roman" w:hAnsi="Times New Roman" w:cs="Times New Roman"/>
          <w:b/>
          <w:bCs/>
          <w:sz w:val="24"/>
          <w:szCs w:val="24"/>
        </w:rPr>
      </w:pPr>
      <w:r w:rsidRPr="00BE4E83">
        <w:rPr>
          <w:rFonts w:ascii="Times New Roman" w:hAnsi="Times New Roman" w:cs="Times New Roman"/>
          <w:b/>
          <w:bCs/>
          <w:sz w:val="24"/>
          <w:szCs w:val="24"/>
        </w:rPr>
        <w:t xml:space="preserve">Reported </w:t>
      </w:r>
      <w:r w:rsidR="00A853EC">
        <w:rPr>
          <w:rFonts w:ascii="Times New Roman" w:hAnsi="Times New Roman" w:cs="Times New Roman"/>
          <w:b/>
          <w:bCs/>
          <w:sz w:val="24"/>
          <w:szCs w:val="24"/>
        </w:rPr>
        <w:t>i</w:t>
      </w:r>
      <w:r w:rsidRPr="00BE4E83">
        <w:rPr>
          <w:rFonts w:ascii="Times New Roman" w:hAnsi="Times New Roman" w:cs="Times New Roman"/>
          <w:b/>
          <w:bCs/>
          <w:sz w:val="24"/>
          <w:szCs w:val="24"/>
        </w:rPr>
        <w:t xml:space="preserve">ndicators by </w:t>
      </w:r>
      <w:r w:rsidR="00A853EC">
        <w:rPr>
          <w:rFonts w:ascii="Times New Roman" w:hAnsi="Times New Roman" w:cs="Times New Roman"/>
          <w:b/>
          <w:bCs/>
          <w:sz w:val="24"/>
          <w:szCs w:val="24"/>
        </w:rPr>
        <w:t>o</w:t>
      </w:r>
      <w:r w:rsidRPr="00BE4E83">
        <w:rPr>
          <w:rFonts w:ascii="Times New Roman" w:hAnsi="Times New Roman" w:cs="Times New Roman"/>
          <w:b/>
          <w:bCs/>
          <w:sz w:val="24"/>
          <w:szCs w:val="24"/>
        </w:rPr>
        <w:t xml:space="preserve">ther </w:t>
      </w:r>
      <w:r w:rsidR="00A853EC">
        <w:rPr>
          <w:rFonts w:ascii="Times New Roman" w:hAnsi="Times New Roman" w:cs="Times New Roman"/>
          <w:b/>
          <w:bCs/>
          <w:sz w:val="24"/>
          <w:szCs w:val="24"/>
        </w:rPr>
        <w:t>s</w:t>
      </w:r>
      <w:r w:rsidRPr="00BE4E83">
        <w:rPr>
          <w:rFonts w:ascii="Times New Roman" w:hAnsi="Times New Roman" w:cs="Times New Roman"/>
          <w:b/>
          <w:bCs/>
          <w:sz w:val="24"/>
          <w:szCs w:val="24"/>
        </w:rPr>
        <w:t>ources</w:t>
      </w:r>
    </w:p>
    <w:p w14:paraId="23BD828F" w14:textId="77777777" w:rsidR="0071415F" w:rsidRPr="00DE2C7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 are</w:t>
      </w:r>
      <w:r w:rsidR="00A853EC">
        <w:rPr>
          <w:rFonts w:ascii="Times New Roman" w:hAnsi="Times New Roman" w:cs="Times New Roman"/>
          <w:sz w:val="24"/>
          <w:szCs w:val="24"/>
        </w:rPr>
        <w:t xml:space="preserve">an </w:t>
      </w:r>
      <w:r>
        <w:rPr>
          <w:rFonts w:ascii="Times New Roman" w:hAnsi="Times New Roman" w:cs="Times New Roman"/>
          <w:sz w:val="24"/>
          <w:szCs w:val="24"/>
        </w:rPr>
        <w:t>additional</w:t>
      </w:r>
      <w:r w:rsidR="00A853EC">
        <w:rPr>
          <w:rFonts w:ascii="Times New Roman" w:hAnsi="Times New Roman" w:cs="Times New Roman"/>
          <w:sz w:val="24"/>
          <w:szCs w:val="24"/>
        </w:rPr>
        <w:t>six</w:t>
      </w:r>
      <w:r w:rsidRPr="00C134AE">
        <w:rPr>
          <w:rFonts w:ascii="Times New Roman" w:hAnsi="Times New Roman" w:cs="Times New Roman"/>
          <w:sz w:val="24"/>
          <w:szCs w:val="24"/>
        </w:rPr>
        <w:t xml:space="preserve">indicators </w:t>
      </w:r>
      <w:r w:rsidR="00A853EC">
        <w:rPr>
          <w:rFonts w:ascii="Times New Roman" w:hAnsi="Times New Roman" w:cs="Times New Roman"/>
          <w:sz w:val="24"/>
          <w:szCs w:val="24"/>
        </w:rPr>
        <w:t xml:space="preserve">reported </w:t>
      </w:r>
      <w:r w:rsidRPr="00C134AE">
        <w:rPr>
          <w:rFonts w:ascii="Times New Roman" w:hAnsi="Times New Roman" w:cs="Times New Roman"/>
          <w:sz w:val="24"/>
          <w:szCs w:val="24"/>
        </w:rPr>
        <w:t>by</w:t>
      </w:r>
      <w:r>
        <w:rPr>
          <w:rFonts w:ascii="Times New Roman" w:hAnsi="Times New Roman" w:cs="Times New Roman"/>
          <w:sz w:val="24"/>
          <w:szCs w:val="24"/>
        </w:rPr>
        <w:t xml:space="preserve"> other sources that </w:t>
      </w:r>
      <w:r w:rsidR="00A853EC">
        <w:rPr>
          <w:rFonts w:ascii="Times New Roman" w:hAnsi="Times New Roman" w:cs="Times New Roman"/>
          <w:sz w:val="24"/>
          <w:szCs w:val="24"/>
        </w:rPr>
        <w:t xml:space="preserve">are </w:t>
      </w:r>
      <w:r>
        <w:rPr>
          <w:rFonts w:ascii="Times New Roman" w:hAnsi="Times New Roman" w:cs="Times New Roman"/>
          <w:sz w:val="24"/>
          <w:szCs w:val="24"/>
        </w:rPr>
        <w:t>available on</w:t>
      </w:r>
      <w:r w:rsidRPr="001D5BA6">
        <w:rPr>
          <w:rFonts w:ascii="Times New Roman" w:hAnsi="Times New Roman" w:cs="Times New Roman"/>
          <w:sz w:val="24"/>
          <w:szCs w:val="24"/>
        </w:rPr>
        <w:t>UNSD-Database</w:t>
      </w:r>
      <w:r>
        <w:rPr>
          <w:rFonts w:ascii="Times New Roman" w:hAnsi="Times New Roman" w:cs="Times New Roman"/>
          <w:sz w:val="24"/>
          <w:szCs w:val="24"/>
        </w:rPr>
        <w:t xml:space="preserve"> for Goal 17 </w:t>
      </w:r>
      <w:r w:rsidRPr="00C134AE">
        <w:rPr>
          <w:rFonts w:ascii="Times New Roman" w:hAnsi="Times New Roman" w:cs="Times New Roman"/>
          <w:sz w:val="24"/>
          <w:szCs w:val="24"/>
        </w:rPr>
        <w:t xml:space="preserve">referring to </w:t>
      </w:r>
      <w:r w:rsidR="00A853EC">
        <w:rPr>
          <w:rFonts w:ascii="Times New Roman" w:hAnsi="Times New Roman" w:cs="Times New Roman"/>
          <w:sz w:val="24"/>
          <w:szCs w:val="24"/>
        </w:rPr>
        <w:t>six</w:t>
      </w:r>
      <w:r>
        <w:rPr>
          <w:rFonts w:ascii="Times New Roman" w:hAnsi="Times New Roman" w:cs="Times New Roman"/>
          <w:sz w:val="24"/>
          <w:szCs w:val="24"/>
        </w:rPr>
        <w:t>of</w:t>
      </w:r>
      <w:r w:rsidRPr="00C134AE">
        <w:rPr>
          <w:rFonts w:ascii="Times New Roman" w:hAnsi="Times New Roman" w:cs="Times New Roman"/>
          <w:sz w:val="24"/>
          <w:szCs w:val="24"/>
        </w:rPr>
        <w:t xml:space="preserve"> the </w:t>
      </w:r>
      <w:r>
        <w:rPr>
          <w:rFonts w:ascii="Times New Roman" w:hAnsi="Times New Roman" w:cs="Times New Roman"/>
          <w:sz w:val="24"/>
          <w:szCs w:val="24"/>
        </w:rPr>
        <w:t>19targets</w:t>
      </w:r>
      <w:r w:rsidR="00A853EC">
        <w:rPr>
          <w:rFonts w:ascii="Times New Roman" w:hAnsi="Times New Roman" w:cs="Times New Roman"/>
          <w:sz w:val="24"/>
          <w:szCs w:val="24"/>
        </w:rPr>
        <w:t>; t</w:t>
      </w:r>
      <w:r w:rsidRPr="00DE2C78">
        <w:rPr>
          <w:rFonts w:ascii="Times New Roman" w:hAnsi="Times New Roman" w:cs="Times New Roman"/>
          <w:sz w:val="24"/>
          <w:szCs w:val="24"/>
        </w:rPr>
        <w:t>herefore, 57.9% of the goal targets (</w:t>
      </w:r>
      <w:r w:rsidR="00A853EC">
        <w:rPr>
          <w:rFonts w:ascii="Times New Roman" w:hAnsi="Times New Roman" w:cs="Times New Roman"/>
          <w:sz w:val="24"/>
          <w:szCs w:val="24"/>
        </w:rPr>
        <w:t>11</w:t>
      </w:r>
      <w:r w:rsidRPr="00DE2C78">
        <w:rPr>
          <w:rFonts w:ascii="Times New Roman" w:hAnsi="Times New Roman" w:cs="Times New Roman"/>
          <w:sz w:val="24"/>
          <w:szCs w:val="24"/>
        </w:rPr>
        <w:t xml:space="preserve"> out of </w:t>
      </w:r>
      <w:r w:rsidR="00A853EC">
        <w:rPr>
          <w:rFonts w:ascii="Times New Roman" w:hAnsi="Times New Roman" w:cs="Times New Roman"/>
          <w:sz w:val="24"/>
          <w:szCs w:val="24"/>
        </w:rPr>
        <w:t>19</w:t>
      </w:r>
      <w:r w:rsidRPr="00DE2C78">
        <w:rPr>
          <w:rFonts w:ascii="Times New Roman" w:hAnsi="Times New Roman" w:cs="Times New Roman"/>
          <w:sz w:val="24"/>
          <w:szCs w:val="24"/>
        </w:rPr>
        <w:t xml:space="preserve">) </w:t>
      </w:r>
      <w:r w:rsidR="00A853EC">
        <w:rPr>
          <w:rFonts w:ascii="Times New Roman" w:hAnsi="Times New Roman" w:cs="Times New Roman"/>
          <w:sz w:val="24"/>
          <w:szCs w:val="24"/>
        </w:rPr>
        <w:t xml:space="preserve">have </w:t>
      </w:r>
      <w:r w:rsidRPr="00DE2C78">
        <w:rPr>
          <w:rFonts w:ascii="Times New Roman" w:hAnsi="Times New Roman" w:cs="Times New Roman"/>
          <w:sz w:val="24"/>
          <w:szCs w:val="24"/>
        </w:rPr>
        <w:t>been either fully or partially</w:t>
      </w:r>
      <w:r w:rsidR="00A853EC">
        <w:rPr>
          <w:rFonts w:ascii="Times New Roman" w:hAnsi="Times New Roman" w:cs="Times New Roman"/>
          <w:sz w:val="24"/>
          <w:szCs w:val="24"/>
        </w:rPr>
        <w:t xml:space="preserve"> covered</w:t>
      </w:r>
      <w:r w:rsidR="00F462D0">
        <w:rPr>
          <w:rFonts w:ascii="Times New Roman" w:hAnsi="Times New Roman" w:cs="Times New Roman"/>
          <w:sz w:val="24"/>
          <w:szCs w:val="24"/>
        </w:rPr>
        <w:t>.</w:t>
      </w:r>
    </w:p>
    <w:p w14:paraId="38466684" w14:textId="77777777" w:rsidR="0071415F" w:rsidRPr="00DB016B" w:rsidRDefault="0071415F" w:rsidP="0071415F">
      <w:pPr>
        <w:pStyle w:val="ListParagraph"/>
        <w:spacing w:after="0" w:line="240" w:lineRule="auto"/>
        <w:ind w:left="502"/>
        <w:rPr>
          <w:rFonts w:ascii="Arial" w:hAnsi="Arial"/>
          <w:b/>
          <w:bCs/>
          <w:color w:val="FF0000"/>
          <w:lang w:eastAsia="ar-SA"/>
        </w:rPr>
      </w:pPr>
    </w:p>
    <w:p w14:paraId="7FD7A320" w14:textId="77777777" w:rsidR="0071415F" w:rsidRPr="00C06ADB" w:rsidRDefault="0071415F" w:rsidP="0071415F">
      <w:pPr>
        <w:pStyle w:val="ListParagraph"/>
        <w:spacing w:after="0" w:line="240" w:lineRule="auto"/>
        <w:ind w:left="502"/>
        <w:jc w:val="center"/>
        <w:rPr>
          <w:rFonts w:asciiTheme="minorBidi" w:hAnsiTheme="minorBidi" w:cstheme="minorBidi"/>
          <w:b/>
          <w:bCs/>
          <w:lang w:eastAsia="ar-SA"/>
        </w:rPr>
      </w:pPr>
      <w:r w:rsidRPr="00C06ADB">
        <w:rPr>
          <w:rFonts w:asciiTheme="minorBidi" w:hAnsiTheme="minorBidi" w:cstheme="minorBidi"/>
          <w:b/>
          <w:bCs/>
          <w:lang w:eastAsia="ar-SA"/>
        </w:rPr>
        <w:t xml:space="preserve">Table </w:t>
      </w:r>
      <w:r w:rsidRPr="00C06ADB">
        <w:rPr>
          <w:rFonts w:asciiTheme="minorBidi" w:hAnsiTheme="minorBidi" w:cstheme="minorBidi"/>
          <w:b/>
          <w:bCs/>
          <w:rtl/>
          <w:lang w:eastAsia="ar-SA"/>
        </w:rPr>
        <w:t>17</w:t>
      </w:r>
      <w:r w:rsidRPr="00C06ADB">
        <w:rPr>
          <w:rFonts w:asciiTheme="minorBidi" w:hAnsiTheme="minorBidi" w:cstheme="minorBidi"/>
          <w:b/>
          <w:bCs/>
          <w:lang w:eastAsia="ar-SA"/>
        </w:rPr>
        <w:t xml:space="preserve">.2: List of SDGs </w:t>
      </w:r>
      <w:r w:rsidR="00A853EC">
        <w:rPr>
          <w:rFonts w:asciiTheme="minorBidi" w:hAnsiTheme="minorBidi" w:cstheme="minorBidi"/>
          <w:b/>
          <w:bCs/>
          <w:lang w:eastAsia="ar-SA"/>
        </w:rPr>
        <w:t>I</w:t>
      </w:r>
      <w:r w:rsidRPr="00C06ADB">
        <w:rPr>
          <w:rFonts w:asciiTheme="minorBidi" w:hAnsiTheme="minorBidi" w:cstheme="minorBidi"/>
          <w:b/>
          <w:bCs/>
          <w:lang w:eastAsia="ar-SA"/>
        </w:rPr>
        <w:t xml:space="preserve">ndicators </w:t>
      </w:r>
      <w:r w:rsidR="00A853EC">
        <w:rPr>
          <w:rFonts w:asciiTheme="minorBidi" w:hAnsiTheme="minorBidi" w:cstheme="minorBidi"/>
          <w:b/>
          <w:bCs/>
          <w:lang w:eastAsia="ar-SA"/>
        </w:rPr>
        <w:t>R</w:t>
      </w:r>
      <w:r w:rsidRPr="00C06ADB">
        <w:rPr>
          <w:rFonts w:asciiTheme="minorBidi" w:hAnsiTheme="minorBidi" w:cstheme="minorBidi"/>
          <w:b/>
          <w:bCs/>
          <w:lang w:eastAsia="ar-SA"/>
        </w:rPr>
        <w:t xml:space="preserve">eleased by </w:t>
      </w:r>
      <w:r w:rsidRPr="00C06ADB">
        <w:rPr>
          <w:rFonts w:asciiTheme="minorBidi" w:hAnsiTheme="minorBidi" w:cstheme="minorBidi"/>
          <w:b/>
          <w:bCs/>
        </w:rPr>
        <w:t>Other Sources</w:t>
      </w:r>
    </w:p>
    <w:p w14:paraId="0E9A0647" w14:textId="77777777" w:rsidR="0071415F" w:rsidRPr="00080517" w:rsidRDefault="0071415F" w:rsidP="0071415F">
      <w:pPr>
        <w:bidi w:val="0"/>
        <w:spacing w:after="0" w:line="240" w:lineRule="auto"/>
        <w:jc w:val="center"/>
        <w:rPr>
          <w:rStyle w:val="Bodytext8pt"/>
          <w:bCs w:val="0"/>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0D2E4D" w14:paraId="3C1DBCF6" w14:textId="77777777" w:rsidTr="00AA5132">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F8AD0"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11AD302C" w14:textId="77777777" w:rsidR="0071415F" w:rsidRPr="001D5BA6" w:rsidRDefault="0071415F" w:rsidP="0071415F">
            <w:pPr>
              <w:bidi w:val="0"/>
              <w:spacing w:after="0" w:line="240" w:lineRule="auto"/>
              <w:jc w:val="center"/>
            </w:pPr>
            <w:r w:rsidRPr="001D5BA6">
              <w:rPr>
                <w:rFonts w:ascii="Arial" w:hAnsi="Arial"/>
                <w:b/>
                <w:bCs/>
                <w:sz w:val="18"/>
                <w:szCs w:val="18"/>
              </w:rPr>
              <w:t>Most Recent Year</w:t>
            </w:r>
          </w:p>
        </w:tc>
      </w:tr>
      <w:tr w:rsidR="0071415F" w:rsidRPr="000D2E4D" w14:paraId="096E58F7" w14:textId="77777777" w:rsidTr="00AA5132">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6ECF3" w14:textId="77777777" w:rsidR="0071415F" w:rsidRPr="00A34B9C" w:rsidRDefault="00AA5132" w:rsidP="00AA5132">
            <w:pPr>
              <w:tabs>
                <w:tab w:val="left" w:pos="9072"/>
              </w:tabs>
              <w:bidi w:val="0"/>
              <w:spacing w:after="0" w:line="240" w:lineRule="auto"/>
              <w:rPr>
                <w:rFonts w:ascii="Arial" w:hAnsi="Arial"/>
                <w:sz w:val="18"/>
                <w:szCs w:val="18"/>
              </w:rPr>
            </w:pPr>
            <w:r>
              <w:rPr>
                <w:rFonts w:ascii="Arial" w:hAnsi="Arial"/>
                <w:b/>
                <w:bCs/>
                <w:sz w:val="18"/>
                <w:szCs w:val="18"/>
              </w:rPr>
              <w:t xml:space="preserve">Indicator </w:t>
            </w:r>
            <w:r w:rsidR="0071415F" w:rsidRPr="00A34B9C">
              <w:rPr>
                <w:rFonts w:ascii="Arial" w:hAnsi="Arial"/>
                <w:b/>
                <w:bCs/>
                <w:sz w:val="18"/>
                <w:szCs w:val="18"/>
              </w:rPr>
              <w:t>17.9.1</w:t>
            </w:r>
            <w:r w:rsidR="0071415F" w:rsidRPr="00A34B9C">
              <w:rPr>
                <w:rFonts w:ascii="Arial" w:hAnsi="Arial"/>
                <w:sz w:val="18"/>
                <w:szCs w:val="18"/>
              </w:rPr>
              <w:t xml:space="preserve"> Dollar value of financial and technical assistance (including through North-South, South-South and triangular cooperation) committed to developing countries</w:t>
            </w:r>
          </w:p>
        </w:tc>
        <w:tc>
          <w:tcPr>
            <w:tcW w:w="2234" w:type="dxa"/>
            <w:tcBorders>
              <w:top w:val="single" w:sz="4" w:space="0" w:color="auto"/>
              <w:left w:val="nil"/>
              <w:bottom w:val="single" w:sz="4" w:space="0" w:color="auto"/>
              <w:right w:val="single" w:sz="4" w:space="0" w:color="auto"/>
            </w:tcBorders>
            <w:vAlign w:val="center"/>
          </w:tcPr>
          <w:p w14:paraId="451D2056" w14:textId="77777777" w:rsidR="0071415F" w:rsidRPr="00080517" w:rsidRDefault="0071415F" w:rsidP="00AA5132">
            <w:pPr>
              <w:spacing w:after="0" w:line="240" w:lineRule="auto"/>
              <w:ind w:right="57"/>
              <w:jc w:val="center"/>
              <w:rPr>
                <w:rFonts w:ascii="Arial" w:hAnsi="Arial"/>
                <w:color w:val="000000"/>
                <w:sz w:val="18"/>
                <w:szCs w:val="18"/>
              </w:rPr>
            </w:pPr>
            <w:r>
              <w:rPr>
                <w:rFonts w:ascii="Arial" w:hAnsi="Arial"/>
                <w:color w:val="000000"/>
                <w:sz w:val="18"/>
                <w:szCs w:val="18"/>
              </w:rPr>
              <w:t>2018</w:t>
            </w:r>
          </w:p>
        </w:tc>
      </w:tr>
      <w:tr w:rsidR="0071415F" w:rsidRPr="000D2E4D" w14:paraId="3CF739DC" w14:textId="77777777" w:rsidTr="00AA5132">
        <w:trPr>
          <w:trHeight w:val="504"/>
        </w:trPr>
        <w:tc>
          <w:tcPr>
            <w:tcW w:w="6826" w:type="dxa"/>
            <w:tcBorders>
              <w:top w:val="single" w:sz="4" w:space="0" w:color="auto"/>
              <w:left w:val="single" w:sz="4" w:space="0" w:color="auto"/>
              <w:right w:val="single" w:sz="4" w:space="0" w:color="auto"/>
            </w:tcBorders>
            <w:shd w:val="clear" w:color="auto" w:fill="auto"/>
            <w:noWrap/>
            <w:vAlign w:val="center"/>
          </w:tcPr>
          <w:p w14:paraId="6957A769" w14:textId="77777777" w:rsidR="0071415F" w:rsidRPr="00A34B9C" w:rsidRDefault="00AA5132" w:rsidP="00AA5132">
            <w:pPr>
              <w:tabs>
                <w:tab w:val="left" w:pos="9072"/>
              </w:tabs>
              <w:bidi w:val="0"/>
              <w:spacing w:after="0" w:line="240" w:lineRule="auto"/>
              <w:rPr>
                <w:rFonts w:ascii="Arial" w:hAnsi="Arial"/>
                <w:sz w:val="18"/>
                <w:szCs w:val="18"/>
              </w:rPr>
            </w:pPr>
            <w:r>
              <w:rPr>
                <w:rFonts w:ascii="Arial" w:hAnsi="Arial"/>
                <w:b/>
                <w:bCs/>
                <w:sz w:val="18"/>
                <w:szCs w:val="18"/>
              </w:rPr>
              <w:t xml:space="preserve">Indicator </w:t>
            </w:r>
            <w:r w:rsidR="0071415F" w:rsidRPr="00A34B9C">
              <w:rPr>
                <w:rFonts w:ascii="Arial" w:hAnsi="Arial"/>
                <w:b/>
                <w:bCs/>
                <w:sz w:val="18"/>
                <w:szCs w:val="18"/>
              </w:rPr>
              <w:t>17.10.1</w:t>
            </w:r>
            <w:r w:rsidR="0071415F" w:rsidRPr="00A34B9C">
              <w:rPr>
                <w:rFonts w:ascii="Arial" w:hAnsi="Arial"/>
                <w:sz w:val="18"/>
                <w:szCs w:val="18"/>
              </w:rPr>
              <w:t xml:space="preserve"> Worldwide weighted tariff-average</w:t>
            </w:r>
            <w:r w:rsidR="0071415F">
              <w:rPr>
                <w:rFonts w:ascii="Arial" w:hAnsi="Arial"/>
                <w:sz w:val="18"/>
                <w:szCs w:val="18"/>
              </w:rPr>
              <w:t xml:space="preserve">/ </w:t>
            </w:r>
            <w:r w:rsidR="0071415F" w:rsidRPr="00A34B9C">
              <w:rPr>
                <w:rFonts w:ascii="Arial" w:hAnsi="Arial"/>
                <w:sz w:val="18"/>
                <w:szCs w:val="18"/>
              </w:rPr>
              <w:t>preferential status, by type of product</w:t>
            </w:r>
          </w:p>
        </w:tc>
        <w:tc>
          <w:tcPr>
            <w:tcW w:w="2234" w:type="dxa"/>
            <w:tcBorders>
              <w:top w:val="single" w:sz="4" w:space="0" w:color="auto"/>
              <w:left w:val="nil"/>
              <w:right w:val="single" w:sz="4" w:space="0" w:color="auto"/>
            </w:tcBorders>
            <w:vAlign w:val="center"/>
          </w:tcPr>
          <w:p w14:paraId="62BE6360" w14:textId="77777777" w:rsidR="0071415F" w:rsidRDefault="00137121" w:rsidP="00AA5132">
            <w:pPr>
              <w:spacing w:after="0" w:line="240" w:lineRule="auto"/>
              <w:ind w:right="57"/>
              <w:jc w:val="center"/>
              <w:rPr>
                <w:rFonts w:ascii="Arial" w:hAnsi="Arial"/>
                <w:color w:val="000000"/>
                <w:sz w:val="18"/>
                <w:szCs w:val="18"/>
                <w:rtl/>
              </w:rPr>
            </w:pPr>
            <w:r>
              <w:rPr>
                <w:rFonts w:ascii="Arial" w:hAnsi="Arial"/>
                <w:color w:val="000000"/>
                <w:sz w:val="18"/>
                <w:szCs w:val="18"/>
              </w:rPr>
              <w:t>2020</w:t>
            </w:r>
          </w:p>
        </w:tc>
      </w:tr>
      <w:tr w:rsidR="0071415F" w:rsidRPr="000D2E4D" w14:paraId="69AEE6E0" w14:textId="77777777" w:rsidTr="00AA5132">
        <w:trPr>
          <w:trHeight w:val="504"/>
        </w:trPr>
        <w:tc>
          <w:tcPr>
            <w:tcW w:w="6826" w:type="dxa"/>
            <w:tcBorders>
              <w:top w:val="single" w:sz="4" w:space="0" w:color="auto"/>
              <w:left w:val="single" w:sz="4" w:space="0" w:color="auto"/>
              <w:right w:val="single" w:sz="4" w:space="0" w:color="auto"/>
            </w:tcBorders>
            <w:shd w:val="clear" w:color="auto" w:fill="auto"/>
            <w:noWrap/>
            <w:vAlign w:val="center"/>
          </w:tcPr>
          <w:p w14:paraId="73737A8B" w14:textId="77777777" w:rsidR="0071415F" w:rsidRDefault="0071415F" w:rsidP="00AA5132">
            <w:pPr>
              <w:tabs>
                <w:tab w:val="left" w:pos="9072"/>
              </w:tabs>
              <w:bidi w:val="0"/>
              <w:spacing w:after="0" w:line="240" w:lineRule="auto"/>
              <w:rPr>
                <w:rFonts w:ascii="Arial" w:hAnsi="Arial"/>
                <w:b/>
                <w:sz w:val="18"/>
                <w:szCs w:val="18"/>
              </w:rPr>
            </w:pPr>
            <w:r w:rsidRPr="00AA5132">
              <w:rPr>
                <w:rFonts w:ascii="Arial" w:hAnsi="Arial"/>
                <w:b/>
                <w:bCs/>
                <w:sz w:val="18"/>
                <w:szCs w:val="18"/>
              </w:rPr>
              <w:t>Indicator 17.12</w:t>
            </w:r>
            <w:r w:rsidRPr="00A34B9C">
              <w:rPr>
                <w:rFonts w:ascii="Arial" w:hAnsi="Arial"/>
                <w:b/>
                <w:sz w:val="18"/>
                <w:szCs w:val="18"/>
              </w:rPr>
              <w:t>.1</w:t>
            </w:r>
            <w:r w:rsidRPr="00A34B9C">
              <w:rPr>
                <w:rFonts w:ascii="Arial" w:hAnsi="Arial"/>
                <w:sz w:val="18"/>
                <w:szCs w:val="18"/>
              </w:rPr>
              <w:t xml:space="preserve">  Average tariffs faced by developing countries, least developed countries and </w:t>
            </w:r>
            <w:r w:rsidR="00A853EC">
              <w:rPr>
                <w:rFonts w:ascii="Arial" w:hAnsi="Arial"/>
                <w:sz w:val="18"/>
                <w:szCs w:val="18"/>
              </w:rPr>
              <w:t>S</w:t>
            </w:r>
            <w:r w:rsidRPr="00A34B9C">
              <w:rPr>
                <w:rFonts w:ascii="Arial" w:hAnsi="Arial"/>
                <w:sz w:val="18"/>
                <w:szCs w:val="18"/>
              </w:rPr>
              <w:t xml:space="preserve">mall </w:t>
            </w:r>
            <w:r w:rsidR="00A853EC">
              <w:rPr>
                <w:rFonts w:ascii="Arial" w:hAnsi="Arial"/>
                <w:sz w:val="18"/>
                <w:szCs w:val="18"/>
              </w:rPr>
              <w:t>I</w:t>
            </w:r>
            <w:r w:rsidRPr="00A34B9C">
              <w:rPr>
                <w:rFonts w:ascii="Arial" w:hAnsi="Arial"/>
                <w:sz w:val="18"/>
                <w:szCs w:val="18"/>
              </w:rPr>
              <w:t xml:space="preserve">sland </w:t>
            </w:r>
            <w:r w:rsidR="00A853EC">
              <w:rPr>
                <w:rFonts w:ascii="Arial" w:hAnsi="Arial"/>
                <w:sz w:val="18"/>
                <w:szCs w:val="18"/>
              </w:rPr>
              <w:t>D</w:t>
            </w:r>
            <w:r w:rsidRPr="00A34B9C">
              <w:rPr>
                <w:rFonts w:ascii="Arial" w:hAnsi="Arial"/>
                <w:sz w:val="18"/>
                <w:szCs w:val="18"/>
              </w:rPr>
              <w:t>eveloping States</w:t>
            </w:r>
            <w:r>
              <w:rPr>
                <w:rFonts w:ascii="Arial" w:hAnsi="Arial"/>
                <w:b/>
                <w:sz w:val="18"/>
                <w:szCs w:val="18"/>
              </w:rPr>
              <w:t xml:space="preserve">/ </w:t>
            </w:r>
            <w:r w:rsidRPr="00A34B9C">
              <w:rPr>
                <w:rFonts w:ascii="Arial" w:hAnsi="Arial"/>
                <w:sz w:val="18"/>
                <w:szCs w:val="18"/>
              </w:rPr>
              <w:t xml:space="preserve"> by type of product</w:t>
            </w:r>
          </w:p>
        </w:tc>
        <w:tc>
          <w:tcPr>
            <w:tcW w:w="2234" w:type="dxa"/>
            <w:tcBorders>
              <w:top w:val="single" w:sz="4" w:space="0" w:color="auto"/>
              <w:left w:val="nil"/>
              <w:right w:val="single" w:sz="4" w:space="0" w:color="auto"/>
            </w:tcBorders>
            <w:vAlign w:val="center"/>
          </w:tcPr>
          <w:p w14:paraId="30312D98" w14:textId="77777777" w:rsidR="0071415F" w:rsidRDefault="00137121" w:rsidP="00AA5132">
            <w:pPr>
              <w:spacing w:after="0" w:line="240" w:lineRule="auto"/>
              <w:ind w:right="57"/>
              <w:jc w:val="center"/>
              <w:rPr>
                <w:rFonts w:ascii="Arial" w:hAnsi="Arial"/>
                <w:color w:val="000000"/>
                <w:sz w:val="18"/>
                <w:szCs w:val="18"/>
              </w:rPr>
            </w:pPr>
            <w:r>
              <w:rPr>
                <w:rFonts w:ascii="Arial" w:hAnsi="Arial"/>
                <w:color w:val="000000"/>
                <w:sz w:val="18"/>
                <w:szCs w:val="18"/>
              </w:rPr>
              <w:t>2020</w:t>
            </w:r>
          </w:p>
        </w:tc>
      </w:tr>
      <w:tr w:rsidR="0071415F" w:rsidRPr="000D2E4D" w14:paraId="1C00A210" w14:textId="77777777" w:rsidTr="00AA5132">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C043A" w14:textId="77777777" w:rsidR="0071415F" w:rsidRDefault="0071415F" w:rsidP="00AA5132">
            <w:pPr>
              <w:tabs>
                <w:tab w:val="left" w:pos="9072"/>
              </w:tabs>
              <w:bidi w:val="0"/>
              <w:spacing w:after="0" w:line="240" w:lineRule="auto"/>
              <w:rPr>
                <w:rFonts w:ascii="Arial" w:hAnsi="Arial"/>
                <w:b/>
                <w:sz w:val="18"/>
                <w:szCs w:val="18"/>
              </w:rPr>
            </w:pPr>
            <w:r w:rsidRPr="00AA5132">
              <w:rPr>
                <w:rFonts w:ascii="Arial" w:hAnsi="Arial"/>
                <w:b/>
                <w:bCs/>
                <w:sz w:val="18"/>
                <w:szCs w:val="18"/>
              </w:rPr>
              <w:t>Indicator 17.14</w:t>
            </w:r>
            <w:r w:rsidRPr="00A34B9C">
              <w:rPr>
                <w:rFonts w:ascii="Arial" w:hAnsi="Arial"/>
                <w:b/>
                <w:sz w:val="18"/>
                <w:szCs w:val="18"/>
              </w:rPr>
              <w:t>.1</w:t>
            </w:r>
            <w:r w:rsidRPr="00A34B9C">
              <w:rPr>
                <w:rFonts w:ascii="Arial" w:hAnsi="Arial"/>
                <w:sz w:val="18"/>
                <w:szCs w:val="18"/>
              </w:rPr>
              <w:t xml:space="preserve"> Number of countries with mechanisms in place to enhance policy coherence of sustainable development</w:t>
            </w:r>
          </w:p>
        </w:tc>
        <w:tc>
          <w:tcPr>
            <w:tcW w:w="2234" w:type="dxa"/>
            <w:tcBorders>
              <w:top w:val="single" w:sz="4" w:space="0" w:color="auto"/>
              <w:left w:val="nil"/>
              <w:bottom w:val="single" w:sz="4" w:space="0" w:color="auto"/>
              <w:right w:val="single" w:sz="4" w:space="0" w:color="auto"/>
            </w:tcBorders>
            <w:vAlign w:val="center"/>
          </w:tcPr>
          <w:p w14:paraId="149B11A5" w14:textId="77777777" w:rsidR="0071415F" w:rsidRDefault="0071415F" w:rsidP="00AA5132">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r w:rsidR="0071415F" w:rsidRPr="000D2E4D" w14:paraId="756CCC5F" w14:textId="77777777" w:rsidTr="00AA5132">
        <w:trPr>
          <w:trHeight w:val="504"/>
        </w:trPr>
        <w:tc>
          <w:tcPr>
            <w:tcW w:w="6826" w:type="dxa"/>
            <w:tcBorders>
              <w:top w:val="single" w:sz="4" w:space="0" w:color="auto"/>
              <w:left w:val="single" w:sz="4" w:space="0" w:color="auto"/>
              <w:right w:val="single" w:sz="4" w:space="0" w:color="auto"/>
            </w:tcBorders>
            <w:shd w:val="clear" w:color="auto" w:fill="auto"/>
            <w:noWrap/>
            <w:vAlign w:val="center"/>
          </w:tcPr>
          <w:p w14:paraId="5F55FF5A" w14:textId="77777777" w:rsidR="0071415F" w:rsidRPr="00A34B9C" w:rsidRDefault="0071415F" w:rsidP="00AA5132">
            <w:pPr>
              <w:tabs>
                <w:tab w:val="left" w:pos="9072"/>
              </w:tabs>
              <w:bidi w:val="0"/>
              <w:spacing w:after="0" w:line="240" w:lineRule="auto"/>
              <w:rPr>
                <w:rFonts w:ascii="Arial" w:hAnsi="Arial"/>
                <w:b/>
                <w:sz w:val="18"/>
                <w:szCs w:val="18"/>
              </w:rPr>
            </w:pPr>
            <w:r w:rsidRPr="00AA5132">
              <w:rPr>
                <w:rFonts w:ascii="Arial" w:hAnsi="Arial"/>
                <w:b/>
                <w:bCs/>
                <w:sz w:val="18"/>
                <w:szCs w:val="18"/>
              </w:rPr>
              <w:t>Indicator 17.</w:t>
            </w:r>
            <w:r w:rsidRPr="00A34B9C">
              <w:rPr>
                <w:rFonts w:ascii="Arial" w:hAnsi="Arial"/>
                <w:b/>
                <w:sz w:val="18"/>
                <w:szCs w:val="18"/>
              </w:rPr>
              <w:t>17.1</w:t>
            </w:r>
            <w:r w:rsidRPr="00A34B9C">
              <w:rPr>
                <w:rFonts w:ascii="Arial" w:hAnsi="Arial"/>
                <w:sz w:val="18"/>
                <w:szCs w:val="18"/>
              </w:rPr>
              <w:t xml:space="preserve"> Amount in U</w:t>
            </w:r>
            <w:r w:rsidR="00A853EC">
              <w:rPr>
                <w:rFonts w:ascii="Arial" w:hAnsi="Arial"/>
                <w:sz w:val="18"/>
                <w:szCs w:val="18"/>
              </w:rPr>
              <w:t>S D</w:t>
            </w:r>
            <w:r w:rsidRPr="00A34B9C">
              <w:rPr>
                <w:rFonts w:ascii="Arial" w:hAnsi="Arial"/>
                <w:sz w:val="18"/>
                <w:szCs w:val="18"/>
              </w:rPr>
              <w:t>ollars committed to public-private partnerships for infrastructure</w:t>
            </w:r>
          </w:p>
        </w:tc>
        <w:tc>
          <w:tcPr>
            <w:tcW w:w="2234" w:type="dxa"/>
            <w:tcBorders>
              <w:top w:val="single" w:sz="4" w:space="0" w:color="auto"/>
              <w:left w:val="nil"/>
              <w:right w:val="single" w:sz="4" w:space="0" w:color="auto"/>
            </w:tcBorders>
            <w:vAlign w:val="center"/>
          </w:tcPr>
          <w:p w14:paraId="0131FABD" w14:textId="77777777" w:rsidR="0071415F" w:rsidRDefault="0071415F" w:rsidP="00AA5132">
            <w:pPr>
              <w:spacing w:after="0" w:line="240" w:lineRule="auto"/>
              <w:ind w:right="57"/>
              <w:jc w:val="center"/>
              <w:rPr>
                <w:rFonts w:ascii="Arial" w:hAnsi="Arial"/>
                <w:color w:val="000000"/>
                <w:sz w:val="18"/>
                <w:szCs w:val="18"/>
                <w:rtl/>
              </w:rPr>
            </w:pPr>
            <w:r>
              <w:rPr>
                <w:rFonts w:ascii="Arial" w:hAnsi="Arial" w:hint="cs"/>
                <w:color w:val="000000"/>
                <w:sz w:val="18"/>
                <w:szCs w:val="18"/>
                <w:rtl/>
              </w:rPr>
              <w:t>2019</w:t>
            </w:r>
          </w:p>
        </w:tc>
      </w:tr>
      <w:tr w:rsidR="0071415F" w:rsidRPr="000D2E4D" w14:paraId="6EF22867" w14:textId="77777777" w:rsidTr="00AA5132">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E93CB1" w14:textId="77777777" w:rsidR="0071415F" w:rsidRDefault="0071415F" w:rsidP="00AA5132">
            <w:pPr>
              <w:tabs>
                <w:tab w:val="left" w:pos="9072"/>
              </w:tabs>
              <w:bidi w:val="0"/>
              <w:spacing w:after="0" w:line="240" w:lineRule="auto"/>
              <w:rPr>
                <w:rFonts w:ascii="Roboto Slab" w:hAnsi="Roboto Slab"/>
                <w:color w:val="777777"/>
                <w:sz w:val="18"/>
                <w:szCs w:val="18"/>
                <w:shd w:val="clear" w:color="auto" w:fill="F5F5F5"/>
              </w:rPr>
            </w:pPr>
            <w:r w:rsidRPr="00AA5132">
              <w:rPr>
                <w:rFonts w:ascii="Arial" w:hAnsi="Arial"/>
                <w:b/>
                <w:bCs/>
                <w:sz w:val="18"/>
                <w:szCs w:val="18"/>
              </w:rPr>
              <w:t>Indicator 17.19.</w:t>
            </w:r>
            <w:r w:rsidRPr="00A34B9C">
              <w:rPr>
                <w:rFonts w:ascii="Arial" w:hAnsi="Arial"/>
                <w:b/>
                <w:sz w:val="18"/>
                <w:szCs w:val="18"/>
              </w:rPr>
              <w:t>1</w:t>
            </w:r>
            <w:r w:rsidRPr="00A34B9C">
              <w:rPr>
                <w:rFonts w:ascii="Arial" w:hAnsi="Arial"/>
                <w:sz w:val="18"/>
                <w:szCs w:val="18"/>
              </w:rPr>
              <w:t xml:space="preserve"> Dollar value of all resources made available to strengthen statistical capacity in developing countries</w:t>
            </w:r>
          </w:p>
        </w:tc>
        <w:tc>
          <w:tcPr>
            <w:tcW w:w="2234" w:type="dxa"/>
            <w:tcBorders>
              <w:top w:val="single" w:sz="4" w:space="0" w:color="auto"/>
              <w:left w:val="nil"/>
              <w:bottom w:val="single" w:sz="4" w:space="0" w:color="auto"/>
              <w:right w:val="single" w:sz="4" w:space="0" w:color="auto"/>
            </w:tcBorders>
            <w:vAlign w:val="center"/>
          </w:tcPr>
          <w:p w14:paraId="33CA3223" w14:textId="77777777" w:rsidR="0071415F" w:rsidRDefault="0071415F" w:rsidP="00AA5132">
            <w:pPr>
              <w:spacing w:after="0" w:line="240" w:lineRule="auto"/>
              <w:ind w:right="57"/>
              <w:jc w:val="center"/>
              <w:rPr>
                <w:rFonts w:ascii="Arial" w:hAnsi="Arial"/>
                <w:color w:val="000000"/>
                <w:sz w:val="18"/>
                <w:szCs w:val="18"/>
                <w:rtl/>
              </w:rPr>
            </w:pPr>
            <w:r>
              <w:rPr>
                <w:rFonts w:ascii="Arial" w:hAnsi="Arial" w:hint="cs"/>
                <w:color w:val="000000"/>
                <w:sz w:val="18"/>
                <w:szCs w:val="18"/>
                <w:rtl/>
              </w:rPr>
              <w:t>2017</w:t>
            </w:r>
          </w:p>
        </w:tc>
      </w:tr>
    </w:tbl>
    <w:p w14:paraId="5B04E064"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65214899" w14:textId="77777777" w:rsidR="0071415F" w:rsidRPr="00B10C76" w:rsidRDefault="0071415F" w:rsidP="00670F90">
      <w:pPr>
        <w:autoSpaceDE w:val="0"/>
        <w:autoSpaceDN w:val="0"/>
        <w:bidi w:val="0"/>
        <w:adjustRightInd w:val="0"/>
        <w:spacing w:line="240" w:lineRule="auto"/>
        <w:jc w:val="both"/>
        <w:rPr>
          <w:rFonts w:ascii="Times New Roman" w:hAnsi="Times New Roman" w:cs="Times New Roman"/>
          <w:b/>
          <w:bCs/>
          <w:i/>
          <w:iCs/>
          <w:sz w:val="24"/>
          <w:szCs w:val="24"/>
        </w:rPr>
      </w:pPr>
      <w:r w:rsidRPr="00B10C76">
        <w:rPr>
          <w:rFonts w:ascii="Times New Roman" w:hAnsi="Times New Roman" w:cs="Times New Roman"/>
          <w:b/>
          <w:bCs/>
          <w:i/>
          <w:iCs/>
          <w:sz w:val="24"/>
          <w:szCs w:val="24"/>
        </w:rPr>
        <w:t xml:space="preserve">Indicator </w:t>
      </w:r>
      <w:r w:rsidRPr="00B10C76">
        <w:rPr>
          <w:rFonts w:ascii="Times New Roman" w:hAnsi="Times New Roman" w:cs="Times New Roman"/>
          <w:b/>
          <w:bCs/>
          <w:i/>
          <w:iCs/>
          <w:sz w:val="24"/>
          <w:szCs w:val="24"/>
          <w:rtl/>
        </w:rPr>
        <w:t>17.1.1</w:t>
      </w:r>
      <w:r w:rsidRPr="00B10C76">
        <w:rPr>
          <w:rFonts w:ascii="Times New Roman" w:hAnsi="Times New Roman" w:cs="Times New Roman"/>
          <w:b/>
          <w:bCs/>
          <w:i/>
          <w:iCs/>
          <w:sz w:val="24"/>
          <w:szCs w:val="24"/>
        </w:rPr>
        <w:t xml:space="preserve"> Total government revenue as a proportion of GDP, by source</w:t>
      </w:r>
    </w:p>
    <w:p w14:paraId="48EB017B" w14:textId="77777777" w:rsidR="0071415F" w:rsidRPr="00B10C76" w:rsidRDefault="0071415F" w:rsidP="000B0E96">
      <w:pPr>
        <w:autoSpaceDE w:val="0"/>
        <w:autoSpaceDN w:val="0"/>
        <w:bidi w:val="0"/>
        <w:adjustRightInd w:val="0"/>
        <w:spacing w:after="0" w:line="240" w:lineRule="auto"/>
        <w:jc w:val="both"/>
        <w:rPr>
          <w:rFonts w:ascii="Times New Roman" w:hAnsi="Times New Roman" w:cs="Times New Roman"/>
          <w:sz w:val="24"/>
          <w:szCs w:val="24"/>
        </w:rPr>
      </w:pPr>
      <w:r w:rsidRPr="00B10C76">
        <w:rPr>
          <w:rFonts w:ascii="Times New Roman" w:hAnsi="Times New Roman" w:cs="Times New Roman"/>
          <w:sz w:val="24"/>
          <w:szCs w:val="24"/>
        </w:rPr>
        <w:t xml:space="preserve">Data indicates a decrease in the percentage of government revenues as a proportion of GDP in </w:t>
      </w:r>
      <w:r w:rsidR="000B0E96" w:rsidRPr="00B10C76">
        <w:rPr>
          <w:rFonts w:ascii="Times New Roman" w:hAnsi="Times New Roman" w:cs="Times New Roman" w:hint="cs"/>
          <w:sz w:val="24"/>
          <w:szCs w:val="24"/>
          <w:rtl/>
        </w:rPr>
        <w:t>2022</w:t>
      </w:r>
      <w:r w:rsidR="00D311B3" w:rsidRPr="00B10C76">
        <w:rPr>
          <w:rFonts w:ascii="Times New Roman" w:hAnsi="Times New Roman" w:cs="Times New Roman"/>
          <w:sz w:val="24"/>
          <w:szCs w:val="24"/>
        </w:rPr>
        <w:t xml:space="preserve"> </w:t>
      </w:r>
      <w:r w:rsidRPr="00B10C76">
        <w:rPr>
          <w:rFonts w:ascii="Times New Roman" w:hAnsi="Times New Roman" w:cs="Times New Roman"/>
          <w:sz w:val="24"/>
          <w:szCs w:val="24"/>
        </w:rPr>
        <w:t xml:space="preserve">as compared to </w:t>
      </w:r>
      <w:r w:rsidR="000B0E96" w:rsidRPr="00B10C76">
        <w:rPr>
          <w:rFonts w:ascii="Times New Roman" w:hAnsi="Times New Roman" w:cs="Times New Roman" w:hint="cs"/>
          <w:sz w:val="24"/>
          <w:szCs w:val="24"/>
          <w:rtl/>
        </w:rPr>
        <w:t>2021</w:t>
      </w:r>
      <w:r w:rsidRPr="00B10C76">
        <w:rPr>
          <w:rFonts w:ascii="Times New Roman" w:hAnsi="Times New Roman" w:cs="Times New Roman"/>
          <w:sz w:val="24"/>
          <w:szCs w:val="24"/>
        </w:rPr>
        <w:t xml:space="preserve"> </w:t>
      </w:r>
      <w:r w:rsidR="00D311B3" w:rsidRPr="00B10C76">
        <w:rPr>
          <w:rFonts w:ascii="Times New Roman" w:hAnsi="Times New Roman" w:cs="Times New Roman"/>
          <w:sz w:val="24"/>
          <w:szCs w:val="24"/>
        </w:rPr>
        <w:t>;</w:t>
      </w:r>
      <w:r w:rsidR="00A853EC" w:rsidRPr="00B10C76">
        <w:rPr>
          <w:rFonts w:ascii="Times New Roman" w:hAnsi="Times New Roman" w:cs="Times New Roman"/>
          <w:sz w:val="24"/>
          <w:szCs w:val="24"/>
        </w:rPr>
        <w:t xml:space="preserve"> </w:t>
      </w:r>
      <w:r w:rsidRPr="00B10C76">
        <w:rPr>
          <w:rFonts w:ascii="Times New Roman" w:hAnsi="Times New Roman" w:cs="Times New Roman"/>
          <w:sz w:val="24"/>
          <w:szCs w:val="24"/>
        </w:rPr>
        <w:t xml:space="preserve">government revenues reached </w:t>
      </w:r>
      <w:r w:rsidR="000B0E96" w:rsidRPr="00B10C76">
        <w:rPr>
          <w:rFonts w:ascii="Times New Roman" w:hAnsi="Times New Roman" w:cs="Times New Roman" w:hint="cs"/>
          <w:sz w:val="24"/>
          <w:szCs w:val="24"/>
          <w:rtl/>
        </w:rPr>
        <w:t>23</w:t>
      </w:r>
      <w:r w:rsidR="000B0E96" w:rsidRPr="00B10C76">
        <w:rPr>
          <w:rFonts w:ascii="Times New Roman" w:hAnsi="Times New Roman" w:cs="Times New Roman"/>
          <w:sz w:val="24"/>
          <w:szCs w:val="24"/>
        </w:rPr>
        <w:t>.6</w:t>
      </w:r>
      <w:r w:rsidRPr="00B10C76">
        <w:rPr>
          <w:rFonts w:ascii="Times New Roman" w:hAnsi="Times New Roman" w:cs="Times New Roman"/>
          <w:sz w:val="24"/>
          <w:szCs w:val="24"/>
        </w:rPr>
        <w:t xml:space="preserve">% in </w:t>
      </w:r>
      <w:r w:rsidR="000B0E96" w:rsidRPr="00B10C76">
        <w:rPr>
          <w:rFonts w:ascii="Times New Roman" w:hAnsi="Times New Roman" w:cs="Times New Roman"/>
          <w:sz w:val="24"/>
          <w:szCs w:val="24"/>
        </w:rPr>
        <w:t xml:space="preserve">2022 </w:t>
      </w:r>
      <w:r w:rsidR="00D311B3" w:rsidRPr="00B10C76">
        <w:rPr>
          <w:rFonts w:ascii="Times New Roman" w:hAnsi="Times New Roman" w:cs="Times New Roman"/>
          <w:sz w:val="24"/>
          <w:szCs w:val="24"/>
        </w:rPr>
        <w:t xml:space="preserve">compared to </w:t>
      </w:r>
      <w:r w:rsidR="000B0E96" w:rsidRPr="00B10C76">
        <w:rPr>
          <w:rFonts w:ascii="Times New Roman" w:hAnsi="Times New Roman" w:cs="Times New Roman"/>
          <w:sz w:val="24"/>
          <w:szCs w:val="24"/>
        </w:rPr>
        <w:t>23.8</w:t>
      </w:r>
      <w:r w:rsidR="00D311B3" w:rsidRPr="00B10C76">
        <w:rPr>
          <w:rFonts w:ascii="Times New Roman" w:hAnsi="Times New Roman" w:cs="Times New Roman"/>
          <w:sz w:val="24"/>
          <w:szCs w:val="24"/>
        </w:rPr>
        <w:t xml:space="preserve">% in </w:t>
      </w:r>
      <w:r w:rsidR="000B0E96" w:rsidRPr="00B10C76">
        <w:rPr>
          <w:rFonts w:ascii="Times New Roman" w:hAnsi="Times New Roman" w:cs="Times New Roman"/>
          <w:sz w:val="24"/>
          <w:szCs w:val="24"/>
        </w:rPr>
        <w:t>2021</w:t>
      </w:r>
      <w:r w:rsidRPr="00B10C76">
        <w:rPr>
          <w:rFonts w:ascii="Times New Roman" w:hAnsi="Times New Roman" w:cs="Times New Roman"/>
          <w:sz w:val="24"/>
          <w:szCs w:val="24"/>
        </w:rPr>
        <w:t xml:space="preserve">. </w:t>
      </w:r>
    </w:p>
    <w:p w14:paraId="7AA494BC" w14:textId="77777777" w:rsidR="0071415F" w:rsidRPr="00B10C76" w:rsidRDefault="0071415F" w:rsidP="0071415F">
      <w:pPr>
        <w:tabs>
          <w:tab w:val="left" w:pos="3386"/>
          <w:tab w:val="right" w:pos="9026"/>
        </w:tabs>
        <w:bidi w:val="0"/>
        <w:spacing w:after="0" w:line="240" w:lineRule="auto"/>
        <w:jc w:val="center"/>
        <w:rPr>
          <w:rFonts w:ascii="Arial" w:hAnsi="Arial"/>
          <w:b/>
          <w:bCs/>
        </w:rPr>
      </w:pPr>
    </w:p>
    <w:p w14:paraId="16EAF453" w14:textId="77777777" w:rsidR="006E49BE" w:rsidRPr="00B10C76" w:rsidRDefault="006E49BE" w:rsidP="006E49BE">
      <w:pPr>
        <w:tabs>
          <w:tab w:val="left" w:pos="3386"/>
          <w:tab w:val="right" w:pos="9026"/>
        </w:tabs>
        <w:bidi w:val="0"/>
        <w:spacing w:after="0" w:line="240" w:lineRule="auto"/>
        <w:jc w:val="center"/>
        <w:rPr>
          <w:rFonts w:ascii="Arial" w:hAnsi="Arial"/>
          <w:b/>
          <w:bCs/>
        </w:rPr>
      </w:pPr>
    </w:p>
    <w:p w14:paraId="4EABC9BA" w14:textId="77777777" w:rsidR="006E49BE" w:rsidRPr="00B10C76" w:rsidRDefault="006E49BE" w:rsidP="006E49BE">
      <w:pPr>
        <w:tabs>
          <w:tab w:val="left" w:pos="3386"/>
          <w:tab w:val="right" w:pos="9026"/>
        </w:tabs>
        <w:bidi w:val="0"/>
        <w:spacing w:after="0" w:line="240" w:lineRule="auto"/>
        <w:jc w:val="center"/>
        <w:rPr>
          <w:rFonts w:ascii="Arial" w:hAnsi="Arial"/>
          <w:b/>
          <w:bCs/>
        </w:rPr>
      </w:pPr>
    </w:p>
    <w:p w14:paraId="2F66B98A" w14:textId="77777777" w:rsidR="0071415F" w:rsidRPr="00B10C76" w:rsidRDefault="0071415F" w:rsidP="0071415F">
      <w:pPr>
        <w:tabs>
          <w:tab w:val="left" w:pos="3386"/>
          <w:tab w:val="right" w:pos="9026"/>
        </w:tabs>
        <w:bidi w:val="0"/>
        <w:spacing w:after="0" w:line="240" w:lineRule="auto"/>
        <w:jc w:val="center"/>
        <w:rPr>
          <w:rFonts w:ascii="Arial" w:hAnsi="Arial"/>
          <w:b/>
          <w:bCs/>
        </w:rPr>
      </w:pPr>
    </w:p>
    <w:p w14:paraId="12E8BC3A" w14:textId="77777777" w:rsidR="005374D2" w:rsidRPr="00B10C76" w:rsidRDefault="005374D2" w:rsidP="005374D2">
      <w:pPr>
        <w:tabs>
          <w:tab w:val="left" w:pos="3386"/>
          <w:tab w:val="right" w:pos="9026"/>
        </w:tabs>
        <w:bidi w:val="0"/>
        <w:spacing w:after="0" w:line="240" w:lineRule="auto"/>
        <w:jc w:val="center"/>
        <w:rPr>
          <w:rFonts w:ascii="Arial" w:hAnsi="Arial"/>
          <w:b/>
          <w:bCs/>
        </w:rPr>
      </w:pPr>
    </w:p>
    <w:p w14:paraId="0589AF6D" w14:textId="77777777" w:rsidR="0091560E" w:rsidRPr="00B10C76" w:rsidRDefault="0091560E" w:rsidP="0091560E">
      <w:pPr>
        <w:tabs>
          <w:tab w:val="left" w:pos="3386"/>
          <w:tab w:val="right" w:pos="9026"/>
        </w:tabs>
        <w:bidi w:val="0"/>
        <w:spacing w:after="0" w:line="240" w:lineRule="auto"/>
        <w:jc w:val="center"/>
        <w:rPr>
          <w:rFonts w:ascii="Arial" w:hAnsi="Arial"/>
          <w:b/>
          <w:bCs/>
        </w:rPr>
      </w:pPr>
    </w:p>
    <w:p w14:paraId="0E1B9E79" w14:textId="77777777" w:rsidR="0091560E" w:rsidRPr="00B10C76" w:rsidRDefault="0091560E" w:rsidP="0091560E">
      <w:pPr>
        <w:tabs>
          <w:tab w:val="left" w:pos="3386"/>
          <w:tab w:val="right" w:pos="9026"/>
        </w:tabs>
        <w:bidi w:val="0"/>
        <w:spacing w:after="0" w:line="240" w:lineRule="auto"/>
        <w:jc w:val="center"/>
        <w:rPr>
          <w:rFonts w:ascii="Arial" w:hAnsi="Arial"/>
          <w:b/>
          <w:bCs/>
        </w:rPr>
      </w:pPr>
    </w:p>
    <w:p w14:paraId="549B526F" w14:textId="77777777" w:rsidR="0091560E" w:rsidRPr="00B10C76" w:rsidRDefault="0091560E" w:rsidP="0091560E">
      <w:pPr>
        <w:tabs>
          <w:tab w:val="left" w:pos="3386"/>
          <w:tab w:val="right" w:pos="9026"/>
        </w:tabs>
        <w:bidi w:val="0"/>
        <w:spacing w:after="0" w:line="240" w:lineRule="auto"/>
        <w:jc w:val="center"/>
        <w:rPr>
          <w:rFonts w:ascii="Arial" w:hAnsi="Arial"/>
          <w:b/>
          <w:bCs/>
        </w:rPr>
      </w:pPr>
    </w:p>
    <w:p w14:paraId="65B65B4B" w14:textId="77777777" w:rsidR="0091560E" w:rsidRPr="00B10C76" w:rsidRDefault="0091560E" w:rsidP="0091560E">
      <w:pPr>
        <w:tabs>
          <w:tab w:val="left" w:pos="3386"/>
          <w:tab w:val="right" w:pos="9026"/>
        </w:tabs>
        <w:bidi w:val="0"/>
        <w:spacing w:after="0" w:line="240" w:lineRule="auto"/>
        <w:jc w:val="center"/>
        <w:rPr>
          <w:rFonts w:ascii="Arial" w:hAnsi="Arial"/>
          <w:b/>
          <w:bCs/>
        </w:rPr>
      </w:pPr>
    </w:p>
    <w:p w14:paraId="1FD92676" w14:textId="77777777" w:rsidR="0071415F" w:rsidRPr="00B10C76" w:rsidRDefault="0071415F" w:rsidP="000B0E96">
      <w:pPr>
        <w:tabs>
          <w:tab w:val="left" w:pos="3386"/>
          <w:tab w:val="right" w:pos="9026"/>
        </w:tabs>
        <w:bidi w:val="0"/>
        <w:spacing w:after="0" w:line="240" w:lineRule="auto"/>
        <w:jc w:val="center"/>
        <w:rPr>
          <w:rFonts w:ascii="Arial" w:hAnsi="Arial"/>
          <w:b/>
          <w:bCs/>
        </w:rPr>
      </w:pPr>
      <w:r w:rsidRPr="00B10C76">
        <w:rPr>
          <w:rFonts w:ascii="Arial" w:hAnsi="Arial"/>
          <w:b/>
          <w:bCs/>
        </w:rPr>
        <w:t>Percentage of Government Revenues as a Proportion of GDP, 20</w:t>
      </w:r>
      <w:r w:rsidR="003B7728" w:rsidRPr="00B10C76">
        <w:rPr>
          <w:rFonts w:ascii="Arial" w:hAnsi="Arial"/>
          <w:b/>
          <w:bCs/>
        </w:rPr>
        <w:t>15</w:t>
      </w:r>
      <w:r w:rsidRPr="00B10C76">
        <w:rPr>
          <w:rFonts w:ascii="Arial" w:hAnsi="Arial"/>
          <w:b/>
          <w:bCs/>
        </w:rPr>
        <w:t xml:space="preserve"> - </w:t>
      </w:r>
      <w:r w:rsidR="00D311B3" w:rsidRPr="00B10C76">
        <w:rPr>
          <w:rFonts w:ascii="Arial" w:hAnsi="Arial"/>
          <w:b/>
          <w:bCs/>
        </w:rPr>
        <w:t>202</w:t>
      </w:r>
      <w:r w:rsidR="000B0E96" w:rsidRPr="00B10C76">
        <w:rPr>
          <w:rFonts w:ascii="Arial" w:hAnsi="Arial"/>
          <w:b/>
          <w:bCs/>
        </w:rPr>
        <w:t>2</w:t>
      </w:r>
      <w:r w:rsidR="00D311B3" w:rsidRPr="00B10C76">
        <w:rPr>
          <w:rFonts w:ascii="Arial" w:hAnsi="Arial"/>
          <w:b/>
          <w:bCs/>
        </w:rPr>
        <w:t xml:space="preserve"> </w:t>
      </w:r>
      <w:r w:rsidRPr="00B10C76">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B10C76" w14:paraId="283BC39A" w14:textId="77777777" w:rsidTr="00AA5132">
        <w:trPr>
          <w:trHeight w:val="3675"/>
        </w:trPr>
        <w:tc>
          <w:tcPr>
            <w:tcW w:w="9286" w:type="dxa"/>
            <w:shd w:val="clear" w:color="auto" w:fill="auto"/>
          </w:tcPr>
          <w:p w14:paraId="68A54B04" w14:textId="77777777" w:rsidR="0071415F" w:rsidRPr="00B10C76" w:rsidRDefault="0071415F" w:rsidP="0071415F">
            <w:pPr>
              <w:tabs>
                <w:tab w:val="left" w:pos="3386"/>
                <w:tab w:val="right" w:pos="9026"/>
              </w:tabs>
              <w:bidi w:val="0"/>
              <w:spacing w:after="0" w:line="240" w:lineRule="auto"/>
              <w:jc w:val="center"/>
              <w:rPr>
                <w:rFonts w:ascii="Arial" w:hAnsi="Arial"/>
                <w:b/>
                <w:bCs/>
                <w:lang w:val="it-IT"/>
              </w:rPr>
            </w:pPr>
            <w:r w:rsidRPr="00B10C76">
              <w:rPr>
                <w:rFonts w:ascii="Times New Roman" w:hAnsi="Times New Roman" w:cs="Times New Roman"/>
                <w:noProof/>
              </w:rPr>
              <w:drawing>
                <wp:inline distT="0" distB="0" distL="0" distR="0" wp14:anchorId="3F26CAEB" wp14:editId="4E4362BA">
                  <wp:extent cx="5653405" cy="2301766"/>
                  <wp:effectExtent l="0" t="0" r="0" b="0"/>
                  <wp:docPr id="1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tc>
      </w:tr>
    </w:tbl>
    <w:p w14:paraId="17CBBB0C" w14:textId="77777777" w:rsidR="00344EA7" w:rsidRPr="00B10C76" w:rsidRDefault="0071415F" w:rsidP="000B0E96">
      <w:pPr>
        <w:bidi w:val="0"/>
        <w:spacing w:after="0" w:line="240" w:lineRule="auto"/>
        <w:jc w:val="both"/>
        <w:rPr>
          <w:rFonts w:ascii="Arial" w:hAnsi="Arial"/>
          <w:sz w:val="18"/>
          <w:szCs w:val="18"/>
        </w:rPr>
      </w:pPr>
      <w:r w:rsidRPr="00B10C76">
        <w:rPr>
          <w:rFonts w:ascii="Arial" w:hAnsi="Arial"/>
          <w:b/>
          <w:bCs/>
          <w:sz w:val="18"/>
          <w:szCs w:val="18"/>
        </w:rPr>
        <w:t xml:space="preserve">Source: Ministry of Finance and Planning, </w:t>
      </w:r>
      <w:r w:rsidRPr="00B10C76">
        <w:rPr>
          <w:rFonts w:ascii="Arial" w:hAnsi="Arial"/>
          <w:sz w:val="18"/>
          <w:szCs w:val="18"/>
        </w:rPr>
        <w:t>20</w:t>
      </w:r>
      <w:r w:rsidR="003B7728" w:rsidRPr="00B10C76">
        <w:rPr>
          <w:rFonts w:ascii="Arial" w:hAnsi="Arial"/>
          <w:sz w:val="18"/>
          <w:szCs w:val="18"/>
        </w:rPr>
        <w:t>15</w:t>
      </w:r>
      <w:r w:rsidRPr="00B10C76">
        <w:rPr>
          <w:rFonts w:ascii="Arial" w:hAnsi="Arial"/>
          <w:sz w:val="18"/>
          <w:szCs w:val="18"/>
        </w:rPr>
        <w:t>-</w:t>
      </w:r>
      <w:r w:rsidR="000B0E96" w:rsidRPr="00B10C76">
        <w:rPr>
          <w:rFonts w:ascii="Arial" w:hAnsi="Arial"/>
          <w:sz w:val="18"/>
          <w:szCs w:val="18"/>
        </w:rPr>
        <w:t>2022</w:t>
      </w:r>
      <w:r w:rsidRPr="00B10C76">
        <w:rPr>
          <w:rFonts w:ascii="Arial" w:hAnsi="Arial"/>
          <w:sz w:val="18"/>
          <w:szCs w:val="18"/>
        </w:rPr>
        <w:t>,Ramallah - Palestine</w:t>
      </w:r>
      <w:r w:rsidRPr="00B10C76">
        <w:rPr>
          <w:rFonts w:ascii="Arial" w:hAnsi="Arial"/>
          <w:sz w:val="18"/>
          <w:szCs w:val="18"/>
          <w:rtl/>
        </w:rPr>
        <w:t>.</w:t>
      </w:r>
    </w:p>
    <w:p w14:paraId="7DD37580" w14:textId="77777777" w:rsidR="005374D2" w:rsidRPr="00B10C76" w:rsidRDefault="005374D2" w:rsidP="005374D2">
      <w:pPr>
        <w:bidi w:val="0"/>
        <w:spacing w:after="0" w:line="240" w:lineRule="auto"/>
        <w:jc w:val="both"/>
        <w:rPr>
          <w:rFonts w:ascii="Arial" w:hAnsi="Arial"/>
          <w:sz w:val="18"/>
          <w:szCs w:val="18"/>
        </w:rPr>
      </w:pPr>
    </w:p>
    <w:p w14:paraId="344FADE8" w14:textId="77777777" w:rsidR="005374D2" w:rsidRPr="00B10C76" w:rsidRDefault="005374D2" w:rsidP="005374D2">
      <w:pPr>
        <w:bidi w:val="0"/>
        <w:spacing w:after="0" w:line="240" w:lineRule="auto"/>
        <w:jc w:val="both"/>
        <w:rPr>
          <w:rFonts w:ascii="Arial" w:hAnsi="Arial"/>
          <w:sz w:val="18"/>
          <w:szCs w:val="18"/>
        </w:rPr>
      </w:pPr>
    </w:p>
    <w:p w14:paraId="6FCF613D" w14:textId="77777777" w:rsidR="0071415F" w:rsidRPr="00B10C76" w:rsidRDefault="0071415F" w:rsidP="00344EA7">
      <w:pPr>
        <w:bidi w:val="0"/>
        <w:spacing w:line="240" w:lineRule="auto"/>
        <w:jc w:val="both"/>
        <w:rPr>
          <w:rFonts w:ascii="Times New Roman" w:hAnsi="Times New Roman" w:cs="Times New Roman"/>
          <w:b/>
          <w:i/>
          <w:color w:val="000000"/>
          <w:sz w:val="24"/>
          <w:szCs w:val="24"/>
        </w:rPr>
      </w:pPr>
      <w:r w:rsidRPr="00B10C76">
        <w:rPr>
          <w:rFonts w:ascii="Times New Roman" w:hAnsi="Times New Roman" w:cs="Times New Roman"/>
          <w:b/>
          <w:i/>
          <w:color w:val="000000"/>
          <w:sz w:val="24"/>
          <w:szCs w:val="24"/>
        </w:rPr>
        <w:t>Indicator 17.1.2 Proportion of domestic budget funded by domestic taxes</w:t>
      </w:r>
    </w:p>
    <w:p w14:paraId="01D257B3" w14:textId="77777777" w:rsidR="0071415F" w:rsidRPr="00B10C76" w:rsidRDefault="0071415F" w:rsidP="002F4071">
      <w:pPr>
        <w:autoSpaceDE w:val="0"/>
        <w:autoSpaceDN w:val="0"/>
        <w:bidi w:val="0"/>
        <w:adjustRightInd w:val="0"/>
        <w:spacing w:after="0" w:line="240" w:lineRule="auto"/>
        <w:jc w:val="both"/>
        <w:rPr>
          <w:rFonts w:ascii="Times New Roman" w:hAnsi="Times New Roman" w:cs="Times New Roman"/>
          <w:sz w:val="24"/>
          <w:szCs w:val="24"/>
        </w:rPr>
      </w:pPr>
      <w:r w:rsidRPr="00B10C76">
        <w:rPr>
          <w:rFonts w:ascii="Times New Roman" w:hAnsi="Times New Roman" w:cs="Times New Roman"/>
          <w:sz w:val="24"/>
          <w:szCs w:val="24"/>
        </w:rPr>
        <w:t xml:space="preserve">The percentage of </w:t>
      </w:r>
      <w:r w:rsidR="00A853EC" w:rsidRPr="00B10C76">
        <w:rPr>
          <w:rFonts w:ascii="Times New Roman" w:hAnsi="Times New Roman" w:cs="Times New Roman"/>
          <w:sz w:val="24"/>
          <w:szCs w:val="24"/>
        </w:rPr>
        <w:t xml:space="preserve">the </w:t>
      </w:r>
      <w:r w:rsidRPr="00B10C76">
        <w:rPr>
          <w:rFonts w:ascii="Times New Roman" w:hAnsi="Times New Roman" w:cs="Times New Roman"/>
          <w:sz w:val="24"/>
          <w:szCs w:val="24"/>
        </w:rPr>
        <w:t xml:space="preserve">domestic budget funded by domestic taxes </w:t>
      </w:r>
      <w:r w:rsidR="002F4071" w:rsidRPr="00B10C76">
        <w:rPr>
          <w:rFonts w:ascii="Times New Roman" w:hAnsi="Times New Roman" w:cs="Times New Roman"/>
          <w:sz w:val="24"/>
          <w:szCs w:val="24"/>
        </w:rPr>
        <w:t>in</w:t>
      </w:r>
      <w:r w:rsidRPr="00B10C76">
        <w:rPr>
          <w:rFonts w:ascii="Times New Roman" w:hAnsi="Times New Roman" w:cs="Times New Roman"/>
          <w:sz w:val="24"/>
          <w:szCs w:val="24"/>
        </w:rPr>
        <w:t xml:space="preserve">creased </w:t>
      </w:r>
      <w:r w:rsidR="002F4071" w:rsidRPr="00B10C76">
        <w:rPr>
          <w:rFonts w:ascii="Times New Roman" w:hAnsi="Times New Roman" w:cs="Times New Roman"/>
          <w:sz w:val="24"/>
          <w:szCs w:val="24"/>
        </w:rPr>
        <w:t xml:space="preserve">during 2020 to 2022, </w:t>
      </w:r>
      <w:r w:rsidRPr="00B10C76">
        <w:rPr>
          <w:rFonts w:ascii="Times New Roman" w:hAnsi="Times New Roman" w:cs="Times New Roman"/>
          <w:sz w:val="24"/>
          <w:szCs w:val="24"/>
        </w:rPr>
        <w:t xml:space="preserve">where it reached </w:t>
      </w:r>
      <w:r w:rsidR="002F4071" w:rsidRPr="00B10C76">
        <w:rPr>
          <w:rFonts w:ascii="Times New Roman" w:hAnsi="Times New Roman" w:cs="Times New Roman"/>
          <w:sz w:val="24"/>
          <w:szCs w:val="24"/>
        </w:rPr>
        <w:t>30</w:t>
      </w:r>
      <w:r w:rsidRPr="00B10C76">
        <w:rPr>
          <w:rFonts w:ascii="Times New Roman" w:hAnsi="Times New Roman" w:cs="Times New Roman"/>
          <w:sz w:val="24"/>
          <w:szCs w:val="24"/>
        </w:rPr>
        <w:t xml:space="preserve">%, after </w:t>
      </w:r>
      <w:r w:rsidR="002F4071" w:rsidRPr="00B10C76">
        <w:rPr>
          <w:rFonts w:ascii="Times New Roman" w:hAnsi="Times New Roman" w:cs="Times New Roman"/>
          <w:sz w:val="24"/>
          <w:szCs w:val="24"/>
        </w:rPr>
        <w:t>de</w:t>
      </w:r>
      <w:r w:rsidRPr="00B10C76">
        <w:rPr>
          <w:rFonts w:ascii="Times New Roman" w:hAnsi="Times New Roman" w:cs="Times New Roman"/>
          <w:sz w:val="24"/>
          <w:szCs w:val="24"/>
        </w:rPr>
        <w:t>creas</w:t>
      </w:r>
      <w:r w:rsidR="00A853EC" w:rsidRPr="00B10C76">
        <w:rPr>
          <w:rFonts w:ascii="Times New Roman" w:hAnsi="Times New Roman" w:cs="Times New Roman"/>
          <w:sz w:val="24"/>
          <w:szCs w:val="24"/>
        </w:rPr>
        <w:t>ing</w:t>
      </w:r>
      <w:r w:rsidRPr="00B10C76">
        <w:rPr>
          <w:rFonts w:ascii="Times New Roman" w:hAnsi="Times New Roman" w:cs="Times New Roman"/>
          <w:sz w:val="24"/>
          <w:szCs w:val="24"/>
        </w:rPr>
        <w:t xml:space="preserve"> in </w:t>
      </w:r>
      <w:r w:rsidR="002F4071" w:rsidRPr="00B10C76">
        <w:rPr>
          <w:rFonts w:ascii="Times New Roman" w:hAnsi="Times New Roman" w:cs="Times New Roman"/>
          <w:sz w:val="24"/>
          <w:szCs w:val="24"/>
        </w:rPr>
        <w:t>2019</w:t>
      </w:r>
      <w:r w:rsidR="00A853EC" w:rsidRPr="00B10C76">
        <w:rPr>
          <w:rFonts w:ascii="Times New Roman" w:hAnsi="Times New Roman" w:cs="Times New Roman"/>
          <w:sz w:val="24"/>
          <w:szCs w:val="24"/>
        </w:rPr>
        <w:t xml:space="preserve"> by</w:t>
      </w:r>
      <w:r w:rsidRPr="00B10C76">
        <w:rPr>
          <w:rFonts w:ascii="Times New Roman" w:hAnsi="Times New Roman" w:cs="Times New Roman"/>
          <w:sz w:val="24"/>
          <w:szCs w:val="24"/>
        </w:rPr>
        <w:t xml:space="preserve"> reco</w:t>
      </w:r>
      <w:r w:rsidR="00AA7E63" w:rsidRPr="00B10C76">
        <w:rPr>
          <w:rFonts w:ascii="Times New Roman" w:hAnsi="Times New Roman" w:cs="Times New Roman"/>
          <w:sz w:val="24"/>
          <w:szCs w:val="24"/>
        </w:rPr>
        <w:t>r</w:t>
      </w:r>
      <w:r w:rsidRPr="00B10C76">
        <w:rPr>
          <w:rFonts w:ascii="Times New Roman" w:hAnsi="Times New Roman" w:cs="Times New Roman"/>
          <w:sz w:val="24"/>
          <w:szCs w:val="24"/>
        </w:rPr>
        <w:t xml:space="preserve">ding </w:t>
      </w:r>
      <w:r w:rsidR="002F4071" w:rsidRPr="00B10C76">
        <w:rPr>
          <w:rFonts w:ascii="Times New Roman" w:hAnsi="Times New Roman" w:cs="Times New Roman"/>
          <w:sz w:val="24"/>
          <w:szCs w:val="24"/>
        </w:rPr>
        <w:t>23.4</w:t>
      </w:r>
      <w:r w:rsidRPr="00B10C76">
        <w:rPr>
          <w:rFonts w:ascii="Times New Roman" w:hAnsi="Times New Roman" w:cs="Times New Roman"/>
          <w:sz w:val="24"/>
          <w:szCs w:val="24"/>
        </w:rPr>
        <w:t>%</w:t>
      </w:r>
      <w:r w:rsidR="002F4071" w:rsidRPr="00B10C76">
        <w:rPr>
          <w:rFonts w:ascii="Times New Roman" w:hAnsi="Times New Roman" w:cs="Times New Roman"/>
          <w:sz w:val="24"/>
          <w:szCs w:val="24"/>
        </w:rPr>
        <w:t>.</w:t>
      </w:r>
      <w:r w:rsidRPr="00B10C76">
        <w:rPr>
          <w:rFonts w:ascii="Times New Roman" w:hAnsi="Times New Roman" w:cs="Times New Roman"/>
          <w:sz w:val="24"/>
          <w:szCs w:val="24"/>
        </w:rPr>
        <w:t xml:space="preserve"> </w:t>
      </w:r>
    </w:p>
    <w:p w14:paraId="7D7B2F49" w14:textId="77777777" w:rsidR="00AA5132" w:rsidRPr="00B10C76" w:rsidRDefault="00AA5132" w:rsidP="00472189">
      <w:pPr>
        <w:tabs>
          <w:tab w:val="left" w:pos="9072"/>
        </w:tabs>
        <w:bidi w:val="0"/>
        <w:spacing w:after="0" w:line="240" w:lineRule="auto"/>
        <w:jc w:val="center"/>
        <w:rPr>
          <w:rFonts w:ascii="Arial" w:hAnsi="Arial"/>
          <w:b/>
          <w:bCs/>
        </w:rPr>
      </w:pPr>
    </w:p>
    <w:p w14:paraId="79D20BBD" w14:textId="77777777" w:rsidR="0071415F" w:rsidRPr="00B10C76" w:rsidRDefault="0071415F" w:rsidP="002F4071">
      <w:pPr>
        <w:tabs>
          <w:tab w:val="left" w:pos="9072"/>
        </w:tabs>
        <w:bidi w:val="0"/>
        <w:spacing w:after="0" w:line="240" w:lineRule="auto"/>
        <w:jc w:val="center"/>
        <w:rPr>
          <w:rFonts w:ascii="Arial" w:hAnsi="Arial"/>
          <w:b/>
          <w:bCs/>
        </w:rPr>
      </w:pPr>
      <w:r w:rsidRPr="00B10C76">
        <w:rPr>
          <w:rFonts w:ascii="Arial" w:hAnsi="Arial"/>
          <w:b/>
          <w:bCs/>
        </w:rPr>
        <w:t>Percentage of Domestic Budget Funded by Domestic Taxes, 20</w:t>
      </w:r>
      <w:r w:rsidR="00472189" w:rsidRPr="00B10C76">
        <w:rPr>
          <w:rFonts w:ascii="Arial" w:hAnsi="Arial"/>
          <w:b/>
          <w:bCs/>
        </w:rPr>
        <w:t>15</w:t>
      </w:r>
      <w:r w:rsidRPr="00B10C76">
        <w:rPr>
          <w:rFonts w:ascii="Arial" w:hAnsi="Arial"/>
          <w:b/>
          <w:bCs/>
        </w:rPr>
        <w:t>-</w:t>
      </w:r>
      <w:r w:rsidR="00D311B3" w:rsidRPr="00B10C76">
        <w:rPr>
          <w:rFonts w:ascii="Arial" w:hAnsi="Arial"/>
          <w:b/>
          <w:bCs/>
        </w:rPr>
        <w:t>202</w:t>
      </w:r>
      <w:r w:rsidR="002F4071" w:rsidRPr="00B10C76">
        <w:rPr>
          <w:rFonts w:ascii="Arial" w:hAnsi="Arial"/>
          <w:b/>
          <w:bCs/>
        </w:rPr>
        <w:t>2</w:t>
      </w:r>
      <w:r w:rsidR="00D311B3" w:rsidRPr="00B10C76">
        <w:rPr>
          <w:rFonts w:ascii="Arial" w:hAnsi="Arial"/>
          <w:b/>
          <w:bCs/>
        </w:rPr>
        <w:t xml:space="preserve"> </w:t>
      </w:r>
      <w:r w:rsidRPr="00B10C76">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B10C76" w14:paraId="0763A8AD" w14:textId="77777777" w:rsidTr="00452927">
        <w:trPr>
          <w:trHeight w:val="3703"/>
        </w:trPr>
        <w:tc>
          <w:tcPr>
            <w:tcW w:w="9286" w:type="dxa"/>
            <w:shd w:val="clear" w:color="auto" w:fill="auto"/>
            <w:vAlign w:val="center"/>
          </w:tcPr>
          <w:p w14:paraId="0A194B1F" w14:textId="77777777" w:rsidR="0071415F" w:rsidRPr="00B10C76" w:rsidRDefault="0071415F" w:rsidP="00452927">
            <w:pPr>
              <w:tabs>
                <w:tab w:val="left" w:pos="9072"/>
              </w:tabs>
              <w:bidi w:val="0"/>
              <w:spacing w:after="0" w:line="240" w:lineRule="auto"/>
              <w:jc w:val="center"/>
              <w:rPr>
                <w:rFonts w:ascii="Arial" w:hAnsi="Arial"/>
                <w:b/>
                <w:bCs/>
                <w:lang w:val="it-IT"/>
              </w:rPr>
            </w:pPr>
            <w:r w:rsidRPr="00B10C76">
              <w:rPr>
                <w:rFonts w:ascii="Times New Roman" w:hAnsi="Times New Roman" w:cs="Times New Roman"/>
                <w:b/>
                <w:bCs/>
                <w:noProof/>
                <w:sz w:val="24"/>
                <w:szCs w:val="24"/>
              </w:rPr>
              <w:drawing>
                <wp:inline distT="0" distB="0" distL="0" distR="0" wp14:anchorId="0A2F4CBF" wp14:editId="539FE053">
                  <wp:extent cx="5780405" cy="2313940"/>
                  <wp:effectExtent l="0" t="0" r="0" b="0"/>
                  <wp:docPr id="125"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tc>
      </w:tr>
    </w:tbl>
    <w:p w14:paraId="154AA21B" w14:textId="77777777" w:rsidR="0071415F" w:rsidRPr="00B10C76" w:rsidRDefault="0071415F" w:rsidP="002F4071">
      <w:pPr>
        <w:bidi w:val="0"/>
        <w:spacing w:after="0" w:line="240" w:lineRule="auto"/>
        <w:jc w:val="both"/>
        <w:rPr>
          <w:rFonts w:ascii="Arial" w:hAnsi="Arial"/>
          <w:sz w:val="18"/>
          <w:szCs w:val="18"/>
          <w:lang w:val="en-GB"/>
        </w:rPr>
      </w:pPr>
      <w:r w:rsidRPr="00B10C76">
        <w:rPr>
          <w:rFonts w:ascii="Arial" w:hAnsi="Arial"/>
          <w:b/>
          <w:bCs/>
          <w:sz w:val="18"/>
          <w:szCs w:val="18"/>
        </w:rPr>
        <w:t>Source: Ministry of Finance and Planning</w:t>
      </w:r>
      <w:r w:rsidRPr="00B10C76">
        <w:rPr>
          <w:rFonts w:ascii="Arial" w:hAnsi="Arial"/>
          <w:sz w:val="18"/>
          <w:szCs w:val="18"/>
          <w:lang w:val="en-GB"/>
        </w:rPr>
        <w:t>, 20</w:t>
      </w:r>
      <w:r w:rsidR="00472189" w:rsidRPr="00B10C76">
        <w:rPr>
          <w:rFonts w:ascii="Arial" w:hAnsi="Arial"/>
          <w:sz w:val="18"/>
          <w:szCs w:val="18"/>
          <w:lang w:val="en-GB"/>
        </w:rPr>
        <w:t>15</w:t>
      </w:r>
      <w:r w:rsidRPr="00B10C76">
        <w:rPr>
          <w:rFonts w:ascii="Arial" w:hAnsi="Arial"/>
          <w:sz w:val="18"/>
          <w:szCs w:val="18"/>
          <w:lang w:val="en-GB"/>
        </w:rPr>
        <w:t>-</w:t>
      </w:r>
      <w:r w:rsidR="002F4071" w:rsidRPr="00B10C76">
        <w:rPr>
          <w:rFonts w:ascii="Arial" w:hAnsi="Arial"/>
          <w:sz w:val="18"/>
          <w:szCs w:val="18"/>
          <w:lang w:val="en-GB"/>
        </w:rPr>
        <w:t>2022</w:t>
      </w:r>
      <w:r w:rsidRPr="00B10C76">
        <w:rPr>
          <w:rFonts w:ascii="Arial" w:hAnsi="Arial"/>
          <w:sz w:val="18"/>
          <w:szCs w:val="18"/>
          <w:lang w:val="en-GB"/>
        </w:rPr>
        <w:t>. Ramallah-Palestine</w:t>
      </w:r>
    </w:p>
    <w:p w14:paraId="6B39B48E" w14:textId="77777777" w:rsidR="0071415F" w:rsidRPr="00B10C76" w:rsidRDefault="0071415F" w:rsidP="0071415F">
      <w:pPr>
        <w:autoSpaceDE w:val="0"/>
        <w:autoSpaceDN w:val="0"/>
        <w:bidi w:val="0"/>
        <w:adjustRightInd w:val="0"/>
        <w:spacing w:after="0" w:line="240" w:lineRule="auto"/>
        <w:jc w:val="both"/>
        <w:rPr>
          <w:rFonts w:ascii="Times New Roman" w:hAnsi="Times New Roman" w:cs="Times New Roman"/>
          <w:b/>
          <w:bCs/>
          <w:color w:val="FF0000"/>
          <w:sz w:val="20"/>
          <w:szCs w:val="20"/>
        </w:rPr>
      </w:pPr>
    </w:p>
    <w:p w14:paraId="1FD0A81E" w14:textId="77777777" w:rsidR="0071415F" w:rsidRPr="00B10C76" w:rsidRDefault="0071415F" w:rsidP="00670F90">
      <w:pPr>
        <w:autoSpaceDE w:val="0"/>
        <w:autoSpaceDN w:val="0"/>
        <w:bidi w:val="0"/>
        <w:adjustRightInd w:val="0"/>
        <w:spacing w:line="240" w:lineRule="auto"/>
        <w:jc w:val="both"/>
        <w:rPr>
          <w:rFonts w:ascii="Times New Roman" w:hAnsi="Times New Roman" w:cs="Times New Roman"/>
          <w:b/>
          <w:bCs/>
          <w:i/>
          <w:iCs/>
          <w:sz w:val="24"/>
          <w:szCs w:val="24"/>
        </w:rPr>
      </w:pPr>
      <w:r w:rsidRPr="00B10C76">
        <w:rPr>
          <w:rFonts w:ascii="Times New Roman" w:hAnsi="Times New Roman" w:cs="Times New Roman"/>
          <w:b/>
          <w:bCs/>
          <w:i/>
          <w:iCs/>
          <w:sz w:val="24"/>
          <w:szCs w:val="24"/>
        </w:rPr>
        <w:t xml:space="preserve">Indicator </w:t>
      </w:r>
      <w:r w:rsidRPr="00B10C76">
        <w:rPr>
          <w:rFonts w:ascii="Times New Roman" w:hAnsi="Times New Roman" w:cs="Times New Roman"/>
          <w:b/>
          <w:bCs/>
          <w:i/>
          <w:iCs/>
          <w:sz w:val="24"/>
          <w:szCs w:val="24"/>
          <w:rtl/>
        </w:rPr>
        <w:t>17.3.1</w:t>
      </w:r>
      <w:r w:rsidR="002F4071" w:rsidRPr="00B10C76">
        <w:rPr>
          <w:rFonts w:ascii="Times New Roman" w:hAnsi="Times New Roman" w:cs="Times New Roman"/>
          <w:b/>
          <w:bCs/>
          <w:i/>
          <w:iCs/>
          <w:sz w:val="24"/>
          <w:szCs w:val="24"/>
        </w:rPr>
        <w:t xml:space="preserve"> </w:t>
      </w:r>
      <w:r w:rsidRPr="00B10C76">
        <w:rPr>
          <w:rFonts w:ascii="Times New Roman" w:hAnsi="Times New Roman" w:cs="Times New Roman"/>
          <w:b/>
          <w:bCs/>
          <w:i/>
          <w:iCs/>
          <w:sz w:val="24"/>
          <w:szCs w:val="24"/>
        </w:rPr>
        <w:t>Foreign direct investments (FDI), (inflows)</w:t>
      </w:r>
    </w:p>
    <w:p w14:paraId="22CE5C8B" w14:textId="77777777" w:rsidR="0071415F" w:rsidRPr="008A4B72" w:rsidRDefault="0071415F" w:rsidP="00472189">
      <w:pPr>
        <w:autoSpaceDE w:val="0"/>
        <w:autoSpaceDN w:val="0"/>
        <w:bidi w:val="0"/>
        <w:adjustRightInd w:val="0"/>
        <w:spacing w:after="0" w:line="240" w:lineRule="auto"/>
        <w:jc w:val="both"/>
        <w:rPr>
          <w:rFonts w:ascii="Times New Roman" w:hAnsi="Times New Roman" w:cs="Times New Roman"/>
          <w:sz w:val="24"/>
          <w:szCs w:val="24"/>
        </w:rPr>
      </w:pPr>
      <w:r w:rsidRPr="00B10C76">
        <w:rPr>
          <w:rFonts w:ascii="Times New Roman" w:hAnsi="Times New Roman" w:cs="Times New Roman"/>
          <w:sz w:val="24"/>
          <w:szCs w:val="24"/>
        </w:rPr>
        <w:t>There has been a decrease in the value of foreign direct investments out of the total domestic budget in 2018 as opposed to 2017 with a percentage of 28.1%. Hence, the value of foreign direct investment inflow in Palestine reached USD 449.2 million in 2018.</w:t>
      </w:r>
      <w:r w:rsidRPr="008A4B72">
        <w:rPr>
          <w:rFonts w:ascii="Times New Roman" w:hAnsi="Times New Roman" w:cs="Times New Roman"/>
          <w:sz w:val="24"/>
          <w:szCs w:val="24"/>
        </w:rPr>
        <w:t xml:space="preserve"> </w:t>
      </w:r>
    </w:p>
    <w:p w14:paraId="61C10B93" w14:textId="77777777" w:rsidR="0071415F" w:rsidRDefault="0071415F" w:rsidP="00444566">
      <w:pPr>
        <w:tabs>
          <w:tab w:val="left" w:pos="9072"/>
        </w:tabs>
        <w:bidi w:val="0"/>
        <w:spacing w:after="0" w:line="240" w:lineRule="auto"/>
        <w:rPr>
          <w:rFonts w:ascii="Arial" w:hAnsi="Arial"/>
          <w:b/>
          <w:bCs/>
          <w:sz w:val="20"/>
          <w:szCs w:val="20"/>
        </w:rPr>
      </w:pPr>
    </w:p>
    <w:p w14:paraId="45E5E064" w14:textId="77777777" w:rsidR="005374D2" w:rsidRDefault="005374D2" w:rsidP="005374D2">
      <w:pPr>
        <w:tabs>
          <w:tab w:val="left" w:pos="9072"/>
        </w:tabs>
        <w:bidi w:val="0"/>
        <w:spacing w:after="0" w:line="240" w:lineRule="auto"/>
        <w:rPr>
          <w:rFonts w:ascii="Arial" w:hAnsi="Arial"/>
          <w:b/>
          <w:bCs/>
          <w:sz w:val="20"/>
          <w:szCs w:val="20"/>
        </w:rPr>
      </w:pPr>
    </w:p>
    <w:p w14:paraId="1EDE3BF0" w14:textId="77777777" w:rsidR="005374D2" w:rsidRDefault="005374D2" w:rsidP="005374D2">
      <w:pPr>
        <w:tabs>
          <w:tab w:val="left" w:pos="9072"/>
        </w:tabs>
        <w:bidi w:val="0"/>
        <w:spacing w:after="0" w:line="240" w:lineRule="auto"/>
        <w:rPr>
          <w:rFonts w:ascii="Arial" w:hAnsi="Arial"/>
          <w:b/>
          <w:bCs/>
          <w:sz w:val="20"/>
          <w:szCs w:val="20"/>
        </w:rPr>
      </w:pPr>
    </w:p>
    <w:p w14:paraId="4EAE3756" w14:textId="77777777" w:rsidR="005374D2" w:rsidRDefault="005374D2" w:rsidP="005374D2">
      <w:pPr>
        <w:tabs>
          <w:tab w:val="left" w:pos="9072"/>
        </w:tabs>
        <w:bidi w:val="0"/>
        <w:spacing w:after="0" w:line="240" w:lineRule="auto"/>
        <w:rPr>
          <w:rFonts w:ascii="Arial" w:hAnsi="Arial"/>
          <w:b/>
          <w:bCs/>
          <w:sz w:val="20"/>
          <w:szCs w:val="20"/>
        </w:rPr>
      </w:pPr>
    </w:p>
    <w:p w14:paraId="0C8DAD38" w14:textId="77777777" w:rsidR="005374D2" w:rsidRDefault="005374D2" w:rsidP="005374D2">
      <w:pPr>
        <w:tabs>
          <w:tab w:val="left" w:pos="9072"/>
        </w:tabs>
        <w:bidi w:val="0"/>
        <w:spacing w:after="0" w:line="240" w:lineRule="auto"/>
        <w:rPr>
          <w:rFonts w:ascii="Arial" w:hAnsi="Arial"/>
          <w:b/>
          <w:bCs/>
          <w:sz w:val="20"/>
          <w:szCs w:val="20"/>
        </w:rPr>
      </w:pPr>
    </w:p>
    <w:p w14:paraId="323B020E" w14:textId="77777777" w:rsidR="005374D2" w:rsidRDefault="005374D2" w:rsidP="005374D2">
      <w:pPr>
        <w:tabs>
          <w:tab w:val="left" w:pos="9072"/>
        </w:tabs>
        <w:bidi w:val="0"/>
        <w:spacing w:after="0" w:line="240" w:lineRule="auto"/>
        <w:rPr>
          <w:rFonts w:ascii="Arial" w:hAnsi="Arial"/>
          <w:b/>
          <w:bCs/>
          <w:sz w:val="20"/>
          <w:szCs w:val="20"/>
        </w:rPr>
      </w:pPr>
    </w:p>
    <w:p w14:paraId="1CCA9C38" w14:textId="77777777" w:rsidR="005374D2" w:rsidRDefault="005374D2" w:rsidP="005374D2">
      <w:pPr>
        <w:tabs>
          <w:tab w:val="left" w:pos="9072"/>
        </w:tabs>
        <w:bidi w:val="0"/>
        <w:spacing w:after="0" w:line="240" w:lineRule="auto"/>
        <w:rPr>
          <w:rFonts w:ascii="Arial" w:hAnsi="Arial"/>
          <w:b/>
          <w:bCs/>
          <w:sz w:val="20"/>
          <w:szCs w:val="20"/>
        </w:rPr>
      </w:pPr>
    </w:p>
    <w:p w14:paraId="23D7CE9C" w14:textId="77777777" w:rsidR="005374D2" w:rsidRDefault="005374D2" w:rsidP="005374D2">
      <w:pPr>
        <w:tabs>
          <w:tab w:val="left" w:pos="9072"/>
        </w:tabs>
        <w:bidi w:val="0"/>
        <w:spacing w:after="0" w:line="240" w:lineRule="auto"/>
        <w:rPr>
          <w:rFonts w:ascii="Arial" w:hAnsi="Arial"/>
          <w:b/>
          <w:bCs/>
          <w:sz w:val="20"/>
          <w:szCs w:val="20"/>
        </w:rPr>
      </w:pPr>
    </w:p>
    <w:p w14:paraId="291E0E57" w14:textId="77777777" w:rsidR="005374D2" w:rsidRPr="00444566" w:rsidRDefault="005374D2" w:rsidP="005374D2">
      <w:pPr>
        <w:tabs>
          <w:tab w:val="left" w:pos="9072"/>
        </w:tabs>
        <w:bidi w:val="0"/>
        <w:spacing w:after="0" w:line="240" w:lineRule="auto"/>
        <w:rPr>
          <w:rFonts w:ascii="Arial" w:hAnsi="Arial"/>
          <w:b/>
          <w:bCs/>
          <w:sz w:val="20"/>
          <w:szCs w:val="20"/>
        </w:rPr>
      </w:pPr>
    </w:p>
    <w:p w14:paraId="0118E704" w14:textId="77777777" w:rsidR="0071415F" w:rsidRDefault="0071415F" w:rsidP="00472189">
      <w:pPr>
        <w:tabs>
          <w:tab w:val="left" w:pos="9072"/>
        </w:tabs>
        <w:bidi w:val="0"/>
        <w:spacing w:after="0" w:line="240" w:lineRule="auto"/>
        <w:jc w:val="center"/>
        <w:rPr>
          <w:rFonts w:ascii="Arial" w:hAnsi="Arial"/>
          <w:b/>
          <w:bCs/>
        </w:rPr>
      </w:pPr>
      <w:r w:rsidRPr="00422BE3">
        <w:rPr>
          <w:rFonts w:ascii="Arial" w:hAnsi="Arial"/>
          <w:b/>
          <w:bCs/>
        </w:rPr>
        <w:lastRenderedPageBreak/>
        <w:t>Percentage of Foreign Direct Investments From the Total Domestic Budget,</w:t>
      </w:r>
      <w:r>
        <w:rPr>
          <w:rFonts w:ascii="Arial" w:hAnsi="Arial"/>
          <w:b/>
          <w:bCs/>
        </w:rPr>
        <w:t>20</w:t>
      </w:r>
      <w:r w:rsidR="00472189">
        <w:rPr>
          <w:rFonts w:ascii="Arial" w:hAnsi="Arial"/>
          <w:b/>
          <w:bCs/>
        </w:rPr>
        <w:t>15</w:t>
      </w:r>
      <w:r>
        <w:rPr>
          <w:rFonts w:ascii="Arial" w:hAnsi="Arial"/>
          <w:b/>
          <w:bCs/>
        </w:rPr>
        <w:t>-</w:t>
      </w:r>
      <w:r w:rsidRPr="00422BE3">
        <w:rPr>
          <w:rFonts w:ascii="Arial" w:hAnsi="Arial"/>
          <w:b/>
          <w:bCs/>
        </w:rPr>
        <w:t xml:space="preserve"> 2018 (USD millions)</w:t>
      </w:r>
    </w:p>
    <w:tbl>
      <w:tblPr>
        <w:tblStyle w:val="TableGrid"/>
        <w:tblW w:w="0" w:type="auto"/>
        <w:tblLook w:val="04A0" w:firstRow="1" w:lastRow="0" w:firstColumn="1" w:lastColumn="0" w:noHBand="0" w:noVBand="1"/>
      </w:tblPr>
      <w:tblGrid>
        <w:gridCol w:w="9060"/>
      </w:tblGrid>
      <w:tr w:rsidR="00DA4191" w14:paraId="00FDD049" w14:textId="77777777" w:rsidTr="00581AED">
        <w:trPr>
          <w:trHeight w:val="3819"/>
        </w:trPr>
        <w:tc>
          <w:tcPr>
            <w:tcW w:w="9060" w:type="dxa"/>
            <w:vAlign w:val="center"/>
          </w:tcPr>
          <w:p w14:paraId="33633BE7" w14:textId="77777777" w:rsidR="00DA4191" w:rsidRDefault="00DA4191" w:rsidP="00581AED">
            <w:pPr>
              <w:tabs>
                <w:tab w:val="left" w:pos="9072"/>
              </w:tabs>
              <w:bidi w:val="0"/>
              <w:spacing w:after="0" w:line="240" w:lineRule="auto"/>
              <w:jc w:val="center"/>
              <w:rPr>
                <w:rFonts w:ascii="Arial" w:hAnsi="Arial"/>
                <w:b/>
                <w:bCs/>
              </w:rPr>
            </w:pPr>
            <w:r>
              <w:rPr>
                <w:rFonts w:ascii="Times New Roman" w:hAnsi="Times New Roman" w:cs="Times New Roman"/>
                <w:b/>
                <w:bCs/>
                <w:noProof/>
                <w:sz w:val="24"/>
                <w:szCs w:val="24"/>
              </w:rPr>
              <w:drawing>
                <wp:inline distT="0" distB="0" distL="0" distR="0" wp14:anchorId="376DBF0C" wp14:editId="0847029C">
                  <wp:extent cx="5487670" cy="2333625"/>
                  <wp:effectExtent l="0" t="0" r="0" b="0"/>
                  <wp:docPr id="22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tc>
      </w:tr>
    </w:tbl>
    <w:p w14:paraId="242C2473" w14:textId="77777777" w:rsidR="0071415F" w:rsidRPr="00670F90" w:rsidRDefault="0071415F" w:rsidP="00670F90">
      <w:pPr>
        <w:bidi w:val="0"/>
        <w:spacing w:after="0" w:line="240" w:lineRule="auto"/>
        <w:ind w:left="630" w:hanging="630"/>
        <w:jc w:val="both"/>
        <w:rPr>
          <w:rFonts w:ascii="Arial" w:hAnsi="Arial"/>
          <w:b/>
          <w:bCs/>
          <w:sz w:val="18"/>
          <w:szCs w:val="18"/>
        </w:rPr>
      </w:pPr>
      <w:r w:rsidRPr="00DA4191">
        <w:rPr>
          <w:rFonts w:ascii="Arial" w:hAnsi="Arial"/>
          <w:b/>
          <w:bCs/>
          <w:sz w:val="18"/>
          <w:szCs w:val="18"/>
        </w:rPr>
        <w:t>Source:</w:t>
      </w:r>
      <w:r w:rsidRPr="00107CD7">
        <w:rPr>
          <w:rFonts w:ascii="Arial" w:hAnsi="Arial"/>
          <w:b/>
          <w:bCs/>
          <w:sz w:val="18"/>
          <w:szCs w:val="18"/>
        </w:rPr>
        <w:t xml:space="preserve"> Palestinian Central Bureau of Statistics, </w:t>
      </w:r>
      <w:r w:rsidRPr="00670F90">
        <w:rPr>
          <w:rFonts w:ascii="Arial" w:hAnsi="Arial"/>
          <w:sz w:val="18"/>
          <w:szCs w:val="18"/>
        </w:rPr>
        <w:t>Balance of payments. Ramallah – Palestine. (in cooperation with Palestine Monetary Authority)</w:t>
      </w:r>
    </w:p>
    <w:p w14:paraId="4C7F1A25" w14:textId="77777777" w:rsidR="0071415F" w:rsidRPr="00670F90" w:rsidRDefault="0071415F" w:rsidP="00670F90">
      <w:pPr>
        <w:bidi w:val="0"/>
        <w:spacing w:after="0" w:line="240" w:lineRule="auto"/>
        <w:ind w:left="630" w:hanging="630"/>
        <w:jc w:val="both"/>
        <w:rPr>
          <w:rFonts w:ascii="Arial" w:hAnsi="Arial"/>
          <w:b/>
          <w:bCs/>
          <w:sz w:val="18"/>
          <w:szCs w:val="18"/>
        </w:rPr>
      </w:pPr>
    </w:p>
    <w:p w14:paraId="431ADA47" w14:textId="77777777" w:rsidR="0071415F" w:rsidRPr="00B10C76" w:rsidRDefault="0071415F" w:rsidP="00670F90">
      <w:pPr>
        <w:autoSpaceDE w:val="0"/>
        <w:autoSpaceDN w:val="0"/>
        <w:bidi w:val="0"/>
        <w:adjustRightInd w:val="0"/>
        <w:spacing w:line="240" w:lineRule="auto"/>
        <w:jc w:val="both"/>
        <w:rPr>
          <w:rFonts w:ascii="Times New Roman" w:hAnsi="Times New Roman" w:cs="Times New Roman"/>
          <w:b/>
          <w:bCs/>
          <w:i/>
          <w:iCs/>
          <w:sz w:val="24"/>
          <w:szCs w:val="24"/>
        </w:rPr>
      </w:pPr>
      <w:r w:rsidRPr="00C5313C">
        <w:rPr>
          <w:rFonts w:ascii="Times New Roman" w:hAnsi="Times New Roman" w:cs="Times New Roman"/>
          <w:b/>
          <w:bCs/>
          <w:i/>
          <w:iCs/>
          <w:sz w:val="24"/>
          <w:szCs w:val="24"/>
        </w:rPr>
        <w:t xml:space="preserve">Indicator </w:t>
      </w:r>
      <w:r w:rsidRPr="00B10C76">
        <w:rPr>
          <w:rFonts w:ascii="Times New Roman" w:hAnsi="Times New Roman" w:cs="Times New Roman"/>
          <w:b/>
          <w:bCs/>
          <w:i/>
          <w:iCs/>
          <w:sz w:val="24"/>
          <w:szCs w:val="24"/>
          <w:rtl/>
        </w:rPr>
        <w:t>17.3.2</w:t>
      </w:r>
      <w:r w:rsidRPr="00B10C76">
        <w:rPr>
          <w:rFonts w:ascii="Times New Roman" w:hAnsi="Times New Roman" w:cs="Times New Roman"/>
          <w:b/>
          <w:bCs/>
          <w:i/>
          <w:iCs/>
          <w:sz w:val="24"/>
          <w:szCs w:val="24"/>
        </w:rPr>
        <w:t xml:space="preserve"> Volume of remittances (in US </w:t>
      </w:r>
      <w:r w:rsidR="00A853EC" w:rsidRPr="00B10C76">
        <w:rPr>
          <w:rFonts w:ascii="Times New Roman" w:hAnsi="Times New Roman" w:cs="Times New Roman"/>
          <w:b/>
          <w:bCs/>
          <w:i/>
          <w:iCs/>
          <w:sz w:val="24"/>
          <w:szCs w:val="24"/>
        </w:rPr>
        <w:t>D</w:t>
      </w:r>
      <w:r w:rsidRPr="00B10C76">
        <w:rPr>
          <w:rFonts w:ascii="Times New Roman" w:hAnsi="Times New Roman" w:cs="Times New Roman"/>
          <w:b/>
          <w:bCs/>
          <w:i/>
          <w:iCs/>
          <w:sz w:val="24"/>
          <w:szCs w:val="24"/>
        </w:rPr>
        <w:t>ollars) as a proportion of total GDP</w:t>
      </w:r>
    </w:p>
    <w:p w14:paraId="7834B1A7" w14:textId="77777777" w:rsidR="0071415F" w:rsidRPr="00B10C76" w:rsidRDefault="0071415F" w:rsidP="002F4071">
      <w:pPr>
        <w:autoSpaceDE w:val="0"/>
        <w:autoSpaceDN w:val="0"/>
        <w:bidi w:val="0"/>
        <w:adjustRightInd w:val="0"/>
        <w:spacing w:after="0" w:line="240" w:lineRule="auto"/>
        <w:jc w:val="both"/>
        <w:rPr>
          <w:rFonts w:ascii="Times New Roman" w:hAnsi="Times New Roman" w:cs="Times New Roman"/>
          <w:sz w:val="24"/>
          <w:szCs w:val="24"/>
        </w:rPr>
      </w:pPr>
      <w:r w:rsidRPr="00B10C76">
        <w:rPr>
          <w:rFonts w:ascii="Times New Roman" w:hAnsi="Times New Roman" w:cs="Times New Roman"/>
          <w:sz w:val="24"/>
          <w:szCs w:val="24"/>
        </w:rPr>
        <w:t xml:space="preserve">The volume of remittances (USD) as a proportion of total GDP </w:t>
      </w:r>
      <w:r w:rsidR="00D311B3" w:rsidRPr="00B10C76">
        <w:rPr>
          <w:rFonts w:ascii="Times New Roman" w:hAnsi="Times New Roman" w:cs="Times New Roman"/>
          <w:sz w:val="24"/>
          <w:szCs w:val="24"/>
        </w:rPr>
        <w:t xml:space="preserve">increased </w:t>
      </w:r>
      <w:r w:rsidRPr="00B10C76">
        <w:rPr>
          <w:rFonts w:ascii="Times New Roman" w:hAnsi="Times New Roman" w:cs="Times New Roman"/>
          <w:sz w:val="24"/>
          <w:szCs w:val="24"/>
        </w:rPr>
        <w:t xml:space="preserve">in </w:t>
      </w:r>
      <w:r w:rsidR="002F4071" w:rsidRPr="00B10C76">
        <w:rPr>
          <w:rFonts w:ascii="Times New Roman" w:hAnsi="Times New Roman" w:cs="Times New Roman"/>
          <w:sz w:val="24"/>
          <w:szCs w:val="24"/>
        </w:rPr>
        <w:t>2022</w:t>
      </w:r>
      <w:r w:rsidR="00D311B3" w:rsidRPr="00B10C76">
        <w:rPr>
          <w:rFonts w:ascii="Times New Roman" w:hAnsi="Times New Roman" w:cs="Times New Roman"/>
          <w:sz w:val="24"/>
          <w:szCs w:val="24"/>
        </w:rPr>
        <w:t xml:space="preserve"> </w:t>
      </w:r>
      <w:r w:rsidRPr="00B10C76">
        <w:rPr>
          <w:rFonts w:ascii="Times New Roman" w:hAnsi="Times New Roman" w:cs="Times New Roman"/>
          <w:sz w:val="24"/>
          <w:szCs w:val="24"/>
        </w:rPr>
        <w:t xml:space="preserve">to </w:t>
      </w:r>
      <w:r w:rsidR="002F4071" w:rsidRPr="00B10C76">
        <w:rPr>
          <w:rFonts w:ascii="Times New Roman" w:hAnsi="Times New Roman" w:cs="Times New Roman"/>
          <w:sz w:val="24"/>
          <w:szCs w:val="24"/>
        </w:rPr>
        <w:t>14.9</w:t>
      </w:r>
      <w:r w:rsidRPr="00B10C76">
        <w:rPr>
          <w:rFonts w:ascii="Times New Roman" w:hAnsi="Times New Roman" w:cs="Times New Roman"/>
          <w:sz w:val="24"/>
          <w:szCs w:val="24"/>
        </w:rPr>
        <w:t xml:space="preserve">%, in comparison </w:t>
      </w:r>
      <w:r w:rsidR="00595393" w:rsidRPr="00B10C76">
        <w:rPr>
          <w:rFonts w:ascii="Times New Roman" w:hAnsi="Times New Roman" w:cs="Times New Roman"/>
          <w:sz w:val="24"/>
          <w:szCs w:val="24"/>
        </w:rPr>
        <w:t>to</w:t>
      </w:r>
      <w:r w:rsidRPr="00B10C76">
        <w:rPr>
          <w:rFonts w:ascii="Times New Roman" w:hAnsi="Times New Roman" w:cs="Times New Roman"/>
          <w:sz w:val="24"/>
          <w:szCs w:val="24"/>
        </w:rPr>
        <w:t xml:space="preserve"> </w:t>
      </w:r>
      <w:r w:rsidR="002F4071" w:rsidRPr="00B10C76">
        <w:rPr>
          <w:rFonts w:ascii="Times New Roman" w:hAnsi="Times New Roman" w:cs="Times New Roman"/>
          <w:sz w:val="24"/>
          <w:szCs w:val="24"/>
        </w:rPr>
        <w:t>2021</w:t>
      </w:r>
      <w:r w:rsidR="00D311B3" w:rsidRPr="00B10C76">
        <w:rPr>
          <w:rFonts w:ascii="Times New Roman" w:hAnsi="Times New Roman" w:cs="Times New Roman"/>
          <w:sz w:val="24"/>
          <w:szCs w:val="24"/>
        </w:rPr>
        <w:t xml:space="preserve"> </w:t>
      </w:r>
      <w:r w:rsidRPr="00B10C76">
        <w:rPr>
          <w:rFonts w:ascii="Times New Roman" w:hAnsi="Times New Roman" w:cs="Times New Roman"/>
          <w:sz w:val="24"/>
          <w:szCs w:val="24"/>
        </w:rPr>
        <w:t xml:space="preserve">when it reached the </w:t>
      </w:r>
      <w:r w:rsidR="002B24FE" w:rsidRPr="00B10C76">
        <w:rPr>
          <w:rFonts w:ascii="Times New Roman" w:hAnsi="Times New Roman" w:cs="Times New Roman"/>
          <w:sz w:val="24"/>
          <w:szCs w:val="24"/>
        </w:rPr>
        <w:t xml:space="preserve">value of </w:t>
      </w:r>
      <w:r w:rsidR="002F4071" w:rsidRPr="00B10C76">
        <w:rPr>
          <w:rFonts w:ascii="Times New Roman" w:hAnsi="Times New Roman" w:cs="Times New Roman"/>
          <w:sz w:val="24"/>
          <w:szCs w:val="24"/>
        </w:rPr>
        <w:t>12.1</w:t>
      </w:r>
      <w:r w:rsidR="002B24FE" w:rsidRPr="00B10C76">
        <w:rPr>
          <w:rFonts w:ascii="Times New Roman" w:hAnsi="Times New Roman" w:cs="Times New Roman"/>
          <w:sz w:val="24"/>
          <w:szCs w:val="24"/>
        </w:rPr>
        <w:t>%.</w:t>
      </w:r>
    </w:p>
    <w:p w14:paraId="18904809" w14:textId="77777777" w:rsidR="007F4CA4" w:rsidRPr="00B10C76" w:rsidRDefault="007F4CA4" w:rsidP="005374D2">
      <w:pPr>
        <w:tabs>
          <w:tab w:val="left" w:pos="9072"/>
        </w:tabs>
        <w:bidi w:val="0"/>
        <w:spacing w:after="0" w:line="240" w:lineRule="auto"/>
        <w:rPr>
          <w:rFonts w:ascii="Arial" w:hAnsi="Arial"/>
          <w:b/>
          <w:bCs/>
        </w:rPr>
      </w:pPr>
    </w:p>
    <w:p w14:paraId="72283830" w14:textId="77777777" w:rsidR="007F4CA4" w:rsidRPr="00B10C76" w:rsidRDefault="007F4CA4" w:rsidP="007F4CA4">
      <w:pPr>
        <w:tabs>
          <w:tab w:val="left" w:pos="9072"/>
        </w:tabs>
        <w:bidi w:val="0"/>
        <w:spacing w:after="0" w:line="240" w:lineRule="auto"/>
        <w:jc w:val="center"/>
        <w:rPr>
          <w:rFonts w:ascii="Arial" w:hAnsi="Arial"/>
          <w:b/>
          <w:bCs/>
        </w:rPr>
      </w:pPr>
    </w:p>
    <w:p w14:paraId="0C008F1D" w14:textId="77777777" w:rsidR="0071415F" w:rsidRPr="00B10C76" w:rsidRDefault="0071415F" w:rsidP="002F4071">
      <w:pPr>
        <w:tabs>
          <w:tab w:val="left" w:pos="9072"/>
        </w:tabs>
        <w:bidi w:val="0"/>
        <w:spacing w:after="0" w:line="240" w:lineRule="auto"/>
        <w:jc w:val="center"/>
        <w:rPr>
          <w:rFonts w:ascii="Arial" w:hAnsi="Arial"/>
          <w:b/>
          <w:bCs/>
        </w:rPr>
      </w:pPr>
      <w:r w:rsidRPr="00B10C76">
        <w:rPr>
          <w:rFonts w:ascii="Arial" w:hAnsi="Arial"/>
          <w:b/>
          <w:bCs/>
        </w:rPr>
        <w:t>Volume of Remittances (in USD) as a Proportion of Total GDP, 20</w:t>
      </w:r>
      <w:r w:rsidR="00625173" w:rsidRPr="00B10C76">
        <w:rPr>
          <w:rFonts w:ascii="Arial" w:hAnsi="Arial"/>
          <w:b/>
          <w:bCs/>
        </w:rPr>
        <w:t>15</w:t>
      </w:r>
      <w:r w:rsidRPr="00B10C76">
        <w:rPr>
          <w:rFonts w:ascii="Arial" w:hAnsi="Arial"/>
          <w:b/>
          <w:bCs/>
        </w:rPr>
        <w:t>-</w:t>
      </w:r>
      <w:r w:rsidR="00D311B3" w:rsidRPr="00B10C76">
        <w:rPr>
          <w:rFonts w:ascii="Arial" w:hAnsi="Arial"/>
          <w:b/>
          <w:bCs/>
        </w:rPr>
        <w:t>202</w:t>
      </w:r>
      <w:r w:rsidR="002F4071" w:rsidRPr="00B10C76">
        <w:rPr>
          <w:rFonts w:ascii="Arial" w:hAnsi="Arial"/>
          <w:b/>
          <w:bCs/>
        </w:rPr>
        <w:t>2</w:t>
      </w:r>
      <w:r w:rsidR="00D311B3" w:rsidRPr="00B10C76">
        <w:rPr>
          <w:rFonts w:ascii="Arial" w:hAnsi="Arial"/>
          <w:b/>
          <w:bCs/>
        </w:rPr>
        <w:t xml:space="preserve"> </w:t>
      </w:r>
      <w:r w:rsidRPr="00B10C76">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B10C76" w14:paraId="7F4EE4A8" w14:textId="77777777" w:rsidTr="0071415F">
        <w:tc>
          <w:tcPr>
            <w:tcW w:w="9286" w:type="dxa"/>
            <w:shd w:val="clear" w:color="auto" w:fill="auto"/>
          </w:tcPr>
          <w:p w14:paraId="0C7F00D0" w14:textId="77777777" w:rsidR="0071415F" w:rsidRPr="00B10C76" w:rsidRDefault="0071415F" w:rsidP="0071415F">
            <w:pPr>
              <w:tabs>
                <w:tab w:val="left" w:pos="9072"/>
              </w:tabs>
              <w:bidi w:val="0"/>
              <w:spacing w:after="0" w:line="240" w:lineRule="auto"/>
              <w:jc w:val="center"/>
              <w:rPr>
                <w:rFonts w:ascii="Arial" w:hAnsi="Arial"/>
                <w:b/>
                <w:bCs/>
                <w:lang w:val="it-IT"/>
              </w:rPr>
            </w:pPr>
            <w:r w:rsidRPr="00B10C76">
              <w:rPr>
                <w:rFonts w:ascii="Times New Roman" w:hAnsi="Times New Roman" w:cs="Times New Roman"/>
                <w:b/>
                <w:bCs/>
                <w:noProof/>
                <w:sz w:val="24"/>
                <w:szCs w:val="24"/>
              </w:rPr>
              <w:drawing>
                <wp:inline distT="0" distB="0" distL="0" distR="0" wp14:anchorId="273BC695" wp14:editId="3B3E068A">
                  <wp:extent cx="5367020" cy="2259724"/>
                  <wp:effectExtent l="0" t="0" r="5080" b="7620"/>
                  <wp:docPr id="127"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tc>
      </w:tr>
    </w:tbl>
    <w:p w14:paraId="10A6EA9C" w14:textId="77777777" w:rsidR="0071415F" w:rsidRPr="00B10C76" w:rsidRDefault="0071415F" w:rsidP="00670F90">
      <w:pPr>
        <w:bidi w:val="0"/>
        <w:spacing w:after="0" w:line="240" w:lineRule="auto"/>
        <w:ind w:left="630" w:hanging="630"/>
        <w:jc w:val="both"/>
        <w:rPr>
          <w:rFonts w:ascii="Arial" w:hAnsi="Arial"/>
          <w:sz w:val="18"/>
          <w:szCs w:val="18"/>
        </w:rPr>
      </w:pPr>
      <w:r w:rsidRPr="00B10C76">
        <w:rPr>
          <w:rFonts w:ascii="Arial" w:hAnsi="Arial"/>
          <w:b/>
          <w:bCs/>
          <w:sz w:val="18"/>
          <w:szCs w:val="18"/>
        </w:rPr>
        <w:t>Source: Palestinian Central Bureau of Statistics</w:t>
      </w:r>
      <w:r w:rsidRPr="00B10C76">
        <w:rPr>
          <w:rFonts w:ascii="Arial" w:hAnsi="Arial"/>
          <w:sz w:val="18"/>
          <w:szCs w:val="18"/>
        </w:rPr>
        <w:t>, Balance of payments. Ramallah - Palestine</w:t>
      </w:r>
      <w:r w:rsidRPr="00B10C76">
        <w:rPr>
          <w:rFonts w:ascii="Arial" w:hAnsi="Arial"/>
          <w:sz w:val="18"/>
          <w:szCs w:val="18"/>
          <w:rtl/>
        </w:rPr>
        <w:t>.</w:t>
      </w:r>
      <w:r w:rsidRPr="00B10C76">
        <w:rPr>
          <w:rFonts w:ascii="Arial" w:hAnsi="Arial"/>
          <w:sz w:val="18"/>
          <w:szCs w:val="18"/>
        </w:rPr>
        <w:t xml:space="preserve"> (in cooperation with Palestine Monetary Authority)</w:t>
      </w:r>
    </w:p>
    <w:p w14:paraId="6E831399" w14:textId="77777777" w:rsidR="0071415F" w:rsidRPr="00B10C76" w:rsidRDefault="0071415F" w:rsidP="0071415F">
      <w:pPr>
        <w:autoSpaceDE w:val="0"/>
        <w:autoSpaceDN w:val="0"/>
        <w:bidi w:val="0"/>
        <w:adjustRightInd w:val="0"/>
        <w:spacing w:after="0" w:line="240" w:lineRule="auto"/>
        <w:jc w:val="both"/>
        <w:rPr>
          <w:rFonts w:ascii="Times New Roman" w:hAnsi="Times New Roman" w:cs="Times New Roman"/>
          <w:bCs/>
          <w:iCs/>
          <w:color w:val="000000"/>
          <w:sz w:val="16"/>
          <w:szCs w:val="16"/>
          <w:rtl/>
        </w:rPr>
      </w:pPr>
    </w:p>
    <w:p w14:paraId="3593C5E0" w14:textId="77777777" w:rsidR="0071415F" w:rsidRPr="00B10C76" w:rsidRDefault="0071415F" w:rsidP="00670F90">
      <w:pPr>
        <w:autoSpaceDE w:val="0"/>
        <w:autoSpaceDN w:val="0"/>
        <w:bidi w:val="0"/>
        <w:adjustRightInd w:val="0"/>
        <w:spacing w:line="240" w:lineRule="auto"/>
        <w:jc w:val="both"/>
        <w:rPr>
          <w:rFonts w:ascii="Times New Roman" w:hAnsi="Times New Roman" w:cs="Times New Roman"/>
          <w:b/>
          <w:bCs/>
          <w:i/>
          <w:iCs/>
          <w:sz w:val="24"/>
          <w:szCs w:val="24"/>
          <w:rtl/>
        </w:rPr>
      </w:pPr>
      <w:r w:rsidRPr="00B10C76">
        <w:rPr>
          <w:rFonts w:ascii="Times New Roman" w:hAnsi="Times New Roman" w:cs="Times New Roman"/>
          <w:b/>
          <w:bCs/>
          <w:i/>
          <w:iCs/>
          <w:sz w:val="24"/>
          <w:szCs w:val="24"/>
        </w:rPr>
        <w:t xml:space="preserve">Indicator </w:t>
      </w:r>
      <w:r w:rsidRPr="00B10C76">
        <w:rPr>
          <w:rFonts w:ascii="Times New Roman" w:hAnsi="Times New Roman" w:cs="Times New Roman"/>
          <w:b/>
          <w:bCs/>
          <w:i/>
          <w:iCs/>
          <w:sz w:val="24"/>
          <w:szCs w:val="24"/>
          <w:rtl/>
        </w:rPr>
        <w:t>17.8.1</w:t>
      </w:r>
      <w:r w:rsidRPr="00B10C76">
        <w:rPr>
          <w:rFonts w:ascii="Times New Roman" w:hAnsi="Times New Roman" w:cs="Times New Roman"/>
          <w:b/>
          <w:bCs/>
          <w:i/>
          <w:iCs/>
          <w:sz w:val="24"/>
          <w:szCs w:val="24"/>
        </w:rPr>
        <w:t xml:space="preserve"> Proportion of individuals using the Internet</w:t>
      </w:r>
    </w:p>
    <w:p w14:paraId="011AEE6E" w14:textId="77777777" w:rsidR="0071415F" w:rsidRDefault="0071415F" w:rsidP="000B4462">
      <w:pPr>
        <w:autoSpaceDE w:val="0"/>
        <w:autoSpaceDN w:val="0"/>
        <w:bidi w:val="0"/>
        <w:adjustRightInd w:val="0"/>
        <w:spacing w:after="0" w:line="240" w:lineRule="auto"/>
        <w:jc w:val="both"/>
        <w:rPr>
          <w:rFonts w:ascii="Times New Roman" w:hAnsi="Times New Roman" w:cs="Times New Roman"/>
          <w:sz w:val="24"/>
          <w:szCs w:val="24"/>
        </w:rPr>
      </w:pPr>
      <w:r w:rsidRPr="00B10C76">
        <w:rPr>
          <w:rFonts w:ascii="Times New Roman" w:hAnsi="Times New Roman" w:cs="Times New Roman"/>
          <w:sz w:val="24"/>
          <w:szCs w:val="24"/>
        </w:rPr>
        <w:t xml:space="preserve">Percentage of individuals (10 years and above) using the internet in Palestine increased to reach </w:t>
      </w:r>
      <w:r w:rsidR="000B4462" w:rsidRPr="00B10C76">
        <w:rPr>
          <w:rFonts w:ascii="Times New Roman" w:hAnsi="Times New Roman" w:cs="Times New Roman"/>
          <w:sz w:val="24"/>
          <w:szCs w:val="24"/>
        </w:rPr>
        <w:t>88.6</w:t>
      </w:r>
      <w:r w:rsidRPr="00B10C76">
        <w:rPr>
          <w:rFonts w:ascii="Times New Roman" w:hAnsi="Times New Roman" w:cs="Times New Roman"/>
          <w:sz w:val="24"/>
          <w:szCs w:val="24"/>
        </w:rPr>
        <w:t xml:space="preserve">% for the year </w:t>
      </w:r>
      <w:r w:rsidR="00E521F7" w:rsidRPr="00B10C76">
        <w:rPr>
          <w:rFonts w:ascii="Times New Roman" w:hAnsi="Times New Roman" w:cs="Times New Roman"/>
          <w:sz w:val="24"/>
          <w:szCs w:val="24"/>
        </w:rPr>
        <w:t>2022</w:t>
      </w:r>
      <w:r w:rsidRPr="00B10C76">
        <w:rPr>
          <w:rFonts w:ascii="Times New Roman" w:hAnsi="Times New Roman" w:cs="Times New Roman"/>
          <w:sz w:val="24"/>
          <w:szCs w:val="24"/>
        </w:rPr>
        <w:t xml:space="preserve">: </w:t>
      </w:r>
      <w:r w:rsidR="000B4462" w:rsidRPr="00B10C76">
        <w:rPr>
          <w:rFonts w:ascii="Times New Roman" w:hAnsi="Times New Roman" w:cs="Times New Roman"/>
          <w:sz w:val="24"/>
          <w:szCs w:val="24"/>
        </w:rPr>
        <w:t>92.2</w:t>
      </w:r>
      <w:r w:rsidRPr="00B10C76">
        <w:rPr>
          <w:rFonts w:ascii="Times New Roman" w:hAnsi="Times New Roman" w:cs="Times New Roman"/>
          <w:sz w:val="24"/>
          <w:szCs w:val="24"/>
        </w:rPr>
        <w:t xml:space="preserve">% in the West Bank and </w:t>
      </w:r>
      <w:r w:rsidR="000B4462" w:rsidRPr="00B10C76">
        <w:rPr>
          <w:rFonts w:ascii="Times New Roman" w:hAnsi="Times New Roman" w:cs="Times New Roman"/>
          <w:sz w:val="24"/>
          <w:szCs w:val="24"/>
        </w:rPr>
        <w:t>83.1</w:t>
      </w:r>
      <w:r w:rsidRPr="00B10C76">
        <w:rPr>
          <w:rFonts w:ascii="Times New Roman" w:hAnsi="Times New Roman" w:cs="Times New Roman"/>
          <w:sz w:val="24"/>
          <w:szCs w:val="24"/>
        </w:rPr>
        <w:t>% in Gaza Strip.</w:t>
      </w:r>
    </w:p>
    <w:p w14:paraId="0139B374" w14:textId="77777777"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1DA6132E" w14:textId="77777777"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073A86DE" w14:textId="77777777"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6B54B1D9" w14:textId="77777777"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2B37C70F" w14:textId="77777777"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15DC5801" w14:textId="77777777"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4128D1C4" w14:textId="77777777" w:rsidR="0071415F" w:rsidRPr="00444566"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560416E8" w14:textId="77777777" w:rsidR="0071415F" w:rsidRPr="000D2E4D" w:rsidRDefault="0071415F" w:rsidP="0071415F">
      <w:pPr>
        <w:tabs>
          <w:tab w:val="left" w:pos="9072"/>
        </w:tabs>
        <w:bidi w:val="0"/>
        <w:spacing w:after="0" w:line="240" w:lineRule="auto"/>
        <w:jc w:val="center"/>
        <w:rPr>
          <w:rFonts w:ascii="Arial" w:hAnsi="Arial"/>
          <w:b/>
          <w:bCs/>
        </w:rPr>
      </w:pPr>
      <w:r w:rsidRPr="00B10C76">
        <w:rPr>
          <w:rFonts w:ascii="Arial" w:hAnsi="Arial"/>
          <w:b/>
          <w:bCs/>
        </w:rPr>
        <w:lastRenderedPageBreak/>
        <w:t>Percentage of Individuals (10 Years</w:t>
      </w:r>
      <w:r w:rsidR="000B4462" w:rsidRPr="00B10C76">
        <w:rPr>
          <w:rFonts w:ascii="Arial" w:hAnsi="Arial"/>
          <w:b/>
          <w:bCs/>
        </w:rPr>
        <w:t xml:space="preserve"> </w:t>
      </w:r>
      <w:r w:rsidRPr="00B10C76">
        <w:rPr>
          <w:rFonts w:ascii="Arial" w:hAnsi="Arial"/>
          <w:b/>
          <w:bCs/>
        </w:rPr>
        <w:t>and</w:t>
      </w:r>
      <w:r w:rsidR="000B4462" w:rsidRPr="00B10C76">
        <w:rPr>
          <w:rFonts w:ascii="Arial" w:hAnsi="Arial"/>
          <w:b/>
          <w:bCs/>
        </w:rPr>
        <w:t xml:space="preserve"> </w:t>
      </w:r>
      <w:r w:rsidR="00595393" w:rsidRPr="00B10C76">
        <w:rPr>
          <w:rFonts w:ascii="Arial" w:hAnsi="Arial"/>
          <w:b/>
          <w:bCs/>
        </w:rPr>
        <w:t>a</w:t>
      </w:r>
      <w:r w:rsidRPr="00B10C76">
        <w:rPr>
          <w:rFonts w:ascii="Arial" w:hAnsi="Arial"/>
          <w:b/>
          <w:bCs/>
        </w:rPr>
        <w:t xml:space="preserve">bove) Using the Internet </w:t>
      </w:r>
      <w:r w:rsidR="00C66B88" w:rsidRPr="00B10C76">
        <w:rPr>
          <w:rFonts w:ascii="Arial" w:hAnsi="Arial"/>
          <w:b/>
          <w:bCs/>
        </w:rPr>
        <w:t>for Selected</w:t>
      </w:r>
      <w:r w:rsidRPr="00B10C76">
        <w:rPr>
          <w:rFonts w:ascii="Arial" w:hAnsi="Arial"/>
          <w:b/>
          <w:bCs/>
        </w:rPr>
        <w:t xml:space="preserve"> Years</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04D1FC9A" w14:textId="77777777" w:rsidTr="00732381">
        <w:trPr>
          <w:trHeight w:val="3432"/>
        </w:trPr>
        <w:tc>
          <w:tcPr>
            <w:tcW w:w="9060" w:type="dxa"/>
            <w:shd w:val="clear" w:color="auto" w:fill="auto"/>
          </w:tcPr>
          <w:p w14:paraId="75EF9FCA"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14:anchorId="558DAFC0" wp14:editId="379C4DDD">
                  <wp:extent cx="5457190" cy="2162265"/>
                  <wp:effectExtent l="0" t="0" r="0" b="0"/>
                  <wp:docPr id="128"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tc>
      </w:tr>
    </w:tbl>
    <w:p w14:paraId="06D448EF" w14:textId="77777777" w:rsidR="0071415F" w:rsidRPr="00C06ADB" w:rsidRDefault="0071415F" w:rsidP="00E300A7">
      <w:pPr>
        <w:bidi w:val="0"/>
        <w:spacing w:after="0" w:line="240" w:lineRule="auto"/>
        <w:ind w:left="720" w:hanging="720"/>
        <w:rPr>
          <w:rFonts w:ascii="Arial" w:hAnsi="Arial"/>
          <w:b/>
          <w:bCs/>
          <w:color w:val="000000"/>
          <w:sz w:val="18"/>
          <w:szCs w:val="18"/>
        </w:rPr>
      </w:pPr>
      <w:r w:rsidRPr="00C06ADB">
        <w:rPr>
          <w:rFonts w:ascii="Arial" w:hAnsi="Arial"/>
          <w:b/>
          <w:bCs/>
          <w:color w:val="000000"/>
          <w:sz w:val="18"/>
          <w:szCs w:val="18"/>
        </w:rPr>
        <w:t xml:space="preserve">Source: Palestinian Central Bureau of Statistics, </w:t>
      </w:r>
      <w:r w:rsidRPr="00C06ADB">
        <w:rPr>
          <w:rFonts w:ascii="Arial" w:hAnsi="Arial"/>
          <w:color w:val="000000"/>
          <w:sz w:val="18"/>
          <w:szCs w:val="18"/>
        </w:rPr>
        <w:t>Socio-Economic Conditions Survey, 2018. Ramallah - Palestine</w:t>
      </w:r>
      <w:r w:rsidRPr="00C06ADB">
        <w:rPr>
          <w:rFonts w:ascii="Arial" w:hAnsi="Arial"/>
          <w:b/>
          <w:bCs/>
          <w:color w:val="000000"/>
          <w:sz w:val="18"/>
          <w:szCs w:val="18"/>
        </w:rPr>
        <w:t>.</w:t>
      </w:r>
    </w:p>
    <w:p w14:paraId="18FEBA04" w14:textId="77777777" w:rsidR="0071415F" w:rsidRPr="00B10C76" w:rsidRDefault="0071415F" w:rsidP="0071415F">
      <w:pPr>
        <w:bidi w:val="0"/>
        <w:spacing w:after="0" w:line="240" w:lineRule="auto"/>
        <w:ind w:left="720"/>
        <w:rPr>
          <w:rFonts w:ascii="Arial" w:hAnsi="Arial"/>
          <w:sz w:val="18"/>
          <w:szCs w:val="18"/>
        </w:rPr>
      </w:pPr>
      <w:r w:rsidRPr="00C06ADB">
        <w:rPr>
          <w:rFonts w:ascii="Arial" w:hAnsi="Arial"/>
          <w:b/>
          <w:bCs/>
          <w:color w:val="000000"/>
          <w:sz w:val="18"/>
          <w:szCs w:val="18"/>
        </w:rPr>
        <w:t>Palestinian</w:t>
      </w:r>
      <w:r w:rsidRPr="00C06ADB">
        <w:rPr>
          <w:rFonts w:ascii="Arial" w:hAnsi="Arial"/>
          <w:b/>
          <w:bCs/>
          <w:sz w:val="18"/>
          <w:szCs w:val="18"/>
        </w:rPr>
        <w:t xml:space="preserve"> Central Bureau of Statistics</w:t>
      </w:r>
      <w:r w:rsidRPr="00C06ADB">
        <w:rPr>
          <w:rFonts w:ascii="Arial" w:hAnsi="Arial"/>
          <w:sz w:val="18"/>
          <w:szCs w:val="18"/>
        </w:rPr>
        <w:t xml:space="preserve">. Household Survey on Information and Communications </w:t>
      </w:r>
      <w:r w:rsidRPr="00B10C76">
        <w:rPr>
          <w:rFonts w:ascii="Arial" w:hAnsi="Arial"/>
          <w:sz w:val="18"/>
          <w:szCs w:val="18"/>
        </w:rPr>
        <w:t>Technology, 2019: Main Findings Report.  Ramallah - Palestine.</w:t>
      </w:r>
    </w:p>
    <w:p w14:paraId="7F32DFF9" w14:textId="77777777" w:rsidR="00D949F5" w:rsidRPr="00B10C76" w:rsidRDefault="00D949F5" w:rsidP="000B4462">
      <w:pPr>
        <w:bidi w:val="0"/>
        <w:spacing w:after="0" w:line="240" w:lineRule="auto"/>
        <w:ind w:left="720"/>
        <w:rPr>
          <w:rFonts w:ascii="Arial" w:hAnsi="Arial"/>
          <w:color w:val="000000"/>
          <w:sz w:val="18"/>
          <w:szCs w:val="18"/>
        </w:rPr>
      </w:pPr>
      <w:r w:rsidRPr="00B10C76">
        <w:rPr>
          <w:rFonts w:ascii="Arial" w:hAnsi="Arial"/>
          <w:b/>
          <w:bCs/>
          <w:color w:val="000000"/>
          <w:sz w:val="18"/>
          <w:szCs w:val="18"/>
        </w:rPr>
        <w:t xml:space="preserve">Palestinian Central Bureau of Statistics, </w:t>
      </w:r>
      <w:r w:rsidR="000B4462" w:rsidRPr="00B10C76">
        <w:rPr>
          <w:rFonts w:ascii="Arial" w:hAnsi="Arial"/>
          <w:sz w:val="18"/>
          <w:szCs w:val="18"/>
        </w:rPr>
        <w:t>Information and Communications Technology</w:t>
      </w:r>
      <w:r w:rsidR="000B4462" w:rsidRPr="00B10C76">
        <w:rPr>
          <w:rFonts w:ascii="Arial" w:hAnsi="Arial"/>
          <w:color w:val="000000"/>
          <w:sz w:val="18"/>
          <w:szCs w:val="18"/>
        </w:rPr>
        <w:t xml:space="preserve"> </w:t>
      </w:r>
      <w:r w:rsidRPr="00B10C76">
        <w:rPr>
          <w:rFonts w:ascii="Arial" w:hAnsi="Arial"/>
          <w:color w:val="000000"/>
          <w:sz w:val="18"/>
          <w:szCs w:val="18"/>
        </w:rPr>
        <w:t>Database</w:t>
      </w:r>
      <w:r w:rsidR="00581AED" w:rsidRPr="00B10C76">
        <w:rPr>
          <w:rFonts w:ascii="Arial" w:hAnsi="Arial"/>
          <w:color w:val="000000"/>
          <w:sz w:val="18"/>
          <w:szCs w:val="18"/>
        </w:rPr>
        <w:t>,</w:t>
      </w:r>
      <w:r w:rsidR="000B4462" w:rsidRPr="00B10C76">
        <w:rPr>
          <w:rFonts w:ascii="Arial" w:hAnsi="Arial"/>
          <w:color w:val="000000"/>
          <w:sz w:val="18"/>
          <w:szCs w:val="18"/>
        </w:rPr>
        <w:t>2022</w:t>
      </w:r>
      <w:r w:rsidRPr="00B10C76">
        <w:rPr>
          <w:rFonts w:ascii="Arial" w:hAnsi="Arial"/>
          <w:color w:val="000000"/>
          <w:sz w:val="18"/>
          <w:szCs w:val="18"/>
        </w:rPr>
        <w:t>. Ramallah- Palestine.</w:t>
      </w:r>
    </w:p>
    <w:p w14:paraId="5DC76052" w14:textId="77777777" w:rsidR="0071415F" w:rsidRPr="00B10C76" w:rsidRDefault="0071415F" w:rsidP="0071415F">
      <w:pPr>
        <w:tabs>
          <w:tab w:val="left" w:pos="8321"/>
        </w:tabs>
        <w:bidi w:val="0"/>
        <w:spacing w:after="0" w:line="240" w:lineRule="auto"/>
        <w:rPr>
          <w:rFonts w:ascii="Arial" w:hAnsi="Arial"/>
          <w:sz w:val="18"/>
          <w:szCs w:val="18"/>
          <w:rtl/>
        </w:rPr>
      </w:pPr>
      <w:r w:rsidRPr="00B10C76">
        <w:rPr>
          <w:rFonts w:ascii="Arial" w:hAnsi="Arial"/>
          <w:b/>
          <w:bCs/>
          <w:color w:val="000000"/>
          <w:sz w:val="18"/>
          <w:szCs w:val="18"/>
        </w:rPr>
        <w:t>* Note</w:t>
      </w:r>
      <w:r w:rsidRPr="00B10C76">
        <w:rPr>
          <w:rFonts w:ascii="Arial" w:hAnsi="Arial"/>
          <w:color w:val="000000"/>
          <w:sz w:val="18"/>
          <w:szCs w:val="18"/>
        </w:rPr>
        <w:t>: Represent</w:t>
      </w:r>
      <w:r w:rsidR="00595393" w:rsidRPr="00B10C76">
        <w:rPr>
          <w:rFonts w:ascii="Arial" w:hAnsi="Arial"/>
          <w:color w:val="000000"/>
          <w:sz w:val="18"/>
          <w:szCs w:val="18"/>
        </w:rPr>
        <w:t>s</w:t>
      </w:r>
      <w:r w:rsidRPr="00B10C76">
        <w:rPr>
          <w:rFonts w:ascii="Arial" w:hAnsi="Arial"/>
          <w:color w:val="000000"/>
          <w:sz w:val="18"/>
          <w:szCs w:val="18"/>
        </w:rPr>
        <w:t xml:space="preserve"> individuals aged 18 years and above.</w:t>
      </w:r>
    </w:p>
    <w:p w14:paraId="44C71636" w14:textId="77777777" w:rsidR="0071415F" w:rsidRPr="00B10C76" w:rsidRDefault="0071415F" w:rsidP="0071415F">
      <w:pPr>
        <w:autoSpaceDE w:val="0"/>
        <w:autoSpaceDN w:val="0"/>
        <w:bidi w:val="0"/>
        <w:adjustRightInd w:val="0"/>
        <w:spacing w:after="0" w:line="240" w:lineRule="auto"/>
        <w:jc w:val="both"/>
        <w:rPr>
          <w:rFonts w:ascii="Times New Roman" w:hAnsi="Times New Roman" w:cs="Times New Roman"/>
          <w:b/>
          <w:bCs/>
          <w:color w:val="0D0D0D"/>
          <w:sz w:val="18"/>
          <w:szCs w:val="18"/>
          <w:rtl/>
        </w:rPr>
      </w:pPr>
    </w:p>
    <w:p w14:paraId="24ABE917" w14:textId="77777777" w:rsidR="0071415F" w:rsidRPr="00B10C76" w:rsidRDefault="0071415F" w:rsidP="00670F90">
      <w:pPr>
        <w:autoSpaceDE w:val="0"/>
        <w:autoSpaceDN w:val="0"/>
        <w:bidi w:val="0"/>
        <w:adjustRightInd w:val="0"/>
        <w:spacing w:line="240" w:lineRule="auto"/>
        <w:jc w:val="both"/>
        <w:rPr>
          <w:rFonts w:ascii="Times New Roman" w:hAnsi="Times New Roman" w:cs="Times New Roman"/>
          <w:b/>
          <w:bCs/>
          <w:i/>
          <w:iCs/>
          <w:sz w:val="24"/>
          <w:szCs w:val="24"/>
        </w:rPr>
      </w:pPr>
      <w:r w:rsidRPr="00B10C76">
        <w:rPr>
          <w:rFonts w:ascii="Times New Roman" w:hAnsi="Times New Roman" w:cs="Times New Roman"/>
          <w:b/>
          <w:bCs/>
          <w:i/>
          <w:iCs/>
          <w:sz w:val="24"/>
          <w:szCs w:val="24"/>
        </w:rPr>
        <w:t>Indicator 17.19.2 - Proportion of countries that (a) have conducted at least one population and housing census in the last 10 years; and (b) have achieved 100</w:t>
      </w:r>
      <w:r w:rsidR="00595393" w:rsidRPr="00B10C76">
        <w:rPr>
          <w:rFonts w:ascii="Times New Roman" w:hAnsi="Times New Roman" w:cs="Times New Roman"/>
          <w:b/>
          <w:bCs/>
          <w:i/>
          <w:iCs/>
          <w:sz w:val="24"/>
          <w:szCs w:val="24"/>
        </w:rPr>
        <w:t>%</w:t>
      </w:r>
      <w:r w:rsidRPr="00B10C76">
        <w:rPr>
          <w:rFonts w:ascii="Times New Roman" w:hAnsi="Times New Roman" w:cs="Times New Roman"/>
          <w:b/>
          <w:bCs/>
          <w:i/>
          <w:iCs/>
          <w:sz w:val="24"/>
          <w:szCs w:val="24"/>
        </w:rPr>
        <w:t xml:space="preserve"> birth registration and 80</w:t>
      </w:r>
      <w:r w:rsidR="00595393" w:rsidRPr="00B10C76">
        <w:rPr>
          <w:rFonts w:ascii="Times New Roman" w:hAnsi="Times New Roman" w:cs="Times New Roman"/>
          <w:b/>
          <w:bCs/>
          <w:i/>
          <w:iCs/>
          <w:sz w:val="24"/>
          <w:szCs w:val="24"/>
        </w:rPr>
        <w:t>%</w:t>
      </w:r>
      <w:r w:rsidRPr="00B10C76">
        <w:rPr>
          <w:rFonts w:ascii="Times New Roman" w:hAnsi="Times New Roman" w:cs="Times New Roman"/>
          <w:b/>
          <w:bCs/>
          <w:i/>
          <w:iCs/>
          <w:sz w:val="24"/>
          <w:szCs w:val="24"/>
        </w:rPr>
        <w:t xml:space="preserve"> death registration</w:t>
      </w:r>
    </w:p>
    <w:p w14:paraId="7219D82A" w14:textId="77777777" w:rsidR="0071415F" w:rsidRPr="00B10C76" w:rsidRDefault="0071415F" w:rsidP="0071415F">
      <w:pPr>
        <w:autoSpaceDE w:val="0"/>
        <w:autoSpaceDN w:val="0"/>
        <w:bidi w:val="0"/>
        <w:adjustRightInd w:val="0"/>
        <w:spacing w:after="0" w:line="240" w:lineRule="auto"/>
        <w:jc w:val="both"/>
        <w:rPr>
          <w:rFonts w:ascii="Times New Roman" w:hAnsi="Times New Roman" w:cs="Times New Roman"/>
          <w:sz w:val="8"/>
          <w:szCs w:val="8"/>
        </w:rPr>
      </w:pPr>
    </w:p>
    <w:p w14:paraId="6486C807" w14:textId="77777777" w:rsidR="0071415F" w:rsidRPr="00B10C7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B10C76">
        <w:rPr>
          <w:rFonts w:ascii="Times New Roman" w:hAnsi="Times New Roman" w:cs="Times New Roman"/>
          <w:sz w:val="24"/>
          <w:szCs w:val="24"/>
        </w:rPr>
        <w:t>In 2019, Palestine achieved 90.0% of birth registration and 75.0% of death registration</w:t>
      </w:r>
      <w:r w:rsidR="00595393" w:rsidRPr="00B10C76">
        <w:rPr>
          <w:rFonts w:ascii="Times New Roman" w:hAnsi="Times New Roman" w:cs="Times New Roman"/>
          <w:sz w:val="24"/>
          <w:szCs w:val="24"/>
        </w:rPr>
        <w:t>.</w:t>
      </w:r>
      <w:r w:rsidR="00DA4191" w:rsidRPr="00B10C76">
        <w:rPr>
          <w:rStyle w:val="FootnoteReference"/>
          <w:rFonts w:ascii="Times New Roman" w:hAnsi="Times New Roman" w:cs="Times New Roman"/>
          <w:sz w:val="24"/>
          <w:szCs w:val="24"/>
        </w:rPr>
        <w:footnoteReference w:id="19"/>
      </w:r>
    </w:p>
    <w:p w14:paraId="21B4AFA7" w14:textId="77777777" w:rsidR="0071415F" w:rsidRPr="00B10C76" w:rsidRDefault="0071415F" w:rsidP="0071415F">
      <w:pPr>
        <w:autoSpaceDE w:val="0"/>
        <w:autoSpaceDN w:val="0"/>
        <w:bidi w:val="0"/>
        <w:adjustRightInd w:val="0"/>
        <w:spacing w:after="0" w:line="240" w:lineRule="auto"/>
        <w:jc w:val="both"/>
        <w:rPr>
          <w:rFonts w:ascii="Times New Roman" w:hAnsi="Times New Roman" w:cs="Times New Roman"/>
          <w:sz w:val="14"/>
          <w:szCs w:val="14"/>
          <w:rtl/>
        </w:rPr>
      </w:pPr>
    </w:p>
    <w:p w14:paraId="2BC35DDB" w14:textId="77777777" w:rsidR="0071415F" w:rsidRPr="00B10C76" w:rsidRDefault="0071415F" w:rsidP="0071415F">
      <w:pPr>
        <w:autoSpaceDE w:val="0"/>
        <w:autoSpaceDN w:val="0"/>
        <w:bidi w:val="0"/>
        <w:adjustRightInd w:val="0"/>
        <w:spacing w:after="0" w:line="240" w:lineRule="auto"/>
        <w:jc w:val="both"/>
        <w:rPr>
          <w:rFonts w:ascii="Times New Roman" w:hAnsi="Times New Roman" w:cs="Times New Roman"/>
          <w:b/>
          <w:sz w:val="24"/>
          <w:szCs w:val="24"/>
          <w:rtl/>
        </w:rPr>
      </w:pPr>
      <w:r w:rsidRPr="00B10C76">
        <w:rPr>
          <w:rFonts w:ascii="Times New Roman" w:hAnsi="Times New Roman" w:cs="Times New Roman"/>
          <w:b/>
          <w:bCs/>
          <w:sz w:val="24"/>
          <w:szCs w:val="24"/>
        </w:rPr>
        <w:t>Summary</w:t>
      </w:r>
    </w:p>
    <w:p w14:paraId="00F45947" w14:textId="77777777" w:rsidR="0071415F" w:rsidRPr="00891951" w:rsidRDefault="0071415F" w:rsidP="000B4462">
      <w:pPr>
        <w:autoSpaceDE w:val="0"/>
        <w:autoSpaceDN w:val="0"/>
        <w:bidi w:val="0"/>
        <w:adjustRightInd w:val="0"/>
        <w:spacing w:after="0" w:line="240" w:lineRule="auto"/>
        <w:jc w:val="both"/>
        <w:rPr>
          <w:rFonts w:ascii="Times New Roman" w:hAnsi="Times New Roman" w:cs="Times New Roman"/>
          <w:sz w:val="24"/>
          <w:szCs w:val="24"/>
        </w:rPr>
      </w:pPr>
      <w:r w:rsidRPr="00B10C76">
        <w:rPr>
          <w:rFonts w:ascii="Times New Roman" w:hAnsi="Times New Roman" w:cs="Times New Roman"/>
          <w:sz w:val="24"/>
          <w:szCs w:val="24"/>
        </w:rPr>
        <w:t>Notably, there is an</w:t>
      </w:r>
      <w:r w:rsidR="00595393" w:rsidRPr="00B10C76">
        <w:rPr>
          <w:rFonts w:ascii="Times New Roman" w:hAnsi="Times New Roman" w:cs="Times New Roman"/>
          <w:sz w:val="24"/>
          <w:szCs w:val="24"/>
        </w:rPr>
        <w:t xml:space="preserve">significant </w:t>
      </w:r>
      <w:r w:rsidRPr="00B10C76">
        <w:rPr>
          <w:rFonts w:ascii="Times New Roman" w:hAnsi="Times New Roman" w:cs="Times New Roman"/>
          <w:sz w:val="24"/>
          <w:szCs w:val="24"/>
        </w:rPr>
        <w:t xml:space="preserve">increase in the percentage of individuals using the internet. The percentage of individuals using the internet in Palestine reached </w:t>
      </w:r>
      <w:r w:rsidR="000B4462" w:rsidRPr="00B10C76">
        <w:rPr>
          <w:rFonts w:ascii="Times New Roman" w:hAnsi="Times New Roman" w:cs="Times New Roman"/>
          <w:sz w:val="24"/>
          <w:szCs w:val="24"/>
        </w:rPr>
        <w:t>88.6</w:t>
      </w:r>
      <w:r w:rsidRPr="00B10C76">
        <w:rPr>
          <w:rFonts w:ascii="Times New Roman" w:hAnsi="Times New Roman" w:cs="Times New Roman"/>
          <w:sz w:val="24"/>
          <w:szCs w:val="24"/>
        </w:rPr>
        <w:t xml:space="preserve">% in </w:t>
      </w:r>
      <w:r w:rsidR="000B4462" w:rsidRPr="00B10C76">
        <w:rPr>
          <w:rFonts w:ascii="Times New Roman" w:hAnsi="Times New Roman" w:cs="Times New Roman"/>
          <w:sz w:val="24"/>
          <w:szCs w:val="24"/>
        </w:rPr>
        <w:t>2022</w:t>
      </w:r>
      <w:r w:rsidRPr="00B10C76">
        <w:rPr>
          <w:rFonts w:ascii="Times New Roman" w:hAnsi="Times New Roman" w:cs="Times New Roman"/>
          <w:sz w:val="24"/>
          <w:szCs w:val="24"/>
        </w:rPr>
        <w:t xml:space="preserve"> (</w:t>
      </w:r>
      <w:r w:rsidR="000B4462" w:rsidRPr="00B10C76">
        <w:rPr>
          <w:rFonts w:ascii="Times New Roman" w:hAnsi="Times New Roman" w:cs="Times New Roman"/>
          <w:sz w:val="24"/>
          <w:szCs w:val="24"/>
        </w:rPr>
        <w:t>92.2</w:t>
      </w:r>
      <w:r w:rsidRPr="00B10C76">
        <w:rPr>
          <w:rFonts w:ascii="Times New Roman" w:hAnsi="Times New Roman" w:cs="Times New Roman"/>
          <w:sz w:val="24"/>
          <w:szCs w:val="24"/>
        </w:rPr>
        <w:t>% in the West Bank and 83.</w:t>
      </w:r>
      <w:r w:rsidR="000B4462" w:rsidRPr="00B10C76">
        <w:rPr>
          <w:rFonts w:ascii="Times New Roman" w:hAnsi="Times New Roman" w:cs="Times New Roman"/>
          <w:sz w:val="24"/>
          <w:szCs w:val="24"/>
        </w:rPr>
        <w:t>1</w:t>
      </w:r>
      <w:r w:rsidR="00D949F5" w:rsidRPr="00B10C76">
        <w:rPr>
          <w:rFonts w:ascii="Times New Roman" w:hAnsi="Times New Roman" w:cs="Times New Roman"/>
          <w:sz w:val="24"/>
          <w:szCs w:val="24"/>
        </w:rPr>
        <w:t>% in Gaza Strip).</w:t>
      </w:r>
    </w:p>
    <w:sectPr w:rsidR="0071415F" w:rsidRPr="00891951" w:rsidSect="00FB1314">
      <w:headerReference w:type="default" r:id="rId186"/>
      <w:footerReference w:type="default" r:id="rId187"/>
      <w:pgSz w:w="11906" w:h="16838"/>
      <w:pgMar w:top="1418" w:right="1418" w:bottom="1418" w:left="1418" w:header="709" w:footer="709"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AAFB0D" w14:textId="77777777" w:rsidR="00BF33DF" w:rsidRDefault="00BF33DF" w:rsidP="00FE4D68">
      <w:pPr>
        <w:spacing w:after="0" w:line="240" w:lineRule="auto"/>
      </w:pPr>
      <w:r>
        <w:separator/>
      </w:r>
    </w:p>
  </w:endnote>
  <w:endnote w:type="continuationSeparator" w:id="0">
    <w:p w14:paraId="1F52A9BC" w14:textId="77777777" w:rsidR="00BF33DF" w:rsidRDefault="00BF33DF" w:rsidP="00FE4D68">
      <w:pPr>
        <w:spacing w:after="0" w:line="240" w:lineRule="auto"/>
      </w:pPr>
      <w:r>
        <w:continuationSeparator/>
      </w:r>
    </w:p>
  </w:endnote>
  <w:endnote w:type="continuationNotice" w:id="1">
    <w:p w14:paraId="437AE70E" w14:textId="77777777" w:rsidR="00BF33DF" w:rsidRDefault="00BF33D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plified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Narrow-Bold">
    <w:altName w:val="Arial"/>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Roboto Slab">
    <w:altName w:val="Times New Roman"/>
    <w:charset w:val="00"/>
    <w:family w:val="auto"/>
    <w:pitch w:val="variable"/>
    <w:sig w:usb0="000004FF" w:usb1="8000405F" w:usb2="00000022"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EB0486" w14:textId="07834D14" w:rsidR="00BF33DF" w:rsidRDefault="00BF33DF" w:rsidP="00DF0DD9">
    <w:pPr>
      <w:pStyle w:val="Footer"/>
      <w:bidi w:val="0"/>
      <w:jc w:val="center"/>
    </w:pPr>
    <w:r>
      <w:t>[</w:t>
    </w:r>
    <w:sdt>
      <w:sdtPr>
        <w:id w:val="3963292"/>
        <w:docPartObj>
          <w:docPartGallery w:val="Page Numbers (Bottom of Page)"/>
          <w:docPartUnique/>
        </w:docPartObj>
      </w:sdtPr>
      <w:sdtEndPr/>
      <w:sdtContent>
        <w:r>
          <w:rPr>
            <w:noProof/>
          </w:rPr>
          <w:fldChar w:fldCharType="begin"/>
        </w:r>
        <w:r>
          <w:rPr>
            <w:noProof/>
          </w:rPr>
          <w:instrText xml:space="preserve"> PAGE   \* MERGEFORMAT </w:instrText>
        </w:r>
        <w:r>
          <w:rPr>
            <w:noProof/>
          </w:rPr>
          <w:fldChar w:fldCharType="separate"/>
        </w:r>
        <w:r w:rsidR="004F6A1A">
          <w:rPr>
            <w:noProof/>
          </w:rPr>
          <w:t>23</w:t>
        </w:r>
        <w:r>
          <w:rPr>
            <w:noProof/>
          </w:rPr>
          <w:fldChar w:fldCharType="end"/>
        </w:r>
        <w:r>
          <w:t>]</w:t>
        </w:r>
      </w:sdtContent>
    </w:sdt>
  </w:p>
  <w:p w14:paraId="54199266" w14:textId="77777777" w:rsidR="00BF33DF" w:rsidRDefault="00BF33DF" w:rsidP="00872316">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E9354B" w14:textId="5183C598" w:rsidR="00BF33DF" w:rsidRDefault="00BF33DF" w:rsidP="00FB1314">
    <w:pPr>
      <w:pStyle w:val="Footer"/>
      <w:bidi w:val="0"/>
      <w:jc w:val="center"/>
    </w:pPr>
    <w:r>
      <w:t>[</w:t>
    </w:r>
    <w:r>
      <w:rPr>
        <w:noProof/>
      </w:rPr>
      <w:fldChar w:fldCharType="begin"/>
    </w:r>
    <w:r>
      <w:rPr>
        <w:noProof/>
      </w:rPr>
      <w:instrText xml:space="preserve"> PAGE   \* MERGEFORMAT </w:instrText>
    </w:r>
    <w:r>
      <w:rPr>
        <w:noProof/>
      </w:rPr>
      <w:fldChar w:fldCharType="separate"/>
    </w:r>
    <w:r w:rsidR="004F6A1A">
      <w:rPr>
        <w:noProof/>
      </w:rPr>
      <w:t>92</w:t>
    </w:r>
    <w:r>
      <w:rPr>
        <w:noProof/>
      </w:rPr>
      <w:fldChar w:fldCharType="end"/>
    </w:r>
    <w:r>
      <w:t>]</w:t>
    </w:r>
  </w:p>
  <w:p w14:paraId="39AE39BD" w14:textId="77777777" w:rsidR="00BF33DF" w:rsidRPr="00FB1314" w:rsidRDefault="00BF33DF" w:rsidP="00FB1314">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63ED75" w14:textId="77777777" w:rsidR="00BF33DF" w:rsidRDefault="00BF33DF" w:rsidP="00FE4D68">
      <w:pPr>
        <w:spacing w:after="0" w:line="240" w:lineRule="auto"/>
      </w:pPr>
      <w:r>
        <w:separator/>
      </w:r>
    </w:p>
  </w:footnote>
  <w:footnote w:type="continuationSeparator" w:id="0">
    <w:p w14:paraId="6AB73A5B" w14:textId="77777777" w:rsidR="00BF33DF" w:rsidRDefault="00BF33DF" w:rsidP="00FE4D68">
      <w:pPr>
        <w:spacing w:after="0" w:line="240" w:lineRule="auto"/>
      </w:pPr>
      <w:r>
        <w:continuationSeparator/>
      </w:r>
    </w:p>
  </w:footnote>
  <w:footnote w:type="continuationNotice" w:id="1">
    <w:p w14:paraId="3C99490A" w14:textId="77777777" w:rsidR="00BF33DF" w:rsidRDefault="00BF33DF">
      <w:pPr>
        <w:spacing w:after="0" w:line="240" w:lineRule="auto"/>
      </w:pPr>
    </w:p>
  </w:footnote>
  <w:footnote w:id="2">
    <w:p w14:paraId="15CD41EA" w14:textId="77777777" w:rsidR="00BF33DF" w:rsidRPr="000D2E4D" w:rsidRDefault="00BF33DF" w:rsidP="00FB1314">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hyperlink r:id="rId1" w:history="1">
        <w:r w:rsidRPr="000D2E4D">
          <w:rPr>
            <w:rStyle w:val="Hyperlink"/>
            <w:rFonts w:ascii="Times New Roman" w:hAnsi="Times New Roman"/>
            <w:sz w:val="18"/>
            <w:szCs w:val="18"/>
          </w:rPr>
          <w:t>https://data.unescwa.org/content/85e05a1d-a6d5-45cd-b769-d15c30f72fe7</w:t>
        </w:r>
      </w:hyperlink>
    </w:p>
  </w:footnote>
  <w:footnote w:id="3">
    <w:p w14:paraId="7E665A36" w14:textId="77777777" w:rsidR="00BF33DF" w:rsidRPr="000D2E4D" w:rsidRDefault="00BF33DF" w:rsidP="00EC0053">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sz w:val="18"/>
          <w:szCs w:val="18"/>
        </w:rPr>
        <w:t>Data of formal education represent the current status not the previous 12 months</w:t>
      </w:r>
    </w:p>
  </w:footnote>
  <w:footnote w:id="4">
    <w:p w14:paraId="379FD044" w14:textId="77777777" w:rsidR="00BF33DF" w:rsidRPr="000D2E4D" w:rsidRDefault="00BF33DF" w:rsidP="00EC0053">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sz w:val="18"/>
          <w:szCs w:val="18"/>
        </w:rPr>
        <w:t>Data of formal education represent the current status not the previous 12 months</w:t>
      </w:r>
    </w:p>
  </w:footnote>
  <w:footnote w:id="5">
    <w:p w14:paraId="090583EB" w14:textId="77777777" w:rsidR="00BF33DF" w:rsidRPr="000D2E4D" w:rsidRDefault="00BF33DF" w:rsidP="00EC0053">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sz w:val="18"/>
          <w:szCs w:val="18"/>
        </w:rPr>
        <w:t xml:space="preserve">Data on training pre-service </w:t>
      </w:r>
      <w:r>
        <w:rPr>
          <w:rFonts w:ascii="Times New Roman" w:hAnsi="Times New Roman"/>
          <w:sz w:val="18"/>
          <w:szCs w:val="18"/>
        </w:rPr>
        <w:t>is</w:t>
      </w:r>
      <w:r w:rsidRPr="000D2E4D">
        <w:rPr>
          <w:rFonts w:ascii="Times New Roman" w:hAnsi="Times New Roman"/>
          <w:sz w:val="18"/>
          <w:szCs w:val="18"/>
        </w:rPr>
        <w:t xml:space="preserve"> not available.</w:t>
      </w:r>
    </w:p>
  </w:footnote>
  <w:footnote w:id="6">
    <w:p w14:paraId="33A27F3A" w14:textId="77777777" w:rsidR="00BF33DF" w:rsidRPr="00BD3E97" w:rsidRDefault="00BF33DF" w:rsidP="00F412BE">
      <w:pPr>
        <w:bidi w:val="0"/>
        <w:spacing w:after="0" w:line="240" w:lineRule="auto"/>
        <w:ind w:right="-334"/>
        <w:jc w:val="both"/>
        <w:rPr>
          <w:rFonts w:asciiTheme="minorBidi" w:hAnsiTheme="minorBidi" w:cstheme="minorBidi"/>
          <w:sz w:val="18"/>
          <w:szCs w:val="18"/>
        </w:rPr>
      </w:pPr>
      <w:r w:rsidRPr="00BD3E97">
        <w:rPr>
          <w:rStyle w:val="FootnoteReference"/>
          <w:rFonts w:asciiTheme="minorBidi" w:hAnsiTheme="minorBidi" w:cstheme="minorBidi"/>
          <w:b/>
          <w:bCs/>
          <w:sz w:val="18"/>
          <w:szCs w:val="18"/>
        </w:rPr>
        <w:footnoteRef/>
      </w:r>
      <w:r w:rsidRPr="00BD3E97">
        <w:rPr>
          <w:rFonts w:asciiTheme="minorBidi" w:hAnsiTheme="minorBidi" w:cstheme="minorBidi"/>
          <w:b/>
          <w:bCs/>
          <w:sz w:val="18"/>
          <w:szCs w:val="18"/>
        </w:rPr>
        <w:t>Source: Palestinian Central Bureau of Statistics,</w:t>
      </w:r>
      <w:r w:rsidRPr="00BD3E97">
        <w:rPr>
          <w:rFonts w:asciiTheme="minorBidi" w:hAnsiTheme="minorBidi" w:cstheme="minorBidi"/>
          <w:sz w:val="18"/>
          <w:szCs w:val="18"/>
        </w:rPr>
        <w:t xml:space="preserve"> 2002. Househo</w:t>
      </w:r>
      <w:r>
        <w:rPr>
          <w:rFonts w:asciiTheme="minorBidi" w:hAnsiTheme="minorBidi" w:cstheme="minorBidi"/>
          <w:sz w:val="18"/>
          <w:szCs w:val="18"/>
        </w:rPr>
        <w:t>ld Energy Survey: Main Results, 2001</w:t>
      </w:r>
      <w:r w:rsidRPr="00BD3E97">
        <w:rPr>
          <w:rFonts w:asciiTheme="minorBidi" w:hAnsiTheme="minorBidi" w:cstheme="minorBidi"/>
          <w:sz w:val="18"/>
          <w:szCs w:val="18"/>
        </w:rPr>
        <w:t>.  Ramallah - Palestine.</w:t>
      </w:r>
    </w:p>
    <w:p w14:paraId="7BF79807" w14:textId="77777777" w:rsidR="00BF33DF" w:rsidRPr="00EE6368" w:rsidRDefault="00BF33DF" w:rsidP="00EE6368">
      <w:pPr>
        <w:pStyle w:val="FootnoteText"/>
        <w:bidi w:val="0"/>
        <w:rPr>
          <w:rFonts w:ascii="Arial" w:hAnsi="Arial" w:cs="Arial"/>
          <w:sz w:val="18"/>
          <w:szCs w:val="18"/>
        </w:rPr>
      </w:pPr>
    </w:p>
  </w:footnote>
  <w:footnote w:id="7">
    <w:p w14:paraId="64903B14" w14:textId="77777777" w:rsidR="00BF33DF" w:rsidRDefault="00BF33DF" w:rsidP="00C97515">
      <w:pPr>
        <w:pStyle w:val="FootnoteText"/>
        <w:bidi w:val="0"/>
      </w:pPr>
      <w:r w:rsidRPr="00F74422">
        <w:rPr>
          <w:rFonts w:ascii="Arial" w:hAnsi="Arial" w:cs="Arial"/>
          <w:sz w:val="18"/>
          <w:szCs w:val="18"/>
          <w:vertAlign w:val="superscript"/>
        </w:rPr>
        <w:footnoteRef/>
      </w:r>
      <w:r w:rsidRPr="00F74422">
        <w:rPr>
          <w:rFonts w:ascii="Arial" w:hAnsi="Arial" w:cs="Arial"/>
          <w:b/>
          <w:bCs/>
          <w:sz w:val="18"/>
          <w:szCs w:val="18"/>
        </w:rPr>
        <w:t>Palestinian Central Bureau of Statistics, 2021</w:t>
      </w:r>
      <w:r w:rsidRPr="00C97515">
        <w:rPr>
          <w:rFonts w:ascii="Arial" w:hAnsi="Arial" w:cs="Arial"/>
          <w:sz w:val="18"/>
          <w:szCs w:val="18"/>
        </w:rPr>
        <w:t>. Socio-Economic Conditions Survey, 2020 - Main Findings. Ramallah - Palestine.</w:t>
      </w:r>
    </w:p>
  </w:footnote>
  <w:footnote w:id="8">
    <w:p w14:paraId="0C3755E5" w14:textId="77777777" w:rsidR="00BF33DF" w:rsidRPr="00BD3E97" w:rsidRDefault="00BF33DF" w:rsidP="00BE2EC0">
      <w:pPr>
        <w:bidi w:val="0"/>
        <w:spacing w:after="0" w:line="240" w:lineRule="auto"/>
        <w:rPr>
          <w:rFonts w:asciiTheme="minorBidi" w:hAnsiTheme="minorBidi" w:cstheme="minorBidi"/>
          <w:sz w:val="18"/>
          <w:szCs w:val="18"/>
        </w:rPr>
      </w:pPr>
      <w:r w:rsidRPr="00BD3E97">
        <w:rPr>
          <w:rStyle w:val="FootnoteReference"/>
          <w:rFonts w:asciiTheme="minorBidi" w:hAnsiTheme="minorBidi" w:cstheme="minorBidi"/>
          <w:sz w:val="18"/>
          <w:szCs w:val="18"/>
        </w:rPr>
        <w:footnoteRef/>
      </w:r>
      <w:r w:rsidRPr="00BD3E97">
        <w:rPr>
          <w:rFonts w:asciiTheme="minorBidi" w:hAnsiTheme="minorBidi" w:cstheme="minorBidi"/>
          <w:b/>
          <w:bCs/>
          <w:sz w:val="18"/>
          <w:szCs w:val="18"/>
        </w:rPr>
        <w:t>Source: Palestinian Central Bureau of Statistics</w:t>
      </w:r>
      <w:r w:rsidRPr="00BD3E97">
        <w:rPr>
          <w:rFonts w:asciiTheme="minorBidi" w:hAnsiTheme="minorBidi" w:cstheme="minorBidi"/>
          <w:sz w:val="18"/>
          <w:szCs w:val="18"/>
        </w:rPr>
        <w:t>, Research and Development Survey, 2013 Main Results.  Ramallah – Palestine.</w:t>
      </w:r>
    </w:p>
  </w:footnote>
  <w:footnote w:id="9">
    <w:p w14:paraId="41E6EDAF" w14:textId="77777777" w:rsidR="00BF33DF" w:rsidRDefault="00BF33DF" w:rsidP="00BE2EC0">
      <w:pPr>
        <w:pStyle w:val="FootnoteText"/>
        <w:bidi w:val="0"/>
      </w:pPr>
      <w:r w:rsidRPr="00BE2EC0">
        <w:rPr>
          <w:rStyle w:val="FootnoteReference"/>
          <w:rFonts w:ascii="Times New Roman" w:hAnsi="Times New Roman"/>
        </w:rPr>
        <w:footnoteRef/>
      </w:r>
      <w:r w:rsidRPr="00BD3E97">
        <w:rPr>
          <w:rFonts w:asciiTheme="minorBidi" w:hAnsiTheme="minorBidi" w:cstheme="minorBidi"/>
          <w:b/>
          <w:bCs/>
          <w:sz w:val="18"/>
          <w:szCs w:val="18"/>
        </w:rPr>
        <w:t>Source: Palestinian Central Bureau of Statistics</w:t>
      </w:r>
      <w:r w:rsidRPr="00BD3E97">
        <w:rPr>
          <w:rFonts w:asciiTheme="minorBidi" w:hAnsiTheme="minorBidi" w:cstheme="minorBidi"/>
          <w:sz w:val="18"/>
          <w:szCs w:val="18"/>
        </w:rPr>
        <w:t>, Research and Development Survey, 2013 Main Results.  Ramallah – Palestine.</w:t>
      </w:r>
    </w:p>
  </w:footnote>
  <w:footnote w:id="10">
    <w:p w14:paraId="533934F4" w14:textId="77777777" w:rsidR="00BF33DF" w:rsidRPr="000E1A51" w:rsidRDefault="00BF33DF" w:rsidP="0071415F">
      <w:pPr>
        <w:pStyle w:val="FootnoteText"/>
        <w:bidi w:val="0"/>
        <w:rPr>
          <w:rFonts w:ascii="Arial" w:hAnsi="Arial"/>
          <w:sz w:val="18"/>
          <w:szCs w:val="18"/>
        </w:rPr>
      </w:pPr>
      <w:r w:rsidRPr="000E1A51">
        <w:rPr>
          <w:rStyle w:val="FootnoteReference"/>
          <w:rFonts w:ascii="Arial" w:hAnsi="Arial"/>
          <w:sz w:val="18"/>
          <w:szCs w:val="18"/>
        </w:rPr>
        <w:footnoteRef/>
      </w:r>
      <w:r w:rsidRPr="000E1A51">
        <w:rPr>
          <w:rFonts w:ascii="Arial" w:hAnsi="Arial"/>
          <w:b/>
          <w:bCs/>
          <w:sz w:val="18"/>
          <w:szCs w:val="18"/>
        </w:rPr>
        <w:t xml:space="preserve">Source: </w:t>
      </w:r>
      <w:r w:rsidRPr="000E1A51">
        <w:rPr>
          <w:rFonts w:ascii="Arial" w:hAnsi="Arial"/>
          <w:sz w:val="18"/>
          <w:szCs w:val="18"/>
        </w:rPr>
        <w:t>Ministry of Information and Telecommunication</w:t>
      </w:r>
      <w:r>
        <w:rPr>
          <w:rFonts w:ascii="Arial" w:hAnsi="Arial"/>
          <w:sz w:val="18"/>
          <w:szCs w:val="18"/>
        </w:rPr>
        <w:t xml:space="preserve">. Ramallah- Palestine. </w:t>
      </w:r>
    </w:p>
  </w:footnote>
  <w:footnote w:id="11">
    <w:p w14:paraId="54B16170" w14:textId="77777777" w:rsidR="00BF33DF" w:rsidRPr="00F3507C" w:rsidRDefault="00BF33DF" w:rsidP="00F3507C">
      <w:pPr>
        <w:pStyle w:val="FootnoteText"/>
        <w:bidi w:val="0"/>
        <w:rPr>
          <w:rFonts w:asciiTheme="minorBidi" w:hAnsiTheme="minorBidi" w:cstheme="minorBidi"/>
          <w:b/>
          <w:bCs/>
          <w:sz w:val="18"/>
          <w:szCs w:val="18"/>
          <w:u w:val="single"/>
        </w:rPr>
      </w:pPr>
      <w:r w:rsidRPr="00770C22">
        <w:rPr>
          <w:rStyle w:val="FootnoteReference"/>
          <w:rFonts w:asciiTheme="minorBidi" w:hAnsiTheme="minorBidi" w:cstheme="minorBidi"/>
          <w:sz w:val="18"/>
          <w:szCs w:val="18"/>
        </w:rPr>
        <w:footnoteRef/>
      </w:r>
      <w:r w:rsidRPr="00770C22">
        <w:rPr>
          <w:rFonts w:asciiTheme="minorBidi" w:hAnsiTheme="minorBidi" w:cstheme="minorBidi"/>
          <w:b/>
          <w:bCs/>
          <w:sz w:val="18"/>
          <w:szCs w:val="18"/>
        </w:rPr>
        <w:t>Source:</w:t>
      </w:r>
      <w:hyperlink r:id="rId2" w:history="1">
        <w:r w:rsidRPr="00770C22">
          <w:rPr>
            <w:rFonts w:asciiTheme="minorBidi" w:hAnsiTheme="minorBidi" w:cstheme="minorBidi"/>
            <w:b/>
            <w:bCs/>
            <w:sz w:val="18"/>
            <w:szCs w:val="18"/>
            <w:u w:val="single"/>
          </w:rPr>
          <w:t>https://unstats.un.org/sdgs/indicators/database</w:t>
        </w:r>
      </w:hyperlink>
    </w:p>
  </w:footnote>
  <w:footnote w:id="12">
    <w:p w14:paraId="33F3D5A3" w14:textId="77777777" w:rsidR="00BF33DF" w:rsidRPr="00F3507C" w:rsidRDefault="00BF33DF" w:rsidP="00F3507C">
      <w:pPr>
        <w:pStyle w:val="FootnoteText"/>
        <w:bidi w:val="0"/>
        <w:rPr>
          <w:rFonts w:asciiTheme="minorBidi" w:hAnsiTheme="minorBidi" w:cstheme="minorBidi"/>
          <w:b/>
          <w:bCs/>
          <w:sz w:val="18"/>
          <w:szCs w:val="18"/>
          <w:u w:val="single"/>
        </w:rPr>
      </w:pPr>
      <w:r w:rsidRPr="00770C22">
        <w:rPr>
          <w:rStyle w:val="FootnoteReference"/>
          <w:rFonts w:asciiTheme="minorBidi" w:hAnsiTheme="minorBidi" w:cstheme="minorBidi"/>
          <w:sz w:val="18"/>
          <w:szCs w:val="18"/>
        </w:rPr>
        <w:footnoteRef/>
      </w:r>
      <w:r w:rsidRPr="00770C22">
        <w:rPr>
          <w:rFonts w:asciiTheme="minorBidi" w:hAnsiTheme="minorBidi" w:cstheme="minorBidi"/>
          <w:b/>
          <w:bCs/>
          <w:sz w:val="18"/>
          <w:szCs w:val="18"/>
        </w:rPr>
        <w:t>Source:</w:t>
      </w:r>
      <w:hyperlink r:id="rId3" w:history="1">
        <w:r w:rsidRPr="00770C22">
          <w:rPr>
            <w:rFonts w:asciiTheme="minorBidi" w:hAnsiTheme="minorBidi" w:cstheme="minorBidi"/>
            <w:b/>
            <w:bCs/>
            <w:sz w:val="18"/>
            <w:szCs w:val="18"/>
            <w:u w:val="single"/>
          </w:rPr>
          <w:t>https://unstats.un.org/sdgs/indicators/database</w:t>
        </w:r>
      </w:hyperlink>
    </w:p>
  </w:footnote>
  <w:footnote w:id="13">
    <w:p w14:paraId="2C57A0CA" w14:textId="77777777" w:rsidR="00BF33DF" w:rsidRPr="00F3507C" w:rsidRDefault="00BF33DF" w:rsidP="00F3507C">
      <w:pPr>
        <w:pStyle w:val="FootnoteText"/>
        <w:bidi w:val="0"/>
        <w:rPr>
          <w:rFonts w:asciiTheme="minorBidi" w:hAnsiTheme="minorBidi" w:cstheme="minorBidi"/>
          <w:b/>
          <w:bCs/>
          <w:sz w:val="18"/>
          <w:szCs w:val="18"/>
        </w:rPr>
      </w:pPr>
      <w:r w:rsidRPr="00F3507C">
        <w:rPr>
          <w:rStyle w:val="FootnoteReference"/>
        </w:rPr>
        <w:footnoteRef/>
      </w:r>
      <w:r w:rsidRPr="00770C22">
        <w:rPr>
          <w:rFonts w:asciiTheme="minorBidi" w:hAnsiTheme="minorBidi" w:cstheme="minorBidi"/>
          <w:b/>
          <w:bCs/>
          <w:sz w:val="18"/>
          <w:szCs w:val="18"/>
        </w:rPr>
        <w:t>Source: National Disaster Risk Management Center, and https://unstats.un.org/sdgs/indicators/database</w:t>
      </w:r>
    </w:p>
  </w:footnote>
  <w:footnote w:id="14">
    <w:p w14:paraId="38C01F4E" w14:textId="77777777" w:rsidR="00BF33DF" w:rsidRPr="00770C22" w:rsidRDefault="00BF33DF" w:rsidP="00D23C01">
      <w:pPr>
        <w:pStyle w:val="FootnoteText"/>
        <w:bidi w:val="0"/>
        <w:rPr>
          <w:rFonts w:asciiTheme="minorBidi" w:hAnsiTheme="minorBidi" w:cstheme="minorBidi"/>
          <w:b/>
          <w:bCs/>
          <w:sz w:val="18"/>
          <w:szCs w:val="18"/>
        </w:rPr>
      </w:pPr>
      <w:r w:rsidRPr="00F3507C">
        <w:rPr>
          <w:rStyle w:val="FootnoteReference"/>
        </w:rPr>
        <w:footnoteRef/>
      </w:r>
      <w:r w:rsidRPr="00CF2A91">
        <w:rPr>
          <w:rFonts w:asciiTheme="minorBidi" w:hAnsiTheme="minorBidi" w:cstheme="minorBidi"/>
          <w:b/>
          <w:bCs/>
          <w:sz w:val="18"/>
          <w:szCs w:val="18"/>
        </w:rPr>
        <w:t>S</w:t>
      </w:r>
      <w:r w:rsidRPr="00770C22">
        <w:rPr>
          <w:rFonts w:asciiTheme="minorBidi" w:hAnsiTheme="minorBidi" w:cstheme="minorBidi"/>
          <w:b/>
          <w:bCs/>
          <w:sz w:val="18"/>
          <w:szCs w:val="18"/>
        </w:rPr>
        <w:t>ource: National Disaster Risk Management Center, and https://unstats.un.org/sdgs/indicators/database</w:t>
      </w:r>
    </w:p>
    <w:p w14:paraId="3D7DB679" w14:textId="77777777" w:rsidR="00BF33DF" w:rsidRPr="00966878" w:rsidRDefault="00BF33DF" w:rsidP="00D23C01">
      <w:pPr>
        <w:bidi w:val="0"/>
        <w:spacing w:after="0" w:line="240" w:lineRule="auto"/>
        <w:jc w:val="both"/>
        <w:rPr>
          <w:rFonts w:ascii="Times New Roman" w:hAnsi="Times New Roman" w:cs="Times New Roman"/>
          <w:bCs/>
          <w:iCs/>
          <w:color w:val="000000" w:themeColor="text1"/>
          <w:sz w:val="24"/>
          <w:szCs w:val="24"/>
          <w:rtl/>
        </w:rPr>
      </w:pPr>
    </w:p>
    <w:p w14:paraId="1ACE1035" w14:textId="77777777" w:rsidR="00BF33DF" w:rsidRDefault="00BF33DF" w:rsidP="00D23C01">
      <w:pPr>
        <w:pStyle w:val="FootnoteText"/>
        <w:bidi w:val="0"/>
      </w:pPr>
    </w:p>
  </w:footnote>
  <w:footnote w:id="15">
    <w:p w14:paraId="6E508955" w14:textId="77777777" w:rsidR="00BF33DF" w:rsidRPr="00D727C1" w:rsidRDefault="00BF33DF" w:rsidP="002E2D24">
      <w:pPr>
        <w:pStyle w:val="FootnoteText"/>
        <w:bidi w:val="0"/>
        <w:rPr>
          <w:rFonts w:ascii="Times New Roman" w:hAnsi="Times New Roman"/>
          <w:sz w:val="18"/>
          <w:szCs w:val="18"/>
        </w:rPr>
      </w:pPr>
      <w:r w:rsidRPr="006D0C5D">
        <w:rPr>
          <w:rStyle w:val="FootnoteReference"/>
          <w:rFonts w:ascii="Times New Roman" w:hAnsi="Times New Roman"/>
          <w:sz w:val="18"/>
          <w:szCs w:val="18"/>
        </w:rPr>
        <w:footnoteRef/>
      </w:r>
      <w:r w:rsidRPr="00D727C1">
        <w:rPr>
          <w:rFonts w:ascii="Times New Roman" w:hAnsi="Times New Roman"/>
          <w:b/>
          <w:bCs/>
          <w:color w:val="000000" w:themeColor="text1"/>
          <w:sz w:val="18"/>
          <w:szCs w:val="18"/>
        </w:rPr>
        <w:t xml:space="preserve">Source: National Disaster Risk Management Center, </w:t>
      </w:r>
      <w:r w:rsidRPr="00D727C1">
        <w:rPr>
          <w:rFonts w:ascii="Times New Roman" w:hAnsi="Times New Roman"/>
          <w:color w:val="000000" w:themeColor="text1"/>
          <w:sz w:val="18"/>
          <w:szCs w:val="18"/>
        </w:rPr>
        <w:t>2019.</w:t>
      </w:r>
    </w:p>
  </w:footnote>
  <w:footnote w:id="16">
    <w:p w14:paraId="22B1780B" w14:textId="77777777" w:rsidR="00BF33DF" w:rsidRPr="006D0C5D" w:rsidRDefault="00BF33DF" w:rsidP="002E2D24">
      <w:pPr>
        <w:pStyle w:val="FootnoteText"/>
        <w:bidi w:val="0"/>
        <w:rPr>
          <w:rFonts w:ascii="Times New Roman" w:hAnsi="Times New Roman"/>
          <w:sz w:val="18"/>
          <w:szCs w:val="18"/>
        </w:rPr>
      </w:pPr>
      <w:r w:rsidRPr="006D0C5D">
        <w:rPr>
          <w:rStyle w:val="FootnoteReference"/>
          <w:rFonts w:ascii="Times New Roman" w:hAnsi="Times New Roman"/>
          <w:sz w:val="18"/>
          <w:szCs w:val="18"/>
        </w:rPr>
        <w:footnoteRef/>
      </w:r>
      <w:r w:rsidRPr="006D0C5D">
        <w:rPr>
          <w:rFonts w:ascii="Times New Roman" w:hAnsi="Times New Roman"/>
          <w:b/>
          <w:bCs/>
          <w:sz w:val="18"/>
          <w:szCs w:val="18"/>
        </w:rPr>
        <w:t>Source: Palestinian Central Bureau of Statistics,</w:t>
      </w:r>
      <w:r w:rsidRPr="006D0C5D">
        <w:rPr>
          <w:rFonts w:ascii="Times New Roman" w:hAnsi="Times New Roman"/>
          <w:sz w:val="18"/>
          <w:szCs w:val="18"/>
        </w:rPr>
        <w:t xml:space="preserve"> Emissions to Air, 2007-2020.  Ramallah - Palestine.</w:t>
      </w:r>
    </w:p>
  </w:footnote>
  <w:footnote w:id="17">
    <w:p w14:paraId="0D5702B5" w14:textId="77777777" w:rsidR="00BF33DF" w:rsidRPr="00BE2EC0" w:rsidRDefault="00BF33DF" w:rsidP="002E2D24">
      <w:pPr>
        <w:pStyle w:val="FootnoteText"/>
        <w:bidi w:val="0"/>
        <w:rPr>
          <w:rFonts w:ascii="Times New Roman" w:hAnsi="Times New Roman"/>
          <w:b/>
          <w:bCs/>
          <w:color w:val="000000" w:themeColor="text1"/>
          <w:sz w:val="18"/>
          <w:szCs w:val="18"/>
        </w:rPr>
      </w:pPr>
      <w:r w:rsidRPr="006D0C5D">
        <w:rPr>
          <w:rStyle w:val="FootnoteReference"/>
          <w:rFonts w:ascii="Times New Roman" w:hAnsi="Times New Roman"/>
          <w:sz w:val="18"/>
          <w:szCs w:val="18"/>
        </w:rPr>
        <w:footnoteRef/>
      </w:r>
      <w:r w:rsidRPr="006D0C5D">
        <w:rPr>
          <w:rFonts w:ascii="Times New Roman" w:hAnsi="Times New Roman"/>
          <w:b/>
          <w:bCs/>
          <w:sz w:val="18"/>
          <w:szCs w:val="18"/>
        </w:rPr>
        <w:t>Source</w:t>
      </w:r>
      <w:r w:rsidRPr="006D0C5D">
        <w:rPr>
          <w:rFonts w:ascii="Times New Roman" w:hAnsi="Times New Roman"/>
          <w:sz w:val="18"/>
          <w:szCs w:val="18"/>
        </w:rPr>
        <w:t xml:space="preserve">: </w:t>
      </w:r>
      <w:hyperlink r:id="rId4" w:history="1">
        <w:r w:rsidRPr="00D727C1">
          <w:rPr>
            <w:rStyle w:val="Hyperlink"/>
            <w:rFonts w:ascii="Times New Roman" w:hAnsi="Times New Roman"/>
            <w:b/>
            <w:bCs/>
            <w:color w:val="000000" w:themeColor="text1"/>
            <w:sz w:val="18"/>
            <w:szCs w:val="18"/>
          </w:rPr>
          <w:t>https://unstats.un.org/sdgs/indicators/database</w:t>
        </w:r>
      </w:hyperlink>
    </w:p>
  </w:footnote>
  <w:footnote w:id="18">
    <w:p w14:paraId="5E0FA2E2" w14:textId="77777777" w:rsidR="00BF33DF" w:rsidRPr="003C23F5" w:rsidRDefault="00BF33DF" w:rsidP="00BD6E0B">
      <w:pPr>
        <w:pStyle w:val="FootnoteText"/>
        <w:bidi w:val="0"/>
        <w:rPr>
          <w:rFonts w:asciiTheme="minorBidi" w:hAnsiTheme="minorBidi" w:cstheme="minorBidi"/>
          <w:sz w:val="18"/>
          <w:szCs w:val="18"/>
        </w:rPr>
      </w:pPr>
      <w:r>
        <w:rPr>
          <w:rStyle w:val="FootnoteReference"/>
        </w:rPr>
        <w:footnoteRef/>
      </w:r>
      <w:r w:rsidRPr="003C23F5">
        <w:rPr>
          <w:rFonts w:asciiTheme="minorBidi" w:hAnsiTheme="minorBidi" w:cstheme="minorBidi"/>
          <w:b/>
          <w:bCs/>
          <w:sz w:val="18"/>
          <w:szCs w:val="18"/>
        </w:rPr>
        <w:t>Source: Palestinian Central Bureau of Statistics,</w:t>
      </w:r>
      <w:r w:rsidRPr="003C23F5">
        <w:rPr>
          <w:rFonts w:asciiTheme="minorBidi" w:hAnsiTheme="minorBidi" w:cstheme="minorBidi"/>
          <w:sz w:val="18"/>
          <w:szCs w:val="18"/>
        </w:rPr>
        <w:t xml:space="preserve"> Survey on Measuring the Utilization of Statistics in Policy Making in  Private Sector in Palestine Database, 2019</w:t>
      </w:r>
      <w:r>
        <w:rPr>
          <w:rFonts w:asciiTheme="minorBidi" w:hAnsiTheme="minorBidi" w:cstheme="minorBidi"/>
          <w:sz w:val="18"/>
          <w:szCs w:val="18"/>
        </w:rPr>
        <w:t>. Ramallah – Palestine.</w:t>
      </w:r>
    </w:p>
  </w:footnote>
  <w:footnote w:id="19">
    <w:p w14:paraId="18E89CBC" w14:textId="77777777" w:rsidR="00BF33DF" w:rsidRPr="00BE2EC0" w:rsidRDefault="00BF33DF" w:rsidP="00DA4191">
      <w:pPr>
        <w:pStyle w:val="FootnoteText"/>
        <w:bidi w:val="0"/>
        <w:rPr>
          <w:rFonts w:ascii="Times New Roman" w:hAnsi="Times New Roman"/>
          <w:sz w:val="18"/>
          <w:szCs w:val="18"/>
        </w:rPr>
      </w:pPr>
      <w:r w:rsidRPr="00BE2EC0">
        <w:rPr>
          <w:rStyle w:val="FootnoteReference"/>
          <w:rFonts w:ascii="Times New Roman" w:hAnsi="Times New Roman"/>
          <w:b/>
          <w:bCs/>
          <w:sz w:val="18"/>
          <w:szCs w:val="18"/>
        </w:rPr>
        <w:footnoteRef/>
      </w:r>
      <w:r w:rsidRPr="00BE2EC0">
        <w:rPr>
          <w:rFonts w:ascii="Times New Roman" w:hAnsi="Times New Roman"/>
          <w:b/>
          <w:bCs/>
          <w:sz w:val="18"/>
          <w:szCs w:val="18"/>
        </w:rPr>
        <w:t>Source: Population Register 2020</w:t>
      </w:r>
      <w:r w:rsidRPr="00BE2EC0">
        <w:rPr>
          <w:rFonts w:ascii="Times New Roman" w:hAnsi="Times New Roman"/>
          <w:sz w:val="18"/>
          <w:szCs w:val="18"/>
        </w:rPr>
        <w:t>, Evaluation of Registered birth and death. Ramallah- Palestine.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8C562E" w14:textId="77777777" w:rsidR="00BF33DF" w:rsidRDefault="00BF33D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82282C" w14:textId="77777777" w:rsidR="00BF33DF" w:rsidRPr="00C75136" w:rsidRDefault="00BF33DF" w:rsidP="001F12C6">
    <w:pPr>
      <w:pStyle w:val="Header"/>
      <w:bidi w:val="0"/>
      <w:rPr>
        <w:rFonts w:ascii="Times New Roman" w:hAnsi="Times New Roman" w:cs="Times New Roman"/>
        <w:sz w:val="16"/>
        <w:szCs w:val="16"/>
      </w:rPr>
    </w:pPr>
    <w:r w:rsidRPr="00C75136">
      <w:rPr>
        <w:rFonts w:ascii="Times New Roman" w:hAnsi="Times New Roman" w:cs="Times New Roman"/>
        <w:sz w:val="16"/>
        <w:szCs w:val="16"/>
      </w:rPr>
      <w:t>PCBS: Sustainable Development Goals Statistical Report, 202</w:t>
    </w:r>
    <w:r>
      <w:rPr>
        <w:rFonts w:ascii="Times New Roman" w:hAnsi="Times New Roman" w:cs="Times New Roman"/>
        <w:sz w:val="16"/>
        <w:szCs w:val="16"/>
      </w:rPr>
      <w:t>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56884"/>
    <w:multiLevelType w:val="hybridMultilevel"/>
    <w:tmpl w:val="FB6E2D7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BE7099"/>
    <w:multiLevelType w:val="hybridMultilevel"/>
    <w:tmpl w:val="384E954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46522C"/>
    <w:multiLevelType w:val="multilevel"/>
    <w:tmpl w:val="2E668D4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B962165"/>
    <w:multiLevelType w:val="hybridMultilevel"/>
    <w:tmpl w:val="CB74CD0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1859F2"/>
    <w:multiLevelType w:val="hybridMultilevel"/>
    <w:tmpl w:val="FD1CCFE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0C7F5C"/>
    <w:multiLevelType w:val="hybridMultilevel"/>
    <w:tmpl w:val="39CC956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A5758E"/>
    <w:multiLevelType w:val="hybridMultilevel"/>
    <w:tmpl w:val="6AFA505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3A45F9"/>
    <w:multiLevelType w:val="hybridMultilevel"/>
    <w:tmpl w:val="C94631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216AC8"/>
    <w:multiLevelType w:val="hybridMultilevel"/>
    <w:tmpl w:val="F8965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505C2A"/>
    <w:multiLevelType w:val="hybridMultilevel"/>
    <w:tmpl w:val="A7E2286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232CC6"/>
    <w:multiLevelType w:val="hybridMultilevel"/>
    <w:tmpl w:val="B7BE6F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6B4A4A"/>
    <w:multiLevelType w:val="hybridMultilevel"/>
    <w:tmpl w:val="3E4066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EC14B0"/>
    <w:multiLevelType w:val="hybridMultilevel"/>
    <w:tmpl w:val="64C694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4" w15:restartNumberingAfterBreak="0">
    <w:nsid w:val="3EFA2DFF"/>
    <w:multiLevelType w:val="hybridMultilevel"/>
    <w:tmpl w:val="958EF5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EFA4160"/>
    <w:multiLevelType w:val="hybridMultilevel"/>
    <w:tmpl w:val="B0C6156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5327C4"/>
    <w:multiLevelType w:val="hybridMultilevel"/>
    <w:tmpl w:val="E5F8EF80"/>
    <w:lvl w:ilvl="0" w:tplc="999A1F3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BC9115E"/>
    <w:multiLevelType w:val="hybridMultilevel"/>
    <w:tmpl w:val="AD980D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BD56142"/>
    <w:multiLevelType w:val="hybridMultilevel"/>
    <w:tmpl w:val="B2E0E84C"/>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9" w15:restartNumberingAfterBreak="0">
    <w:nsid w:val="4C552BBD"/>
    <w:multiLevelType w:val="hybridMultilevel"/>
    <w:tmpl w:val="5F0CAAC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361AE6"/>
    <w:multiLevelType w:val="hybridMultilevel"/>
    <w:tmpl w:val="22D6D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91F3725"/>
    <w:multiLevelType w:val="hybridMultilevel"/>
    <w:tmpl w:val="06BEE4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CC5990"/>
    <w:multiLevelType w:val="hybridMultilevel"/>
    <w:tmpl w:val="6548F91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100635B"/>
    <w:multiLevelType w:val="multilevel"/>
    <w:tmpl w:val="EC1A54A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1BF6ECE"/>
    <w:multiLevelType w:val="hybridMultilevel"/>
    <w:tmpl w:val="75C68C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D3653F1"/>
    <w:multiLevelType w:val="hybridMultilevel"/>
    <w:tmpl w:val="4D6EEFA4"/>
    <w:lvl w:ilvl="0" w:tplc="04090001">
      <w:start w:val="1"/>
      <w:numFmt w:val="bullet"/>
      <w:lvlText w:val=""/>
      <w:lvlJc w:val="left"/>
      <w:pPr>
        <w:tabs>
          <w:tab w:val="num" w:pos="1440"/>
        </w:tabs>
        <w:ind w:left="1440" w:right="144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num w:numId="1">
    <w:abstractNumId w:val="13"/>
  </w:num>
  <w:num w:numId="2">
    <w:abstractNumId w:val="8"/>
  </w:num>
  <w:num w:numId="3">
    <w:abstractNumId w:val="10"/>
  </w:num>
  <w:num w:numId="4">
    <w:abstractNumId w:val="20"/>
  </w:num>
  <w:num w:numId="5">
    <w:abstractNumId w:val="23"/>
  </w:num>
  <w:num w:numId="6">
    <w:abstractNumId w:val="2"/>
  </w:num>
  <w:num w:numId="7">
    <w:abstractNumId w:val="0"/>
  </w:num>
  <w:num w:numId="8">
    <w:abstractNumId w:val="17"/>
  </w:num>
  <w:num w:numId="9">
    <w:abstractNumId w:val="3"/>
  </w:num>
  <w:num w:numId="10">
    <w:abstractNumId w:val="1"/>
  </w:num>
  <w:num w:numId="11">
    <w:abstractNumId w:val="12"/>
  </w:num>
  <w:num w:numId="12">
    <w:abstractNumId w:val="4"/>
  </w:num>
  <w:num w:numId="13">
    <w:abstractNumId w:val="7"/>
  </w:num>
  <w:num w:numId="14">
    <w:abstractNumId w:val="15"/>
  </w:num>
  <w:num w:numId="15">
    <w:abstractNumId w:val="22"/>
  </w:num>
  <w:num w:numId="16">
    <w:abstractNumId w:val="19"/>
  </w:num>
  <w:num w:numId="17">
    <w:abstractNumId w:val="21"/>
  </w:num>
  <w:num w:numId="18">
    <w:abstractNumId w:val="5"/>
  </w:num>
  <w:num w:numId="19">
    <w:abstractNumId w:val="24"/>
  </w:num>
  <w:num w:numId="20">
    <w:abstractNumId w:val="9"/>
  </w:num>
  <w:num w:numId="21">
    <w:abstractNumId w:val="11"/>
  </w:num>
  <w:num w:numId="22">
    <w:abstractNumId w:val="6"/>
  </w:num>
  <w:num w:numId="23">
    <w:abstractNumId w:val="16"/>
  </w:num>
  <w:num w:numId="24">
    <w:abstractNumId w:val="14"/>
  </w:num>
  <w:num w:numId="25">
    <w:abstractNumId w:val="18"/>
  </w:num>
  <w:num w:numId="26">
    <w:abstractNumId w:val="2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activeWritingStyle w:appName="MSWord" w:lang="en-US" w:vendorID="64" w:dllVersion="6" w:nlCheck="1" w:checkStyle="0"/>
  <w:activeWritingStyle w:appName="MSWord" w:lang="en-GB" w:vendorID="64" w:dllVersion="6" w:nlCheck="1" w:checkStyle="0"/>
  <w:activeWritingStyle w:appName="MSWord" w:lang="it-IT" w:vendorID="64" w:dllVersion="6" w:nlCheck="1" w:checkStyle="0"/>
  <w:activeWritingStyle w:appName="MSWord" w:lang="fr-FR" w:vendorID="64" w:dllVersion="6" w:nlCheck="1" w:checkStyle="0"/>
  <w:activeWritingStyle w:appName="MSWord" w:lang="ar-SA" w:vendorID="64" w:dllVersion="6" w:nlCheck="1" w:checkStyle="0"/>
  <w:activeWritingStyle w:appName="MSWord" w:lang="ar-JO" w:vendorID="64" w:dllVersion="6" w:nlCheck="1" w:checkStyle="0"/>
  <w:activeWritingStyle w:appName="MSWord" w:lang="en-US" w:vendorID="64" w:dllVersion="4096" w:nlCheck="1" w:checkStyle="0"/>
  <w:activeWritingStyle w:appName="MSWord" w:lang="ar-SA" w:vendorID="64" w:dllVersion="4096" w:nlCheck="1" w:checkStyle="0"/>
  <w:activeWritingStyle w:appName="MSWord" w:lang="en-GB" w:vendorID="64" w:dllVersion="4096" w:nlCheck="1" w:checkStyle="0"/>
  <w:activeWritingStyle w:appName="MSWord" w:lang="ar-JO" w:vendorID="64" w:dllVersion="4096" w:nlCheck="1" w:checkStyle="0"/>
  <w:activeWritingStyle w:appName="MSWord" w:lang="en-US" w:vendorID="64" w:dllVersion="131078" w:nlCheck="1" w:checkStyle="1"/>
  <w:activeWritingStyle w:appName="MSWord" w:lang="it-IT" w:vendorID="64" w:dllVersion="131078" w:nlCheck="1" w:checkStyle="0"/>
  <w:activeWritingStyle w:appName="MSWord" w:lang="ar-SA" w:vendorID="64" w:dllVersion="131078" w:nlCheck="1" w:checkStyle="0"/>
  <w:activeWritingStyle w:appName="MSWord" w:lang="en-GB" w:vendorID="64" w:dllVersion="131078" w:nlCheck="1" w:checkStyle="1"/>
  <w:activeWritingStyle w:appName="MSWord" w:lang="ar-JO" w:vendorID="64" w:dllVersion="131078" w:nlCheck="1" w:checkStyle="0"/>
  <w:defaultTabStop w:val="720"/>
  <w:hyphenationZone w:val="283"/>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0D4A"/>
    <w:rsid w:val="00001A4E"/>
    <w:rsid w:val="0000294B"/>
    <w:rsid w:val="000036AB"/>
    <w:rsid w:val="00003AE1"/>
    <w:rsid w:val="0000487F"/>
    <w:rsid w:val="00006974"/>
    <w:rsid w:val="00006D14"/>
    <w:rsid w:val="00012203"/>
    <w:rsid w:val="000125E6"/>
    <w:rsid w:val="00013557"/>
    <w:rsid w:val="0001376A"/>
    <w:rsid w:val="000147B3"/>
    <w:rsid w:val="00014CCC"/>
    <w:rsid w:val="00015235"/>
    <w:rsid w:val="00015608"/>
    <w:rsid w:val="00016156"/>
    <w:rsid w:val="00017166"/>
    <w:rsid w:val="0001798F"/>
    <w:rsid w:val="000179B6"/>
    <w:rsid w:val="00020043"/>
    <w:rsid w:val="000206B8"/>
    <w:rsid w:val="00020ABF"/>
    <w:rsid w:val="00020C33"/>
    <w:rsid w:val="0002157E"/>
    <w:rsid w:val="00022A37"/>
    <w:rsid w:val="00022CF1"/>
    <w:rsid w:val="00022E3A"/>
    <w:rsid w:val="00023D91"/>
    <w:rsid w:val="00025BA6"/>
    <w:rsid w:val="00025C43"/>
    <w:rsid w:val="00026C17"/>
    <w:rsid w:val="00026C5D"/>
    <w:rsid w:val="00026CC3"/>
    <w:rsid w:val="000278A3"/>
    <w:rsid w:val="00027D0F"/>
    <w:rsid w:val="0003029A"/>
    <w:rsid w:val="00030CF7"/>
    <w:rsid w:val="000317D8"/>
    <w:rsid w:val="00032160"/>
    <w:rsid w:val="000328AF"/>
    <w:rsid w:val="00032CAE"/>
    <w:rsid w:val="000330E4"/>
    <w:rsid w:val="00035C48"/>
    <w:rsid w:val="00040AAF"/>
    <w:rsid w:val="00040AF9"/>
    <w:rsid w:val="00040FC6"/>
    <w:rsid w:val="00042030"/>
    <w:rsid w:val="000420C5"/>
    <w:rsid w:val="00042A63"/>
    <w:rsid w:val="00043123"/>
    <w:rsid w:val="00044874"/>
    <w:rsid w:val="00044C50"/>
    <w:rsid w:val="0004779D"/>
    <w:rsid w:val="0005022C"/>
    <w:rsid w:val="00050BCB"/>
    <w:rsid w:val="0005411B"/>
    <w:rsid w:val="0005416B"/>
    <w:rsid w:val="00054DBC"/>
    <w:rsid w:val="00055858"/>
    <w:rsid w:val="00055BF1"/>
    <w:rsid w:val="0005732A"/>
    <w:rsid w:val="00057AB1"/>
    <w:rsid w:val="000601BB"/>
    <w:rsid w:val="00060466"/>
    <w:rsid w:val="00060570"/>
    <w:rsid w:val="000605BD"/>
    <w:rsid w:val="000605CB"/>
    <w:rsid w:val="00060CF1"/>
    <w:rsid w:val="00062CE8"/>
    <w:rsid w:val="0006431B"/>
    <w:rsid w:val="00065331"/>
    <w:rsid w:val="000670BA"/>
    <w:rsid w:val="00067EDD"/>
    <w:rsid w:val="0007082E"/>
    <w:rsid w:val="00071697"/>
    <w:rsid w:val="0007377D"/>
    <w:rsid w:val="000751D8"/>
    <w:rsid w:val="00075273"/>
    <w:rsid w:val="00076B20"/>
    <w:rsid w:val="000772A2"/>
    <w:rsid w:val="0007799E"/>
    <w:rsid w:val="00077F49"/>
    <w:rsid w:val="00080517"/>
    <w:rsid w:val="000806AC"/>
    <w:rsid w:val="000808F1"/>
    <w:rsid w:val="00080BC3"/>
    <w:rsid w:val="00080ED1"/>
    <w:rsid w:val="00080FA7"/>
    <w:rsid w:val="00081E9E"/>
    <w:rsid w:val="00084415"/>
    <w:rsid w:val="0008597D"/>
    <w:rsid w:val="00085B02"/>
    <w:rsid w:val="00086577"/>
    <w:rsid w:val="00087C99"/>
    <w:rsid w:val="00094847"/>
    <w:rsid w:val="00094880"/>
    <w:rsid w:val="00094D7E"/>
    <w:rsid w:val="00095785"/>
    <w:rsid w:val="00095BE7"/>
    <w:rsid w:val="0009735B"/>
    <w:rsid w:val="000A0096"/>
    <w:rsid w:val="000A0DBF"/>
    <w:rsid w:val="000A2501"/>
    <w:rsid w:val="000A290A"/>
    <w:rsid w:val="000A3055"/>
    <w:rsid w:val="000A3092"/>
    <w:rsid w:val="000A5B8F"/>
    <w:rsid w:val="000A62BB"/>
    <w:rsid w:val="000A67B7"/>
    <w:rsid w:val="000A7242"/>
    <w:rsid w:val="000A749B"/>
    <w:rsid w:val="000A7828"/>
    <w:rsid w:val="000A7BE0"/>
    <w:rsid w:val="000A7DC8"/>
    <w:rsid w:val="000B0E96"/>
    <w:rsid w:val="000B1B5F"/>
    <w:rsid w:val="000B26C0"/>
    <w:rsid w:val="000B381B"/>
    <w:rsid w:val="000B4301"/>
    <w:rsid w:val="000B4462"/>
    <w:rsid w:val="000B4D42"/>
    <w:rsid w:val="000B4F5C"/>
    <w:rsid w:val="000B58CE"/>
    <w:rsid w:val="000B6543"/>
    <w:rsid w:val="000B6987"/>
    <w:rsid w:val="000B7CBF"/>
    <w:rsid w:val="000B7E81"/>
    <w:rsid w:val="000C23C6"/>
    <w:rsid w:val="000C2FB0"/>
    <w:rsid w:val="000C41A0"/>
    <w:rsid w:val="000C43F6"/>
    <w:rsid w:val="000C491C"/>
    <w:rsid w:val="000C5AD7"/>
    <w:rsid w:val="000C5F7E"/>
    <w:rsid w:val="000C629F"/>
    <w:rsid w:val="000C6667"/>
    <w:rsid w:val="000D0596"/>
    <w:rsid w:val="000D2E4D"/>
    <w:rsid w:val="000D4DA9"/>
    <w:rsid w:val="000D6227"/>
    <w:rsid w:val="000E05F7"/>
    <w:rsid w:val="000E1A51"/>
    <w:rsid w:val="000E2938"/>
    <w:rsid w:val="000E4FC3"/>
    <w:rsid w:val="000E4FCB"/>
    <w:rsid w:val="000E586C"/>
    <w:rsid w:val="000E7EC4"/>
    <w:rsid w:val="000F1C53"/>
    <w:rsid w:val="000F1F6A"/>
    <w:rsid w:val="000F58D1"/>
    <w:rsid w:val="000F5A31"/>
    <w:rsid w:val="000F5C79"/>
    <w:rsid w:val="000F6A10"/>
    <w:rsid w:val="000F757A"/>
    <w:rsid w:val="001002AA"/>
    <w:rsid w:val="00100D38"/>
    <w:rsid w:val="00104314"/>
    <w:rsid w:val="0010486A"/>
    <w:rsid w:val="00107CD7"/>
    <w:rsid w:val="00107F8C"/>
    <w:rsid w:val="001100C8"/>
    <w:rsid w:val="001101F1"/>
    <w:rsid w:val="001109B8"/>
    <w:rsid w:val="00110E59"/>
    <w:rsid w:val="00111196"/>
    <w:rsid w:val="001117C4"/>
    <w:rsid w:val="00111EFC"/>
    <w:rsid w:val="00112742"/>
    <w:rsid w:val="001128C3"/>
    <w:rsid w:val="00112EC8"/>
    <w:rsid w:val="00112F8C"/>
    <w:rsid w:val="00115F7C"/>
    <w:rsid w:val="00116A65"/>
    <w:rsid w:val="00117109"/>
    <w:rsid w:val="00120082"/>
    <w:rsid w:val="00120C51"/>
    <w:rsid w:val="00121531"/>
    <w:rsid w:val="00121B1B"/>
    <w:rsid w:val="00121BC4"/>
    <w:rsid w:val="00123807"/>
    <w:rsid w:val="00123A09"/>
    <w:rsid w:val="0012596A"/>
    <w:rsid w:val="00125A4E"/>
    <w:rsid w:val="00125ED3"/>
    <w:rsid w:val="00126C96"/>
    <w:rsid w:val="001320A0"/>
    <w:rsid w:val="0013507E"/>
    <w:rsid w:val="00135548"/>
    <w:rsid w:val="0013555B"/>
    <w:rsid w:val="00135E7C"/>
    <w:rsid w:val="00137121"/>
    <w:rsid w:val="00137B6D"/>
    <w:rsid w:val="00137EBE"/>
    <w:rsid w:val="001401A9"/>
    <w:rsid w:val="00140FF3"/>
    <w:rsid w:val="00141C90"/>
    <w:rsid w:val="00142027"/>
    <w:rsid w:val="00142B44"/>
    <w:rsid w:val="00143016"/>
    <w:rsid w:val="0014336C"/>
    <w:rsid w:val="00144587"/>
    <w:rsid w:val="00144912"/>
    <w:rsid w:val="0014752A"/>
    <w:rsid w:val="00150714"/>
    <w:rsid w:val="00150D96"/>
    <w:rsid w:val="001510B7"/>
    <w:rsid w:val="001516CD"/>
    <w:rsid w:val="001522C0"/>
    <w:rsid w:val="00152A91"/>
    <w:rsid w:val="00153439"/>
    <w:rsid w:val="00154DC0"/>
    <w:rsid w:val="001550F6"/>
    <w:rsid w:val="00156740"/>
    <w:rsid w:val="00156828"/>
    <w:rsid w:val="00156F68"/>
    <w:rsid w:val="001575ED"/>
    <w:rsid w:val="001579EF"/>
    <w:rsid w:val="00161CCC"/>
    <w:rsid w:val="00161F1E"/>
    <w:rsid w:val="00162CAE"/>
    <w:rsid w:val="001637EB"/>
    <w:rsid w:val="00163F55"/>
    <w:rsid w:val="00165A9F"/>
    <w:rsid w:val="0016618C"/>
    <w:rsid w:val="001669AA"/>
    <w:rsid w:val="001669CF"/>
    <w:rsid w:val="00166AE5"/>
    <w:rsid w:val="001715BA"/>
    <w:rsid w:val="001732FB"/>
    <w:rsid w:val="001737A7"/>
    <w:rsid w:val="00174118"/>
    <w:rsid w:val="0017724C"/>
    <w:rsid w:val="00177551"/>
    <w:rsid w:val="00181458"/>
    <w:rsid w:val="00182083"/>
    <w:rsid w:val="001831B7"/>
    <w:rsid w:val="00183942"/>
    <w:rsid w:val="00183C04"/>
    <w:rsid w:val="00183E1B"/>
    <w:rsid w:val="0018402D"/>
    <w:rsid w:val="00184138"/>
    <w:rsid w:val="0018438E"/>
    <w:rsid w:val="0018448D"/>
    <w:rsid w:val="00184EED"/>
    <w:rsid w:val="0018618D"/>
    <w:rsid w:val="00186AAC"/>
    <w:rsid w:val="00186D60"/>
    <w:rsid w:val="00187E25"/>
    <w:rsid w:val="00187E7B"/>
    <w:rsid w:val="001904CD"/>
    <w:rsid w:val="00190903"/>
    <w:rsid w:val="00190C9F"/>
    <w:rsid w:val="00191B72"/>
    <w:rsid w:val="001922BF"/>
    <w:rsid w:val="00192EAC"/>
    <w:rsid w:val="0019400D"/>
    <w:rsid w:val="00194950"/>
    <w:rsid w:val="00195923"/>
    <w:rsid w:val="00195DAC"/>
    <w:rsid w:val="00196992"/>
    <w:rsid w:val="001A12BF"/>
    <w:rsid w:val="001A1AB7"/>
    <w:rsid w:val="001A24A2"/>
    <w:rsid w:val="001A3F73"/>
    <w:rsid w:val="001A4D2D"/>
    <w:rsid w:val="001A5F28"/>
    <w:rsid w:val="001A6203"/>
    <w:rsid w:val="001B16BE"/>
    <w:rsid w:val="001B5184"/>
    <w:rsid w:val="001B6E06"/>
    <w:rsid w:val="001B763E"/>
    <w:rsid w:val="001B7761"/>
    <w:rsid w:val="001C2A06"/>
    <w:rsid w:val="001C416F"/>
    <w:rsid w:val="001C45B5"/>
    <w:rsid w:val="001C4AEA"/>
    <w:rsid w:val="001C4BB9"/>
    <w:rsid w:val="001C54C4"/>
    <w:rsid w:val="001C6ED7"/>
    <w:rsid w:val="001C71BE"/>
    <w:rsid w:val="001D11FE"/>
    <w:rsid w:val="001D18DF"/>
    <w:rsid w:val="001D2257"/>
    <w:rsid w:val="001D2713"/>
    <w:rsid w:val="001D4FD0"/>
    <w:rsid w:val="001D59E9"/>
    <w:rsid w:val="001D5BA6"/>
    <w:rsid w:val="001D6433"/>
    <w:rsid w:val="001D7158"/>
    <w:rsid w:val="001D7C34"/>
    <w:rsid w:val="001D7ED4"/>
    <w:rsid w:val="001E00A5"/>
    <w:rsid w:val="001E0430"/>
    <w:rsid w:val="001E25BD"/>
    <w:rsid w:val="001E367F"/>
    <w:rsid w:val="001E51EA"/>
    <w:rsid w:val="001E56AC"/>
    <w:rsid w:val="001E5B24"/>
    <w:rsid w:val="001E6942"/>
    <w:rsid w:val="001E6BDD"/>
    <w:rsid w:val="001E6F5E"/>
    <w:rsid w:val="001E7709"/>
    <w:rsid w:val="001F04A4"/>
    <w:rsid w:val="001F12C6"/>
    <w:rsid w:val="001F18FB"/>
    <w:rsid w:val="001F478A"/>
    <w:rsid w:val="001F4CA7"/>
    <w:rsid w:val="001F4E2C"/>
    <w:rsid w:val="001F5013"/>
    <w:rsid w:val="001F5136"/>
    <w:rsid w:val="001F6221"/>
    <w:rsid w:val="001F6FBA"/>
    <w:rsid w:val="00200FC0"/>
    <w:rsid w:val="00204416"/>
    <w:rsid w:val="00206211"/>
    <w:rsid w:val="0020697D"/>
    <w:rsid w:val="00206B85"/>
    <w:rsid w:val="00206C6A"/>
    <w:rsid w:val="0020799B"/>
    <w:rsid w:val="002104C3"/>
    <w:rsid w:val="00210621"/>
    <w:rsid w:val="00211498"/>
    <w:rsid w:val="002114F4"/>
    <w:rsid w:val="00211970"/>
    <w:rsid w:val="00213202"/>
    <w:rsid w:val="002133F2"/>
    <w:rsid w:val="00213C6F"/>
    <w:rsid w:val="00214D6C"/>
    <w:rsid w:val="00215AD5"/>
    <w:rsid w:val="00215CB8"/>
    <w:rsid w:val="0021666A"/>
    <w:rsid w:val="00216ABF"/>
    <w:rsid w:val="002179E8"/>
    <w:rsid w:val="002200C7"/>
    <w:rsid w:val="00220FF6"/>
    <w:rsid w:val="0022192B"/>
    <w:rsid w:val="002225A8"/>
    <w:rsid w:val="002225EC"/>
    <w:rsid w:val="00222FE9"/>
    <w:rsid w:val="00223519"/>
    <w:rsid w:val="00224271"/>
    <w:rsid w:val="0022576A"/>
    <w:rsid w:val="002273D4"/>
    <w:rsid w:val="0023054E"/>
    <w:rsid w:val="00232429"/>
    <w:rsid w:val="00232CBA"/>
    <w:rsid w:val="00235105"/>
    <w:rsid w:val="00235995"/>
    <w:rsid w:val="002370E7"/>
    <w:rsid w:val="002409AA"/>
    <w:rsid w:val="00240DF3"/>
    <w:rsid w:val="00241010"/>
    <w:rsid w:val="002420DB"/>
    <w:rsid w:val="0024244D"/>
    <w:rsid w:val="00246435"/>
    <w:rsid w:val="00251343"/>
    <w:rsid w:val="00251644"/>
    <w:rsid w:val="002521CA"/>
    <w:rsid w:val="00252306"/>
    <w:rsid w:val="00252610"/>
    <w:rsid w:val="00252D82"/>
    <w:rsid w:val="002538A0"/>
    <w:rsid w:val="002550E6"/>
    <w:rsid w:val="0025598C"/>
    <w:rsid w:val="00256811"/>
    <w:rsid w:val="00256CAA"/>
    <w:rsid w:val="00260A4B"/>
    <w:rsid w:val="002626C2"/>
    <w:rsid w:val="0026363C"/>
    <w:rsid w:val="00266B86"/>
    <w:rsid w:val="00267BC4"/>
    <w:rsid w:val="0027016B"/>
    <w:rsid w:val="0027081C"/>
    <w:rsid w:val="00270FD1"/>
    <w:rsid w:val="00271A9A"/>
    <w:rsid w:val="00271F8E"/>
    <w:rsid w:val="00272204"/>
    <w:rsid w:val="002745E5"/>
    <w:rsid w:val="0027504E"/>
    <w:rsid w:val="00275235"/>
    <w:rsid w:val="00275DB0"/>
    <w:rsid w:val="0027635D"/>
    <w:rsid w:val="00276BBF"/>
    <w:rsid w:val="00277772"/>
    <w:rsid w:val="00280FBD"/>
    <w:rsid w:val="00281717"/>
    <w:rsid w:val="00282A19"/>
    <w:rsid w:val="002833DA"/>
    <w:rsid w:val="00283A6F"/>
    <w:rsid w:val="00283F4C"/>
    <w:rsid w:val="00284152"/>
    <w:rsid w:val="002848BB"/>
    <w:rsid w:val="002862AB"/>
    <w:rsid w:val="00290E60"/>
    <w:rsid w:val="002910F2"/>
    <w:rsid w:val="002911F3"/>
    <w:rsid w:val="00292B8E"/>
    <w:rsid w:val="0029489D"/>
    <w:rsid w:val="00295D18"/>
    <w:rsid w:val="00296E77"/>
    <w:rsid w:val="002973D7"/>
    <w:rsid w:val="00297A26"/>
    <w:rsid w:val="002A008C"/>
    <w:rsid w:val="002A0674"/>
    <w:rsid w:val="002A084C"/>
    <w:rsid w:val="002A1D30"/>
    <w:rsid w:val="002A2154"/>
    <w:rsid w:val="002A271D"/>
    <w:rsid w:val="002A2CB1"/>
    <w:rsid w:val="002A393A"/>
    <w:rsid w:val="002A4D49"/>
    <w:rsid w:val="002A563F"/>
    <w:rsid w:val="002A691B"/>
    <w:rsid w:val="002A6DFF"/>
    <w:rsid w:val="002B01C3"/>
    <w:rsid w:val="002B0601"/>
    <w:rsid w:val="002B24FE"/>
    <w:rsid w:val="002B58D8"/>
    <w:rsid w:val="002B58FA"/>
    <w:rsid w:val="002C08B6"/>
    <w:rsid w:val="002C0F0F"/>
    <w:rsid w:val="002C2204"/>
    <w:rsid w:val="002C23BC"/>
    <w:rsid w:val="002C2444"/>
    <w:rsid w:val="002C3FB9"/>
    <w:rsid w:val="002C430E"/>
    <w:rsid w:val="002C448A"/>
    <w:rsid w:val="002C5692"/>
    <w:rsid w:val="002C5E38"/>
    <w:rsid w:val="002D0FED"/>
    <w:rsid w:val="002D29E1"/>
    <w:rsid w:val="002D2CED"/>
    <w:rsid w:val="002D3531"/>
    <w:rsid w:val="002D4A79"/>
    <w:rsid w:val="002D5C33"/>
    <w:rsid w:val="002D603C"/>
    <w:rsid w:val="002D609A"/>
    <w:rsid w:val="002E154D"/>
    <w:rsid w:val="002E15D0"/>
    <w:rsid w:val="002E2175"/>
    <w:rsid w:val="002E2D24"/>
    <w:rsid w:val="002E739D"/>
    <w:rsid w:val="002E7EC3"/>
    <w:rsid w:val="002F0A63"/>
    <w:rsid w:val="002F12F6"/>
    <w:rsid w:val="002F1771"/>
    <w:rsid w:val="002F1873"/>
    <w:rsid w:val="002F1F53"/>
    <w:rsid w:val="002F2655"/>
    <w:rsid w:val="002F3E1D"/>
    <w:rsid w:val="002F4071"/>
    <w:rsid w:val="002F416D"/>
    <w:rsid w:val="002F4A12"/>
    <w:rsid w:val="002F5480"/>
    <w:rsid w:val="002F5DAD"/>
    <w:rsid w:val="002F67E5"/>
    <w:rsid w:val="002F6EAE"/>
    <w:rsid w:val="0030128F"/>
    <w:rsid w:val="00301ABE"/>
    <w:rsid w:val="003023A3"/>
    <w:rsid w:val="00304E2A"/>
    <w:rsid w:val="003053BA"/>
    <w:rsid w:val="003054CE"/>
    <w:rsid w:val="00305B56"/>
    <w:rsid w:val="00305E31"/>
    <w:rsid w:val="00306368"/>
    <w:rsid w:val="0030676B"/>
    <w:rsid w:val="00307988"/>
    <w:rsid w:val="00307F29"/>
    <w:rsid w:val="00310872"/>
    <w:rsid w:val="0031185D"/>
    <w:rsid w:val="00311D55"/>
    <w:rsid w:val="00312752"/>
    <w:rsid w:val="00313594"/>
    <w:rsid w:val="00313D1F"/>
    <w:rsid w:val="00314309"/>
    <w:rsid w:val="003144D9"/>
    <w:rsid w:val="0031564C"/>
    <w:rsid w:val="003158CD"/>
    <w:rsid w:val="0032021F"/>
    <w:rsid w:val="00320733"/>
    <w:rsid w:val="00320F70"/>
    <w:rsid w:val="00321776"/>
    <w:rsid w:val="00321834"/>
    <w:rsid w:val="003220AE"/>
    <w:rsid w:val="00322753"/>
    <w:rsid w:val="00322B62"/>
    <w:rsid w:val="00322D8E"/>
    <w:rsid w:val="00323138"/>
    <w:rsid w:val="00323220"/>
    <w:rsid w:val="00323325"/>
    <w:rsid w:val="003235A1"/>
    <w:rsid w:val="003248CF"/>
    <w:rsid w:val="003255C6"/>
    <w:rsid w:val="00325865"/>
    <w:rsid w:val="0032603A"/>
    <w:rsid w:val="00326231"/>
    <w:rsid w:val="0033032E"/>
    <w:rsid w:val="0033343F"/>
    <w:rsid w:val="00334108"/>
    <w:rsid w:val="00334E43"/>
    <w:rsid w:val="00335608"/>
    <w:rsid w:val="00336495"/>
    <w:rsid w:val="00337D47"/>
    <w:rsid w:val="00340017"/>
    <w:rsid w:val="00340C00"/>
    <w:rsid w:val="00341302"/>
    <w:rsid w:val="003418CB"/>
    <w:rsid w:val="00342D51"/>
    <w:rsid w:val="00342D7D"/>
    <w:rsid w:val="00342EC1"/>
    <w:rsid w:val="003432E4"/>
    <w:rsid w:val="0034455A"/>
    <w:rsid w:val="003446FD"/>
    <w:rsid w:val="00344841"/>
    <w:rsid w:val="00344EA7"/>
    <w:rsid w:val="00345869"/>
    <w:rsid w:val="00345E00"/>
    <w:rsid w:val="003500CD"/>
    <w:rsid w:val="00350994"/>
    <w:rsid w:val="00350B7C"/>
    <w:rsid w:val="00351455"/>
    <w:rsid w:val="003514C8"/>
    <w:rsid w:val="00352348"/>
    <w:rsid w:val="00352BC2"/>
    <w:rsid w:val="00352E1E"/>
    <w:rsid w:val="00354166"/>
    <w:rsid w:val="00354BF5"/>
    <w:rsid w:val="00354E2C"/>
    <w:rsid w:val="0035611F"/>
    <w:rsid w:val="003562D5"/>
    <w:rsid w:val="00356715"/>
    <w:rsid w:val="00360DB2"/>
    <w:rsid w:val="00361AE7"/>
    <w:rsid w:val="00362F25"/>
    <w:rsid w:val="00363E88"/>
    <w:rsid w:val="00364C73"/>
    <w:rsid w:val="00364EE5"/>
    <w:rsid w:val="003651EE"/>
    <w:rsid w:val="0036563D"/>
    <w:rsid w:val="00365FA6"/>
    <w:rsid w:val="00366A4F"/>
    <w:rsid w:val="003708A5"/>
    <w:rsid w:val="00370B22"/>
    <w:rsid w:val="00370DA1"/>
    <w:rsid w:val="00371292"/>
    <w:rsid w:val="00371918"/>
    <w:rsid w:val="00372D74"/>
    <w:rsid w:val="00373E0A"/>
    <w:rsid w:val="00373EB3"/>
    <w:rsid w:val="00374130"/>
    <w:rsid w:val="00374C8B"/>
    <w:rsid w:val="00375884"/>
    <w:rsid w:val="003772C4"/>
    <w:rsid w:val="00380E60"/>
    <w:rsid w:val="0038146C"/>
    <w:rsid w:val="00381472"/>
    <w:rsid w:val="0038193B"/>
    <w:rsid w:val="003820E0"/>
    <w:rsid w:val="00382D88"/>
    <w:rsid w:val="003832DB"/>
    <w:rsid w:val="003839F4"/>
    <w:rsid w:val="0038407F"/>
    <w:rsid w:val="00384163"/>
    <w:rsid w:val="003843F3"/>
    <w:rsid w:val="00385408"/>
    <w:rsid w:val="00385940"/>
    <w:rsid w:val="003872EF"/>
    <w:rsid w:val="00387F56"/>
    <w:rsid w:val="003900B1"/>
    <w:rsid w:val="00392707"/>
    <w:rsid w:val="00392F32"/>
    <w:rsid w:val="00393266"/>
    <w:rsid w:val="00393778"/>
    <w:rsid w:val="00393C83"/>
    <w:rsid w:val="003955FF"/>
    <w:rsid w:val="00396419"/>
    <w:rsid w:val="0039778C"/>
    <w:rsid w:val="00397AFA"/>
    <w:rsid w:val="003A08A3"/>
    <w:rsid w:val="003A27F2"/>
    <w:rsid w:val="003A2FCD"/>
    <w:rsid w:val="003A30DF"/>
    <w:rsid w:val="003A32B8"/>
    <w:rsid w:val="003A33EF"/>
    <w:rsid w:val="003A3746"/>
    <w:rsid w:val="003A3784"/>
    <w:rsid w:val="003A3DA2"/>
    <w:rsid w:val="003A412B"/>
    <w:rsid w:val="003A4715"/>
    <w:rsid w:val="003A4E27"/>
    <w:rsid w:val="003A5536"/>
    <w:rsid w:val="003A5945"/>
    <w:rsid w:val="003A68E3"/>
    <w:rsid w:val="003A736B"/>
    <w:rsid w:val="003A758B"/>
    <w:rsid w:val="003A7CFF"/>
    <w:rsid w:val="003B09C1"/>
    <w:rsid w:val="003B266F"/>
    <w:rsid w:val="003B4D65"/>
    <w:rsid w:val="003B4FB7"/>
    <w:rsid w:val="003B5F85"/>
    <w:rsid w:val="003B6A63"/>
    <w:rsid w:val="003B6C0B"/>
    <w:rsid w:val="003B7728"/>
    <w:rsid w:val="003B7793"/>
    <w:rsid w:val="003C12C7"/>
    <w:rsid w:val="003C1A18"/>
    <w:rsid w:val="003C23F5"/>
    <w:rsid w:val="003C2839"/>
    <w:rsid w:val="003C4636"/>
    <w:rsid w:val="003C4A54"/>
    <w:rsid w:val="003C50A1"/>
    <w:rsid w:val="003C6D77"/>
    <w:rsid w:val="003C7629"/>
    <w:rsid w:val="003C7CBC"/>
    <w:rsid w:val="003C7D84"/>
    <w:rsid w:val="003C7FA1"/>
    <w:rsid w:val="003D0D7E"/>
    <w:rsid w:val="003D1191"/>
    <w:rsid w:val="003D17CB"/>
    <w:rsid w:val="003D18F7"/>
    <w:rsid w:val="003D1D68"/>
    <w:rsid w:val="003D20F9"/>
    <w:rsid w:val="003D243C"/>
    <w:rsid w:val="003D3CA2"/>
    <w:rsid w:val="003D4C06"/>
    <w:rsid w:val="003D513C"/>
    <w:rsid w:val="003D5E45"/>
    <w:rsid w:val="003D6AC6"/>
    <w:rsid w:val="003D7147"/>
    <w:rsid w:val="003D731E"/>
    <w:rsid w:val="003D74A7"/>
    <w:rsid w:val="003E0C15"/>
    <w:rsid w:val="003E1455"/>
    <w:rsid w:val="003E1BE9"/>
    <w:rsid w:val="003E299D"/>
    <w:rsid w:val="003E2EA4"/>
    <w:rsid w:val="003E3B91"/>
    <w:rsid w:val="003E4285"/>
    <w:rsid w:val="003E42CA"/>
    <w:rsid w:val="003E4D77"/>
    <w:rsid w:val="003E6A5C"/>
    <w:rsid w:val="003E7426"/>
    <w:rsid w:val="003E7D09"/>
    <w:rsid w:val="003F0AD8"/>
    <w:rsid w:val="003F3C2C"/>
    <w:rsid w:val="003F487D"/>
    <w:rsid w:val="003F63BD"/>
    <w:rsid w:val="003F6854"/>
    <w:rsid w:val="00402C8A"/>
    <w:rsid w:val="00402D8A"/>
    <w:rsid w:val="00403676"/>
    <w:rsid w:val="0040480C"/>
    <w:rsid w:val="00405846"/>
    <w:rsid w:val="0040620A"/>
    <w:rsid w:val="00406DAE"/>
    <w:rsid w:val="00407A95"/>
    <w:rsid w:val="00407AB2"/>
    <w:rsid w:val="004102D9"/>
    <w:rsid w:val="00410638"/>
    <w:rsid w:val="00411A9E"/>
    <w:rsid w:val="0041208E"/>
    <w:rsid w:val="00413003"/>
    <w:rsid w:val="004155BC"/>
    <w:rsid w:val="00415BE1"/>
    <w:rsid w:val="00416AF5"/>
    <w:rsid w:val="00417EDD"/>
    <w:rsid w:val="00417F10"/>
    <w:rsid w:val="00420378"/>
    <w:rsid w:val="00421BB7"/>
    <w:rsid w:val="00421FB8"/>
    <w:rsid w:val="00422BE3"/>
    <w:rsid w:val="00422EC2"/>
    <w:rsid w:val="00423408"/>
    <w:rsid w:val="00423418"/>
    <w:rsid w:val="00423624"/>
    <w:rsid w:val="00423D3D"/>
    <w:rsid w:val="004243BA"/>
    <w:rsid w:val="0042480B"/>
    <w:rsid w:val="0042485F"/>
    <w:rsid w:val="00424F0C"/>
    <w:rsid w:val="004259EB"/>
    <w:rsid w:val="00425E36"/>
    <w:rsid w:val="00426AA2"/>
    <w:rsid w:val="00426BA1"/>
    <w:rsid w:val="00430440"/>
    <w:rsid w:val="00430447"/>
    <w:rsid w:val="00432C8F"/>
    <w:rsid w:val="00433FD9"/>
    <w:rsid w:val="0043418E"/>
    <w:rsid w:val="004341F1"/>
    <w:rsid w:val="00435A35"/>
    <w:rsid w:val="00435ACB"/>
    <w:rsid w:val="00440103"/>
    <w:rsid w:val="00440496"/>
    <w:rsid w:val="00441B73"/>
    <w:rsid w:val="00442BEA"/>
    <w:rsid w:val="004431AD"/>
    <w:rsid w:val="004433CF"/>
    <w:rsid w:val="00444083"/>
    <w:rsid w:val="00444566"/>
    <w:rsid w:val="0044477F"/>
    <w:rsid w:val="00444E1C"/>
    <w:rsid w:val="004451FA"/>
    <w:rsid w:val="00445667"/>
    <w:rsid w:val="00445B4B"/>
    <w:rsid w:val="004467CC"/>
    <w:rsid w:val="00446CF3"/>
    <w:rsid w:val="00447963"/>
    <w:rsid w:val="00451115"/>
    <w:rsid w:val="0045166A"/>
    <w:rsid w:val="0045166B"/>
    <w:rsid w:val="00452927"/>
    <w:rsid w:val="00452F19"/>
    <w:rsid w:val="0045367C"/>
    <w:rsid w:val="00453CC3"/>
    <w:rsid w:val="00454298"/>
    <w:rsid w:val="00455595"/>
    <w:rsid w:val="00455D32"/>
    <w:rsid w:val="00456065"/>
    <w:rsid w:val="00460DF0"/>
    <w:rsid w:val="004625C8"/>
    <w:rsid w:val="00462BBF"/>
    <w:rsid w:val="00464F3E"/>
    <w:rsid w:val="00466E6B"/>
    <w:rsid w:val="00467723"/>
    <w:rsid w:val="00472189"/>
    <w:rsid w:val="004727CE"/>
    <w:rsid w:val="00472C74"/>
    <w:rsid w:val="00472CD7"/>
    <w:rsid w:val="004736F7"/>
    <w:rsid w:val="004745C0"/>
    <w:rsid w:val="004750C2"/>
    <w:rsid w:val="00475589"/>
    <w:rsid w:val="00476D41"/>
    <w:rsid w:val="00477193"/>
    <w:rsid w:val="00477E79"/>
    <w:rsid w:val="00480AA9"/>
    <w:rsid w:val="00481A2B"/>
    <w:rsid w:val="00483235"/>
    <w:rsid w:val="004839A7"/>
    <w:rsid w:val="00486291"/>
    <w:rsid w:val="0048700A"/>
    <w:rsid w:val="00490CCA"/>
    <w:rsid w:val="00491743"/>
    <w:rsid w:val="004919E3"/>
    <w:rsid w:val="004947D2"/>
    <w:rsid w:val="00494F41"/>
    <w:rsid w:val="004957B1"/>
    <w:rsid w:val="00495EB7"/>
    <w:rsid w:val="00496228"/>
    <w:rsid w:val="004962F4"/>
    <w:rsid w:val="004970AC"/>
    <w:rsid w:val="004970D6"/>
    <w:rsid w:val="00497D04"/>
    <w:rsid w:val="004A1775"/>
    <w:rsid w:val="004A2031"/>
    <w:rsid w:val="004A2A65"/>
    <w:rsid w:val="004A2B48"/>
    <w:rsid w:val="004A40F1"/>
    <w:rsid w:val="004A4F51"/>
    <w:rsid w:val="004A60FC"/>
    <w:rsid w:val="004A75BF"/>
    <w:rsid w:val="004B4C21"/>
    <w:rsid w:val="004B674A"/>
    <w:rsid w:val="004B6BDA"/>
    <w:rsid w:val="004B6C22"/>
    <w:rsid w:val="004C05A0"/>
    <w:rsid w:val="004C1DF7"/>
    <w:rsid w:val="004C253B"/>
    <w:rsid w:val="004C2F08"/>
    <w:rsid w:val="004C3A1E"/>
    <w:rsid w:val="004C3B5D"/>
    <w:rsid w:val="004C66B1"/>
    <w:rsid w:val="004C6C4C"/>
    <w:rsid w:val="004C7834"/>
    <w:rsid w:val="004C7DBF"/>
    <w:rsid w:val="004D0DC1"/>
    <w:rsid w:val="004D15AB"/>
    <w:rsid w:val="004D27B9"/>
    <w:rsid w:val="004D27DE"/>
    <w:rsid w:val="004D289E"/>
    <w:rsid w:val="004D2E0B"/>
    <w:rsid w:val="004D5C7F"/>
    <w:rsid w:val="004D5D75"/>
    <w:rsid w:val="004D6703"/>
    <w:rsid w:val="004D6D64"/>
    <w:rsid w:val="004E0B8F"/>
    <w:rsid w:val="004E1465"/>
    <w:rsid w:val="004E153C"/>
    <w:rsid w:val="004E1934"/>
    <w:rsid w:val="004E1D2E"/>
    <w:rsid w:val="004E44B3"/>
    <w:rsid w:val="004E71C6"/>
    <w:rsid w:val="004E75AD"/>
    <w:rsid w:val="004E7AF8"/>
    <w:rsid w:val="004E7FDA"/>
    <w:rsid w:val="004F0861"/>
    <w:rsid w:val="004F0DD9"/>
    <w:rsid w:val="004F2CBC"/>
    <w:rsid w:val="004F30A9"/>
    <w:rsid w:val="004F34C6"/>
    <w:rsid w:val="004F3CD9"/>
    <w:rsid w:val="004F4453"/>
    <w:rsid w:val="004F620C"/>
    <w:rsid w:val="004F6639"/>
    <w:rsid w:val="004F6779"/>
    <w:rsid w:val="004F686D"/>
    <w:rsid w:val="004F6956"/>
    <w:rsid w:val="004F6A1A"/>
    <w:rsid w:val="004F7171"/>
    <w:rsid w:val="004F7804"/>
    <w:rsid w:val="004F78E0"/>
    <w:rsid w:val="00500499"/>
    <w:rsid w:val="00500C94"/>
    <w:rsid w:val="005024EB"/>
    <w:rsid w:val="0050297E"/>
    <w:rsid w:val="005051DD"/>
    <w:rsid w:val="00506BC0"/>
    <w:rsid w:val="005111EA"/>
    <w:rsid w:val="00511D8C"/>
    <w:rsid w:val="0051224F"/>
    <w:rsid w:val="0051272B"/>
    <w:rsid w:val="005127E8"/>
    <w:rsid w:val="00512CA3"/>
    <w:rsid w:val="00514DEC"/>
    <w:rsid w:val="005168F8"/>
    <w:rsid w:val="0051760E"/>
    <w:rsid w:val="005206D6"/>
    <w:rsid w:val="00520EAF"/>
    <w:rsid w:val="00520F92"/>
    <w:rsid w:val="00520FCA"/>
    <w:rsid w:val="00522136"/>
    <w:rsid w:val="0052235C"/>
    <w:rsid w:val="005235E3"/>
    <w:rsid w:val="005238FC"/>
    <w:rsid w:val="00524A54"/>
    <w:rsid w:val="00525216"/>
    <w:rsid w:val="00527748"/>
    <w:rsid w:val="00527F9F"/>
    <w:rsid w:val="0053118F"/>
    <w:rsid w:val="005313E8"/>
    <w:rsid w:val="00533574"/>
    <w:rsid w:val="00533A44"/>
    <w:rsid w:val="0053420C"/>
    <w:rsid w:val="00534558"/>
    <w:rsid w:val="0053592E"/>
    <w:rsid w:val="00535DD8"/>
    <w:rsid w:val="00536909"/>
    <w:rsid w:val="00536BA1"/>
    <w:rsid w:val="00537024"/>
    <w:rsid w:val="00537162"/>
    <w:rsid w:val="005374D2"/>
    <w:rsid w:val="00537CB3"/>
    <w:rsid w:val="005400EE"/>
    <w:rsid w:val="00540428"/>
    <w:rsid w:val="005404F9"/>
    <w:rsid w:val="00542A1D"/>
    <w:rsid w:val="0054397C"/>
    <w:rsid w:val="00543BE3"/>
    <w:rsid w:val="00543D45"/>
    <w:rsid w:val="00544E1F"/>
    <w:rsid w:val="005456A5"/>
    <w:rsid w:val="0054602B"/>
    <w:rsid w:val="005473F8"/>
    <w:rsid w:val="005479BB"/>
    <w:rsid w:val="00547B87"/>
    <w:rsid w:val="00550315"/>
    <w:rsid w:val="0055115C"/>
    <w:rsid w:val="005515A0"/>
    <w:rsid w:val="0055185C"/>
    <w:rsid w:val="00551CB4"/>
    <w:rsid w:val="00553B08"/>
    <w:rsid w:val="00553EBD"/>
    <w:rsid w:val="00555954"/>
    <w:rsid w:val="00556456"/>
    <w:rsid w:val="005601FD"/>
    <w:rsid w:val="0056230E"/>
    <w:rsid w:val="00564314"/>
    <w:rsid w:val="005658F6"/>
    <w:rsid w:val="00565EE6"/>
    <w:rsid w:val="005661B8"/>
    <w:rsid w:val="005676C9"/>
    <w:rsid w:val="00567775"/>
    <w:rsid w:val="0057104A"/>
    <w:rsid w:val="0057104D"/>
    <w:rsid w:val="00572FF6"/>
    <w:rsid w:val="0057341A"/>
    <w:rsid w:val="005737E1"/>
    <w:rsid w:val="0057391C"/>
    <w:rsid w:val="00573CE5"/>
    <w:rsid w:val="005773D1"/>
    <w:rsid w:val="00581AED"/>
    <w:rsid w:val="005823B7"/>
    <w:rsid w:val="0058270F"/>
    <w:rsid w:val="00583149"/>
    <w:rsid w:val="00583F11"/>
    <w:rsid w:val="00584319"/>
    <w:rsid w:val="00585DB3"/>
    <w:rsid w:val="00586553"/>
    <w:rsid w:val="00590144"/>
    <w:rsid w:val="0059164D"/>
    <w:rsid w:val="00594762"/>
    <w:rsid w:val="00595259"/>
    <w:rsid w:val="00595393"/>
    <w:rsid w:val="00595E63"/>
    <w:rsid w:val="00596877"/>
    <w:rsid w:val="005968D3"/>
    <w:rsid w:val="0059735F"/>
    <w:rsid w:val="00597B51"/>
    <w:rsid w:val="005A08F3"/>
    <w:rsid w:val="005A1158"/>
    <w:rsid w:val="005A21BF"/>
    <w:rsid w:val="005A4681"/>
    <w:rsid w:val="005A46E3"/>
    <w:rsid w:val="005A57EF"/>
    <w:rsid w:val="005A5D0C"/>
    <w:rsid w:val="005A5DFD"/>
    <w:rsid w:val="005A5E87"/>
    <w:rsid w:val="005A63F0"/>
    <w:rsid w:val="005A64D5"/>
    <w:rsid w:val="005A72F4"/>
    <w:rsid w:val="005A7593"/>
    <w:rsid w:val="005B0A79"/>
    <w:rsid w:val="005B122F"/>
    <w:rsid w:val="005B13E5"/>
    <w:rsid w:val="005B378E"/>
    <w:rsid w:val="005B6322"/>
    <w:rsid w:val="005B6775"/>
    <w:rsid w:val="005B6FB5"/>
    <w:rsid w:val="005B763D"/>
    <w:rsid w:val="005B7C3B"/>
    <w:rsid w:val="005C03B1"/>
    <w:rsid w:val="005C07EA"/>
    <w:rsid w:val="005C0EFB"/>
    <w:rsid w:val="005C20A0"/>
    <w:rsid w:val="005C2F1C"/>
    <w:rsid w:val="005C43D0"/>
    <w:rsid w:val="005C6BC2"/>
    <w:rsid w:val="005C79A4"/>
    <w:rsid w:val="005D0A48"/>
    <w:rsid w:val="005D19F1"/>
    <w:rsid w:val="005D37D0"/>
    <w:rsid w:val="005D4425"/>
    <w:rsid w:val="005D4C16"/>
    <w:rsid w:val="005D5C46"/>
    <w:rsid w:val="005D6E71"/>
    <w:rsid w:val="005D7853"/>
    <w:rsid w:val="005E04BC"/>
    <w:rsid w:val="005E0C7E"/>
    <w:rsid w:val="005E0FDD"/>
    <w:rsid w:val="005E20F4"/>
    <w:rsid w:val="005E2279"/>
    <w:rsid w:val="005E2893"/>
    <w:rsid w:val="005E4048"/>
    <w:rsid w:val="005E4D69"/>
    <w:rsid w:val="005E62EF"/>
    <w:rsid w:val="005E798F"/>
    <w:rsid w:val="005F03EE"/>
    <w:rsid w:val="005F08F4"/>
    <w:rsid w:val="005F23F6"/>
    <w:rsid w:val="005F2A86"/>
    <w:rsid w:val="005F32B1"/>
    <w:rsid w:val="005F4473"/>
    <w:rsid w:val="005F51DD"/>
    <w:rsid w:val="005F5A74"/>
    <w:rsid w:val="005F5DD1"/>
    <w:rsid w:val="005F7832"/>
    <w:rsid w:val="006004D1"/>
    <w:rsid w:val="00600C89"/>
    <w:rsid w:val="00601032"/>
    <w:rsid w:val="00601AD9"/>
    <w:rsid w:val="0060263B"/>
    <w:rsid w:val="00602EE3"/>
    <w:rsid w:val="00603735"/>
    <w:rsid w:val="00604562"/>
    <w:rsid w:val="00604D15"/>
    <w:rsid w:val="006058CC"/>
    <w:rsid w:val="00606221"/>
    <w:rsid w:val="0061051D"/>
    <w:rsid w:val="0061185C"/>
    <w:rsid w:val="00611C35"/>
    <w:rsid w:val="006121F0"/>
    <w:rsid w:val="00614C42"/>
    <w:rsid w:val="00615105"/>
    <w:rsid w:val="00620048"/>
    <w:rsid w:val="00620A47"/>
    <w:rsid w:val="006214F5"/>
    <w:rsid w:val="0062172C"/>
    <w:rsid w:val="00621B27"/>
    <w:rsid w:val="006244F3"/>
    <w:rsid w:val="006246D1"/>
    <w:rsid w:val="00624BB0"/>
    <w:rsid w:val="00624CCE"/>
    <w:rsid w:val="00625173"/>
    <w:rsid w:val="00625A8B"/>
    <w:rsid w:val="0062659B"/>
    <w:rsid w:val="00626EE1"/>
    <w:rsid w:val="00627B80"/>
    <w:rsid w:val="00627B96"/>
    <w:rsid w:val="006303CE"/>
    <w:rsid w:val="00631167"/>
    <w:rsid w:val="00631845"/>
    <w:rsid w:val="006318AC"/>
    <w:rsid w:val="00632045"/>
    <w:rsid w:val="00632FF1"/>
    <w:rsid w:val="00633574"/>
    <w:rsid w:val="006344E2"/>
    <w:rsid w:val="00636482"/>
    <w:rsid w:val="006367EE"/>
    <w:rsid w:val="0063680F"/>
    <w:rsid w:val="00636DAE"/>
    <w:rsid w:val="00636F83"/>
    <w:rsid w:val="00640746"/>
    <w:rsid w:val="00640A23"/>
    <w:rsid w:val="00641BB8"/>
    <w:rsid w:val="00642991"/>
    <w:rsid w:val="00643DBA"/>
    <w:rsid w:val="006445D2"/>
    <w:rsid w:val="0064481B"/>
    <w:rsid w:val="00644D02"/>
    <w:rsid w:val="0064509A"/>
    <w:rsid w:val="006456A7"/>
    <w:rsid w:val="0064577A"/>
    <w:rsid w:val="00646B95"/>
    <w:rsid w:val="00647912"/>
    <w:rsid w:val="006503CD"/>
    <w:rsid w:val="00650A5C"/>
    <w:rsid w:val="00650D9F"/>
    <w:rsid w:val="00651374"/>
    <w:rsid w:val="00651674"/>
    <w:rsid w:val="006521BC"/>
    <w:rsid w:val="00654F77"/>
    <w:rsid w:val="00656A59"/>
    <w:rsid w:val="00656AA6"/>
    <w:rsid w:val="006578F0"/>
    <w:rsid w:val="00657D6C"/>
    <w:rsid w:val="00660431"/>
    <w:rsid w:val="00660440"/>
    <w:rsid w:val="0066159A"/>
    <w:rsid w:val="00662FAC"/>
    <w:rsid w:val="00663B3C"/>
    <w:rsid w:val="00664406"/>
    <w:rsid w:val="00664619"/>
    <w:rsid w:val="006648BD"/>
    <w:rsid w:val="00664FD8"/>
    <w:rsid w:val="006657D3"/>
    <w:rsid w:val="00665CE8"/>
    <w:rsid w:val="00667346"/>
    <w:rsid w:val="006700FC"/>
    <w:rsid w:val="006702C8"/>
    <w:rsid w:val="00670608"/>
    <w:rsid w:val="00670E86"/>
    <w:rsid w:val="00670F90"/>
    <w:rsid w:val="00671C5E"/>
    <w:rsid w:val="00671F78"/>
    <w:rsid w:val="00672344"/>
    <w:rsid w:val="006727E1"/>
    <w:rsid w:val="00672A79"/>
    <w:rsid w:val="006755B1"/>
    <w:rsid w:val="00676D6C"/>
    <w:rsid w:val="00677243"/>
    <w:rsid w:val="00677E6A"/>
    <w:rsid w:val="006802E3"/>
    <w:rsid w:val="0068083D"/>
    <w:rsid w:val="00681780"/>
    <w:rsid w:val="00681E99"/>
    <w:rsid w:val="00682C5E"/>
    <w:rsid w:val="00682D5B"/>
    <w:rsid w:val="00683025"/>
    <w:rsid w:val="00683829"/>
    <w:rsid w:val="00684A9D"/>
    <w:rsid w:val="00684C88"/>
    <w:rsid w:val="00685091"/>
    <w:rsid w:val="006856B0"/>
    <w:rsid w:val="00685CA5"/>
    <w:rsid w:val="00686D46"/>
    <w:rsid w:val="00690DCF"/>
    <w:rsid w:val="0069193D"/>
    <w:rsid w:val="00692863"/>
    <w:rsid w:val="00694A3E"/>
    <w:rsid w:val="006957DA"/>
    <w:rsid w:val="00695CD7"/>
    <w:rsid w:val="0069695F"/>
    <w:rsid w:val="006A04AA"/>
    <w:rsid w:val="006A0D6A"/>
    <w:rsid w:val="006A20D6"/>
    <w:rsid w:val="006A214F"/>
    <w:rsid w:val="006A2655"/>
    <w:rsid w:val="006A26B6"/>
    <w:rsid w:val="006A2F3C"/>
    <w:rsid w:val="006A4218"/>
    <w:rsid w:val="006A5B1D"/>
    <w:rsid w:val="006A6017"/>
    <w:rsid w:val="006A6914"/>
    <w:rsid w:val="006A7F83"/>
    <w:rsid w:val="006B0CF0"/>
    <w:rsid w:val="006B2C0C"/>
    <w:rsid w:val="006B35AE"/>
    <w:rsid w:val="006B3AB6"/>
    <w:rsid w:val="006B3CB8"/>
    <w:rsid w:val="006B3F28"/>
    <w:rsid w:val="006B3F76"/>
    <w:rsid w:val="006B5657"/>
    <w:rsid w:val="006B5AB1"/>
    <w:rsid w:val="006B672E"/>
    <w:rsid w:val="006B696F"/>
    <w:rsid w:val="006B7F41"/>
    <w:rsid w:val="006C059B"/>
    <w:rsid w:val="006C1A8A"/>
    <w:rsid w:val="006C1F7A"/>
    <w:rsid w:val="006C213A"/>
    <w:rsid w:val="006C31EC"/>
    <w:rsid w:val="006C3340"/>
    <w:rsid w:val="006C4137"/>
    <w:rsid w:val="006C4B86"/>
    <w:rsid w:val="006C6248"/>
    <w:rsid w:val="006C6E8F"/>
    <w:rsid w:val="006C7559"/>
    <w:rsid w:val="006C7742"/>
    <w:rsid w:val="006D01AD"/>
    <w:rsid w:val="006D0C5D"/>
    <w:rsid w:val="006D1994"/>
    <w:rsid w:val="006D4766"/>
    <w:rsid w:val="006D67AE"/>
    <w:rsid w:val="006D7E20"/>
    <w:rsid w:val="006E0674"/>
    <w:rsid w:val="006E3144"/>
    <w:rsid w:val="006E3639"/>
    <w:rsid w:val="006E37FE"/>
    <w:rsid w:val="006E48FD"/>
    <w:rsid w:val="006E49BE"/>
    <w:rsid w:val="006E5093"/>
    <w:rsid w:val="006E57C0"/>
    <w:rsid w:val="006E58D3"/>
    <w:rsid w:val="006E5FE5"/>
    <w:rsid w:val="006E7D5F"/>
    <w:rsid w:val="006E7DFE"/>
    <w:rsid w:val="006F0409"/>
    <w:rsid w:val="006F1957"/>
    <w:rsid w:val="006F22FA"/>
    <w:rsid w:val="006F291F"/>
    <w:rsid w:val="006F32DD"/>
    <w:rsid w:val="006F4A4F"/>
    <w:rsid w:val="006F4CF0"/>
    <w:rsid w:val="006F4FA9"/>
    <w:rsid w:val="006F56DE"/>
    <w:rsid w:val="006F5874"/>
    <w:rsid w:val="006F59A6"/>
    <w:rsid w:val="006F5D57"/>
    <w:rsid w:val="006F6634"/>
    <w:rsid w:val="006F6E85"/>
    <w:rsid w:val="006F7CF2"/>
    <w:rsid w:val="006F7EDC"/>
    <w:rsid w:val="007001F5"/>
    <w:rsid w:val="00700402"/>
    <w:rsid w:val="00701FB5"/>
    <w:rsid w:val="0070247A"/>
    <w:rsid w:val="00702643"/>
    <w:rsid w:val="00702B6F"/>
    <w:rsid w:val="00704723"/>
    <w:rsid w:val="00706662"/>
    <w:rsid w:val="00706973"/>
    <w:rsid w:val="00706FF5"/>
    <w:rsid w:val="0071046E"/>
    <w:rsid w:val="007122A6"/>
    <w:rsid w:val="00712496"/>
    <w:rsid w:val="007132AD"/>
    <w:rsid w:val="007135F2"/>
    <w:rsid w:val="00713B50"/>
    <w:rsid w:val="0071415F"/>
    <w:rsid w:val="00714484"/>
    <w:rsid w:val="007156FD"/>
    <w:rsid w:val="00716C5F"/>
    <w:rsid w:val="00717E44"/>
    <w:rsid w:val="0072194B"/>
    <w:rsid w:val="007225B1"/>
    <w:rsid w:val="007229C7"/>
    <w:rsid w:val="00722FC2"/>
    <w:rsid w:val="00725009"/>
    <w:rsid w:val="00725739"/>
    <w:rsid w:val="00726442"/>
    <w:rsid w:val="00726B14"/>
    <w:rsid w:val="00726C53"/>
    <w:rsid w:val="00726E04"/>
    <w:rsid w:val="007270E8"/>
    <w:rsid w:val="007311AD"/>
    <w:rsid w:val="00732381"/>
    <w:rsid w:val="0073453E"/>
    <w:rsid w:val="00735207"/>
    <w:rsid w:val="007355B5"/>
    <w:rsid w:val="0073643C"/>
    <w:rsid w:val="00736B57"/>
    <w:rsid w:val="00737D8F"/>
    <w:rsid w:val="00740338"/>
    <w:rsid w:val="007420F9"/>
    <w:rsid w:val="007428E6"/>
    <w:rsid w:val="00744230"/>
    <w:rsid w:val="00745A73"/>
    <w:rsid w:val="0074636E"/>
    <w:rsid w:val="00746B82"/>
    <w:rsid w:val="00747052"/>
    <w:rsid w:val="00747C12"/>
    <w:rsid w:val="00750500"/>
    <w:rsid w:val="00750A8C"/>
    <w:rsid w:val="00753EF9"/>
    <w:rsid w:val="00753FD1"/>
    <w:rsid w:val="0075464F"/>
    <w:rsid w:val="007548B2"/>
    <w:rsid w:val="00755BCC"/>
    <w:rsid w:val="00756DD5"/>
    <w:rsid w:val="00757A1D"/>
    <w:rsid w:val="00764C7F"/>
    <w:rsid w:val="00764F8A"/>
    <w:rsid w:val="00765981"/>
    <w:rsid w:val="007679D9"/>
    <w:rsid w:val="00770C22"/>
    <w:rsid w:val="00771B92"/>
    <w:rsid w:val="00772E8A"/>
    <w:rsid w:val="00774BDA"/>
    <w:rsid w:val="0077583C"/>
    <w:rsid w:val="00776AB9"/>
    <w:rsid w:val="007775A4"/>
    <w:rsid w:val="00780462"/>
    <w:rsid w:val="00780D13"/>
    <w:rsid w:val="00781F30"/>
    <w:rsid w:val="00783A8E"/>
    <w:rsid w:val="00783F0E"/>
    <w:rsid w:val="00784F6B"/>
    <w:rsid w:val="00785771"/>
    <w:rsid w:val="007910DD"/>
    <w:rsid w:val="007913F8"/>
    <w:rsid w:val="00792F46"/>
    <w:rsid w:val="007942F0"/>
    <w:rsid w:val="00794CA0"/>
    <w:rsid w:val="00794D6D"/>
    <w:rsid w:val="00795283"/>
    <w:rsid w:val="0079715E"/>
    <w:rsid w:val="00797858"/>
    <w:rsid w:val="007A0125"/>
    <w:rsid w:val="007A0A45"/>
    <w:rsid w:val="007A132E"/>
    <w:rsid w:val="007A1C02"/>
    <w:rsid w:val="007A2638"/>
    <w:rsid w:val="007A2996"/>
    <w:rsid w:val="007A3518"/>
    <w:rsid w:val="007A44C8"/>
    <w:rsid w:val="007A4F38"/>
    <w:rsid w:val="007A6923"/>
    <w:rsid w:val="007A6C69"/>
    <w:rsid w:val="007A76D6"/>
    <w:rsid w:val="007B0139"/>
    <w:rsid w:val="007B0D20"/>
    <w:rsid w:val="007B154A"/>
    <w:rsid w:val="007B1A15"/>
    <w:rsid w:val="007B2598"/>
    <w:rsid w:val="007B26D1"/>
    <w:rsid w:val="007B30B7"/>
    <w:rsid w:val="007B34F3"/>
    <w:rsid w:val="007B428A"/>
    <w:rsid w:val="007B4A03"/>
    <w:rsid w:val="007B4DD3"/>
    <w:rsid w:val="007B59D0"/>
    <w:rsid w:val="007B7367"/>
    <w:rsid w:val="007B7BEC"/>
    <w:rsid w:val="007C0024"/>
    <w:rsid w:val="007C1CF7"/>
    <w:rsid w:val="007C2D25"/>
    <w:rsid w:val="007C5304"/>
    <w:rsid w:val="007C54E4"/>
    <w:rsid w:val="007C5647"/>
    <w:rsid w:val="007C5DF9"/>
    <w:rsid w:val="007C73E4"/>
    <w:rsid w:val="007C7881"/>
    <w:rsid w:val="007D04F4"/>
    <w:rsid w:val="007D08FE"/>
    <w:rsid w:val="007D0C08"/>
    <w:rsid w:val="007D15F4"/>
    <w:rsid w:val="007D1941"/>
    <w:rsid w:val="007D22D5"/>
    <w:rsid w:val="007D288C"/>
    <w:rsid w:val="007D2C1B"/>
    <w:rsid w:val="007D3052"/>
    <w:rsid w:val="007D39B6"/>
    <w:rsid w:val="007D42CF"/>
    <w:rsid w:val="007D4F75"/>
    <w:rsid w:val="007D54AD"/>
    <w:rsid w:val="007D5691"/>
    <w:rsid w:val="007D664E"/>
    <w:rsid w:val="007D6FD8"/>
    <w:rsid w:val="007D7361"/>
    <w:rsid w:val="007E0E3B"/>
    <w:rsid w:val="007E1518"/>
    <w:rsid w:val="007E2A29"/>
    <w:rsid w:val="007E2A8D"/>
    <w:rsid w:val="007E34A9"/>
    <w:rsid w:val="007E3BBF"/>
    <w:rsid w:val="007E46BE"/>
    <w:rsid w:val="007E515C"/>
    <w:rsid w:val="007E6234"/>
    <w:rsid w:val="007E6D26"/>
    <w:rsid w:val="007F01DC"/>
    <w:rsid w:val="007F060F"/>
    <w:rsid w:val="007F0C23"/>
    <w:rsid w:val="007F1DE7"/>
    <w:rsid w:val="007F1F50"/>
    <w:rsid w:val="007F22A9"/>
    <w:rsid w:val="007F2A9F"/>
    <w:rsid w:val="007F3242"/>
    <w:rsid w:val="007F3A15"/>
    <w:rsid w:val="007F45B5"/>
    <w:rsid w:val="007F4CA4"/>
    <w:rsid w:val="007F568E"/>
    <w:rsid w:val="007F64F4"/>
    <w:rsid w:val="007F6D74"/>
    <w:rsid w:val="007F793C"/>
    <w:rsid w:val="00800C92"/>
    <w:rsid w:val="008010BB"/>
    <w:rsid w:val="00802088"/>
    <w:rsid w:val="008023B0"/>
    <w:rsid w:val="00803609"/>
    <w:rsid w:val="008047D1"/>
    <w:rsid w:val="0080485F"/>
    <w:rsid w:val="0080543F"/>
    <w:rsid w:val="0080589F"/>
    <w:rsid w:val="00805CB6"/>
    <w:rsid w:val="00805FA8"/>
    <w:rsid w:val="0081106F"/>
    <w:rsid w:val="00812113"/>
    <w:rsid w:val="008123C0"/>
    <w:rsid w:val="00812906"/>
    <w:rsid w:val="00812B4C"/>
    <w:rsid w:val="00812DD8"/>
    <w:rsid w:val="00812FFB"/>
    <w:rsid w:val="00813C3F"/>
    <w:rsid w:val="00813F87"/>
    <w:rsid w:val="00813FDF"/>
    <w:rsid w:val="00814CA5"/>
    <w:rsid w:val="008157C3"/>
    <w:rsid w:val="00815F1A"/>
    <w:rsid w:val="00816E66"/>
    <w:rsid w:val="00817916"/>
    <w:rsid w:val="00821B33"/>
    <w:rsid w:val="008225C0"/>
    <w:rsid w:val="00822767"/>
    <w:rsid w:val="00824148"/>
    <w:rsid w:val="008249BE"/>
    <w:rsid w:val="00824B3F"/>
    <w:rsid w:val="008251C6"/>
    <w:rsid w:val="00825463"/>
    <w:rsid w:val="00825746"/>
    <w:rsid w:val="00826080"/>
    <w:rsid w:val="00826AF1"/>
    <w:rsid w:val="00826FED"/>
    <w:rsid w:val="00827488"/>
    <w:rsid w:val="008274A6"/>
    <w:rsid w:val="00827AEE"/>
    <w:rsid w:val="0083014B"/>
    <w:rsid w:val="0083107F"/>
    <w:rsid w:val="00831300"/>
    <w:rsid w:val="00832993"/>
    <w:rsid w:val="00832B40"/>
    <w:rsid w:val="0083450B"/>
    <w:rsid w:val="008348D3"/>
    <w:rsid w:val="008368D1"/>
    <w:rsid w:val="00837156"/>
    <w:rsid w:val="00837BDD"/>
    <w:rsid w:val="00840FDA"/>
    <w:rsid w:val="0084190F"/>
    <w:rsid w:val="008430D6"/>
    <w:rsid w:val="008432F0"/>
    <w:rsid w:val="00843641"/>
    <w:rsid w:val="008445CF"/>
    <w:rsid w:val="008447A3"/>
    <w:rsid w:val="0084486F"/>
    <w:rsid w:val="00845E51"/>
    <w:rsid w:val="00847115"/>
    <w:rsid w:val="00850723"/>
    <w:rsid w:val="00850904"/>
    <w:rsid w:val="008510A0"/>
    <w:rsid w:val="00851381"/>
    <w:rsid w:val="0085293E"/>
    <w:rsid w:val="00852DEC"/>
    <w:rsid w:val="0085423F"/>
    <w:rsid w:val="00854E26"/>
    <w:rsid w:val="00856411"/>
    <w:rsid w:val="00856CA4"/>
    <w:rsid w:val="00857478"/>
    <w:rsid w:val="00857E1E"/>
    <w:rsid w:val="00860633"/>
    <w:rsid w:val="0086098A"/>
    <w:rsid w:val="00860A26"/>
    <w:rsid w:val="00861DD8"/>
    <w:rsid w:val="00863FB8"/>
    <w:rsid w:val="0086548D"/>
    <w:rsid w:val="0086579A"/>
    <w:rsid w:val="00866F42"/>
    <w:rsid w:val="0086724D"/>
    <w:rsid w:val="00870ED2"/>
    <w:rsid w:val="0087175D"/>
    <w:rsid w:val="00871858"/>
    <w:rsid w:val="00872316"/>
    <w:rsid w:val="0087237E"/>
    <w:rsid w:val="00873190"/>
    <w:rsid w:val="008734C2"/>
    <w:rsid w:val="00873691"/>
    <w:rsid w:val="00874224"/>
    <w:rsid w:val="00874C56"/>
    <w:rsid w:val="00874F20"/>
    <w:rsid w:val="00875061"/>
    <w:rsid w:val="00876568"/>
    <w:rsid w:val="00876689"/>
    <w:rsid w:val="008766D9"/>
    <w:rsid w:val="0087691F"/>
    <w:rsid w:val="008777C8"/>
    <w:rsid w:val="00877949"/>
    <w:rsid w:val="008819F2"/>
    <w:rsid w:val="0088268D"/>
    <w:rsid w:val="00884835"/>
    <w:rsid w:val="00884E78"/>
    <w:rsid w:val="00886CAD"/>
    <w:rsid w:val="00890E4D"/>
    <w:rsid w:val="00891951"/>
    <w:rsid w:val="00891E7F"/>
    <w:rsid w:val="00892F4C"/>
    <w:rsid w:val="00894346"/>
    <w:rsid w:val="00894796"/>
    <w:rsid w:val="00895038"/>
    <w:rsid w:val="00895CCB"/>
    <w:rsid w:val="00896263"/>
    <w:rsid w:val="00896448"/>
    <w:rsid w:val="00896CB1"/>
    <w:rsid w:val="008970AC"/>
    <w:rsid w:val="00897847"/>
    <w:rsid w:val="008978BC"/>
    <w:rsid w:val="00897CE6"/>
    <w:rsid w:val="008A0091"/>
    <w:rsid w:val="008A0CCD"/>
    <w:rsid w:val="008A1764"/>
    <w:rsid w:val="008A2ED0"/>
    <w:rsid w:val="008A321F"/>
    <w:rsid w:val="008A499E"/>
    <w:rsid w:val="008A4B72"/>
    <w:rsid w:val="008A4CE0"/>
    <w:rsid w:val="008A5034"/>
    <w:rsid w:val="008A56FC"/>
    <w:rsid w:val="008A5948"/>
    <w:rsid w:val="008A6989"/>
    <w:rsid w:val="008A704B"/>
    <w:rsid w:val="008A72D8"/>
    <w:rsid w:val="008B1026"/>
    <w:rsid w:val="008B10C0"/>
    <w:rsid w:val="008B1233"/>
    <w:rsid w:val="008B1345"/>
    <w:rsid w:val="008B1779"/>
    <w:rsid w:val="008B2302"/>
    <w:rsid w:val="008B2796"/>
    <w:rsid w:val="008B358C"/>
    <w:rsid w:val="008B4079"/>
    <w:rsid w:val="008B4ACA"/>
    <w:rsid w:val="008B4FEA"/>
    <w:rsid w:val="008B6C2A"/>
    <w:rsid w:val="008B76F8"/>
    <w:rsid w:val="008B7A73"/>
    <w:rsid w:val="008C23E8"/>
    <w:rsid w:val="008C29DB"/>
    <w:rsid w:val="008C4531"/>
    <w:rsid w:val="008C4D20"/>
    <w:rsid w:val="008C6258"/>
    <w:rsid w:val="008C6782"/>
    <w:rsid w:val="008C6F40"/>
    <w:rsid w:val="008C7709"/>
    <w:rsid w:val="008C7712"/>
    <w:rsid w:val="008C7E7B"/>
    <w:rsid w:val="008D1784"/>
    <w:rsid w:val="008D271C"/>
    <w:rsid w:val="008D27AF"/>
    <w:rsid w:val="008D392D"/>
    <w:rsid w:val="008D3C1A"/>
    <w:rsid w:val="008D43AB"/>
    <w:rsid w:val="008D5255"/>
    <w:rsid w:val="008D5440"/>
    <w:rsid w:val="008D5EE7"/>
    <w:rsid w:val="008D6550"/>
    <w:rsid w:val="008D6923"/>
    <w:rsid w:val="008D699E"/>
    <w:rsid w:val="008D6FD4"/>
    <w:rsid w:val="008E0558"/>
    <w:rsid w:val="008E17E5"/>
    <w:rsid w:val="008E2E6D"/>
    <w:rsid w:val="008E3706"/>
    <w:rsid w:val="008E3F36"/>
    <w:rsid w:val="008E446B"/>
    <w:rsid w:val="008E46FE"/>
    <w:rsid w:val="008E55B3"/>
    <w:rsid w:val="008E6440"/>
    <w:rsid w:val="008E6598"/>
    <w:rsid w:val="008E6831"/>
    <w:rsid w:val="008E74D2"/>
    <w:rsid w:val="008F0F4F"/>
    <w:rsid w:val="008F1C3D"/>
    <w:rsid w:val="008F2E4E"/>
    <w:rsid w:val="008F3C85"/>
    <w:rsid w:val="00900087"/>
    <w:rsid w:val="009003B2"/>
    <w:rsid w:val="00900403"/>
    <w:rsid w:val="00901D22"/>
    <w:rsid w:val="00902738"/>
    <w:rsid w:val="00903782"/>
    <w:rsid w:val="00906119"/>
    <w:rsid w:val="0090647B"/>
    <w:rsid w:val="00906EFE"/>
    <w:rsid w:val="00911487"/>
    <w:rsid w:val="00911778"/>
    <w:rsid w:val="00911C5E"/>
    <w:rsid w:val="00913B27"/>
    <w:rsid w:val="0091560E"/>
    <w:rsid w:val="009169CD"/>
    <w:rsid w:val="00920095"/>
    <w:rsid w:val="00922F28"/>
    <w:rsid w:val="009230F7"/>
    <w:rsid w:val="00923828"/>
    <w:rsid w:val="009244E9"/>
    <w:rsid w:val="00925036"/>
    <w:rsid w:val="0092560C"/>
    <w:rsid w:val="009267D4"/>
    <w:rsid w:val="00930000"/>
    <w:rsid w:val="00932973"/>
    <w:rsid w:val="00932999"/>
    <w:rsid w:val="00933F03"/>
    <w:rsid w:val="00936FDA"/>
    <w:rsid w:val="009415FD"/>
    <w:rsid w:val="00941B9E"/>
    <w:rsid w:val="00941C7B"/>
    <w:rsid w:val="0094223D"/>
    <w:rsid w:val="00943E3A"/>
    <w:rsid w:val="0094459B"/>
    <w:rsid w:val="00945E60"/>
    <w:rsid w:val="00946E1D"/>
    <w:rsid w:val="009503F5"/>
    <w:rsid w:val="00950CBE"/>
    <w:rsid w:val="009532BD"/>
    <w:rsid w:val="009533AE"/>
    <w:rsid w:val="0095381E"/>
    <w:rsid w:val="00953CBF"/>
    <w:rsid w:val="0095403D"/>
    <w:rsid w:val="0095668B"/>
    <w:rsid w:val="00956767"/>
    <w:rsid w:val="00957126"/>
    <w:rsid w:val="00957337"/>
    <w:rsid w:val="00960961"/>
    <w:rsid w:val="00961768"/>
    <w:rsid w:val="00962279"/>
    <w:rsid w:val="00962F55"/>
    <w:rsid w:val="009635E5"/>
    <w:rsid w:val="009646A5"/>
    <w:rsid w:val="00966751"/>
    <w:rsid w:val="00966878"/>
    <w:rsid w:val="009715B1"/>
    <w:rsid w:val="009734AE"/>
    <w:rsid w:val="0097371D"/>
    <w:rsid w:val="009741FF"/>
    <w:rsid w:val="009753FC"/>
    <w:rsid w:val="00976646"/>
    <w:rsid w:val="009804E3"/>
    <w:rsid w:val="009804EE"/>
    <w:rsid w:val="009805E6"/>
    <w:rsid w:val="00980AE0"/>
    <w:rsid w:val="00980EDA"/>
    <w:rsid w:val="00981659"/>
    <w:rsid w:val="009818AC"/>
    <w:rsid w:val="00982554"/>
    <w:rsid w:val="00982F13"/>
    <w:rsid w:val="009839CC"/>
    <w:rsid w:val="00983DDD"/>
    <w:rsid w:val="009856B7"/>
    <w:rsid w:val="00985EE1"/>
    <w:rsid w:val="00986C07"/>
    <w:rsid w:val="00987461"/>
    <w:rsid w:val="00987924"/>
    <w:rsid w:val="00991080"/>
    <w:rsid w:val="0099194A"/>
    <w:rsid w:val="00992887"/>
    <w:rsid w:val="00994888"/>
    <w:rsid w:val="00995C07"/>
    <w:rsid w:val="00996372"/>
    <w:rsid w:val="009964E9"/>
    <w:rsid w:val="0099669E"/>
    <w:rsid w:val="009969B9"/>
    <w:rsid w:val="00997CD8"/>
    <w:rsid w:val="00997FE7"/>
    <w:rsid w:val="009A0DD3"/>
    <w:rsid w:val="009A142F"/>
    <w:rsid w:val="009A3616"/>
    <w:rsid w:val="009A4D10"/>
    <w:rsid w:val="009A54F4"/>
    <w:rsid w:val="009A57C1"/>
    <w:rsid w:val="009A6F6D"/>
    <w:rsid w:val="009A7D13"/>
    <w:rsid w:val="009B0304"/>
    <w:rsid w:val="009B19E7"/>
    <w:rsid w:val="009B369D"/>
    <w:rsid w:val="009B3A18"/>
    <w:rsid w:val="009B48FB"/>
    <w:rsid w:val="009B4B58"/>
    <w:rsid w:val="009B4B71"/>
    <w:rsid w:val="009B50E8"/>
    <w:rsid w:val="009B536A"/>
    <w:rsid w:val="009B6D43"/>
    <w:rsid w:val="009B731B"/>
    <w:rsid w:val="009C03FB"/>
    <w:rsid w:val="009C11B6"/>
    <w:rsid w:val="009C20C6"/>
    <w:rsid w:val="009C20DD"/>
    <w:rsid w:val="009C2A6D"/>
    <w:rsid w:val="009C2F10"/>
    <w:rsid w:val="009C4550"/>
    <w:rsid w:val="009C57E2"/>
    <w:rsid w:val="009C5A3A"/>
    <w:rsid w:val="009C6BD3"/>
    <w:rsid w:val="009C7F60"/>
    <w:rsid w:val="009D0A2C"/>
    <w:rsid w:val="009D10C1"/>
    <w:rsid w:val="009D1684"/>
    <w:rsid w:val="009D1A1C"/>
    <w:rsid w:val="009D25D5"/>
    <w:rsid w:val="009D2A94"/>
    <w:rsid w:val="009D3B79"/>
    <w:rsid w:val="009D6217"/>
    <w:rsid w:val="009D62FD"/>
    <w:rsid w:val="009D659F"/>
    <w:rsid w:val="009D6F78"/>
    <w:rsid w:val="009D77BD"/>
    <w:rsid w:val="009E1480"/>
    <w:rsid w:val="009E1CBA"/>
    <w:rsid w:val="009E1CDD"/>
    <w:rsid w:val="009E3792"/>
    <w:rsid w:val="009E3849"/>
    <w:rsid w:val="009E3ECD"/>
    <w:rsid w:val="009E4880"/>
    <w:rsid w:val="009E4DD4"/>
    <w:rsid w:val="009E509A"/>
    <w:rsid w:val="009E52F5"/>
    <w:rsid w:val="009E6349"/>
    <w:rsid w:val="009E6444"/>
    <w:rsid w:val="009F2457"/>
    <w:rsid w:val="009F3083"/>
    <w:rsid w:val="009F31CE"/>
    <w:rsid w:val="009F36FB"/>
    <w:rsid w:val="009F3963"/>
    <w:rsid w:val="009F4E67"/>
    <w:rsid w:val="009F5BAB"/>
    <w:rsid w:val="009F7567"/>
    <w:rsid w:val="009F756D"/>
    <w:rsid w:val="00A013FA"/>
    <w:rsid w:val="00A01BA9"/>
    <w:rsid w:val="00A0237C"/>
    <w:rsid w:val="00A02684"/>
    <w:rsid w:val="00A032A4"/>
    <w:rsid w:val="00A03B64"/>
    <w:rsid w:val="00A04B2D"/>
    <w:rsid w:val="00A04B46"/>
    <w:rsid w:val="00A04D5E"/>
    <w:rsid w:val="00A04EF0"/>
    <w:rsid w:val="00A05CCF"/>
    <w:rsid w:val="00A063ED"/>
    <w:rsid w:val="00A0734D"/>
    <w:rsid w:val="00A10712"/>
    <w:rsid w:val="00A12DEC"/>
    <w:rsid w:val="00A14120"/>
    <w:rsid w:val="00A144AB"/>
    <w:rsid w:val="00A14D71"/>
    <w:rsid w:val="00A1537D"/>
    <w:rsid w:val="00A158C1"/>
    <w:rsid w:val="00A16500"/>
    <w:rsid w:val="00A171B2"/>
    <w:rsid w:val="00A21843"/>
    <w:rsid w:val="00A21A30"/>
    <w:rsid w:val="00A21ADC"/>
    <w:rsid w:val="00A21DD1"/>
    <w:rsid w:val="00A24091"/>
    <w:rsid w:val="00A24644"/>
    <w:rsid w:val="00A24F76"/>
    <w:rsid w:val="00A25368"/>
    <w:rsid w:val="00A25FCF"/>
    <w:rsid w:val="00A26997"/>
    <w:rsid w:val="00A27596"/>
    <w:rsid w:val="00A303BD"/>
    <w:rsid w:val="00A30C8E"/>
    <w:rsid w:val="00A34B40"/>
    <w:rsid w:val="00A34B9C"/>
    <w:rsid w:val="00A3592C"/>
    <w:rsid w:val="00A35962"/>
    <w:rsid w:val="00A403BB"/>
    <w:rsid w:val="00A42BA0"/>
    <w:rsid w:val="00A43216"/>
    <w:rsid w:val="00A44E81"/>
    <w:rsid w:val="00A455C1"/>
    <w:rsid w:val="00A45A18"/>
    <w:rsid w:val="00A45AFB"/>
    <w:rsid w:val="00A45E6B"/>
    <w:rsid w:val="00A466FB"/>
    <w:rsid w:val="00A46829"/>
    <w:rsid w:val="00A5032B"/>
    <w:rsid w:val="00A507BD"/>
    <w:rsid w:val="00A52AD0"/>
    <w:rsid w:val="00A530A4"/>
    <w:rsid w:val="00A53782"/>
    <w:rsid w:val="00A54DFF"/>
    <w:rsid w:val="00A55515"/>
    <w:rsid w:val="00A570A0"/>
    <w:rsid w:val="00A608B4"/>
    <w:rsid w:val="00A6125D"/>
    <w:rsid w:val="00A6200E"/>
    <w:rsid w:val="00A62A92"/>
    <w:rsid w:val="00A650E7"/>
    <w:rsid w:val="00A651B6"/>
    <w:rsid w:val="00A65593"/>
    <w:rsid w:val="00A676BC"/>
    <w:rsid w:val="00A70131"/>
    <w:rsid w:val="00A7166D"/>
    <w:rsid w:val="00A74459"/>
    <w:rsid w:val="00A746C1"/>
    <w:rsid w:val="00A7496C"/>
    <w:rsid w:val="00A76EF8"/>
    <w:rsid w:val="00A77180"/>
    <w:rsid w:val="00A77B59"/>
    <w:rsid w:val="00A830B4"/>
    <w:rsid w:val="00A8328A"/>
    <w:rsid w:val="00A853EC"/>
    <w:rsid w:val="00A858A6"/>
    <w:rsid w:val="00A87486"/>
    <w:rsid w:val="00A909BD"/>
    <w:rsid w:val="00A9136A"/>
    <w:rsid w:val="00A92234"/>
    <w:rsid w:val="00A92249"/>
    <w:rsid w:val="00A9248B"/>
    <w:rsid w:val="00A92D95"/>
    <w:rsid w:val="00A938E2"/>
    <w:rsid w:val="00A94007"/>
    <w:rsid w:val="00A95ADA"/>
    <w:rsid w:val="00A96931"/>
    <w:rsid w:val="00A96DF4"/>
    <w:rsid w:val="00AA1622"/>
    <w:rsid w:val="00AA2CF5"/>
    <w:rsid w:val="00AA3264"/>
    <w:rsid w:val="00AA5132"/>
    <w:rsid w:val="00AA6B74"/>
    <w:rsid w:val="00AA75C3"/>
    <w:rsid w:val="00AA7E63"/>
    <w:rsid w:val="00AB155C"/>
    <w:rsid w:val="00AB2742"/>
    <w:rsid w:val="00AB2CAC"/>
    <w:rsid w:val="00AB4193"/>
    <w:rsid w:val="00AB47AD"/>
    <w:rsid w:val="00AB52F6"/>
    <w:rsid w:val="00AB5CF5"/>
    <w:rsid w:val="00AB6E46"/>
    <w:rsid w:val="00AC0169"/>
    <w:rsid w:val="00AC0511"/>
    <w:rsid w:val="00AC1A1C"/>
    <w:rsid w:val="00AC1BDD"/>
    <w:rsid w:val="00AC2E62"/>
    <w:rsid w:val="00AC321F"/>
    <w:rsid w:val="00AC4E45"/>
    <w:rsid w:val="00AC5166"/>
    <w:rsid w:val="00AC54BF"/>
    <w:rsid w:val="00AC5BDD"/>
    <w:rsid w:val="00AC60E1"/>
    <w:rsid w:val="00AC6D3C"/>
    <w:rsid w:val="00AC7287"/>
    <w:rsid w:val="00AC7A46"/>
    <w:rsid w:val="00AD0471"/>
    <w:rsid w:val="00AD0AD4"/>
    <w:rsid w:val="00AD0EA5"/>
    <w:rsid w:val="00AD1A4E"/>
    <w:rsid w:val="00AD1F80"/>
    <w:rsid w:val="00AD2727"/>
    <w:rsid w:val="00AD4A85"/>
    <w:rsid w:val="00AD5E29"/>
    <w:rsid w:val="00AD5EE7"/>
    <w:rsid w:val="00AD615B"/>
    <w:rsid w:val="00AE0A47"/>
    <w:rsid w:val="00AE1062"/>
    <w:rsid w:val="00AE203B"/>
    <w:rsid w:val="00AE31ED"/>
    <w:rsid w:val="00AE3CCA"/>
    <w:rsid w:val="00AE5551"/>
    <w:rsid w:val="00AE6F3A"/>
    <w:rsid w:val="00AE7750"/>
    <w:rsid w:val="00AF0575"/>
    <w:rsid w:val="00AF0C00"/>
    <w:rsid w:val="00AF20A5"/>
    <w:rsid w:val="00AF3034"/>
    <w:rsid w:val="00AF30FD"/>
    <w:rsid w:val="00AF3CBC"/>
    <w:rsid w:val="00AF3F21"/>
    <w:rsid w:val="00AF5C0C"/>
    <w:rsid w:val="00AF5C56"/>
    <w:rsid w:val="00AF6403"/>
    <w:rsid w:val="00B00270"/>
    <w:rsid w:val="00B00730"/>
    <w:rsid w:val="00B00E77"/>
    <w:rsid w:val="00B00F4F"/>
    <w:rsid w:val="00B01E1A"/>
    <w:rsid w:val="00B026A4"/>
    <w:rsid w:val="00B032B3"/>
    <w:rsid w:val="00B04AD4"/>
    <w:rsid w:val="00B05F6D"/>
    <w:rsid w:val="00B06047"/>
    <w:rsid w:val="00B060FF"/>
    <w:rsid w:val="00B06BBD"/>
    <w:rsid w:val="00B06CDB"/>
    <w:rsid w:val="00B06FC3"/>
    <w:rsid w:val="00B07DA6"/>
    <w:rsid w:val="00B10C76"/>
    <w:rsid w:val="00B10F29"/>
    <w:rsid w:val="00B112B6"/>
    <w:rsid w:val="00B11870"/>
    <w:rsid w:val="00B11F0E"/>
    <w:rsid w:val="00B1211A"/>
    <w:rsid w:val="00B13D8E"/>
    <w:rsid w:val="00B14A93"/>
    <w:rsid w:val="00B15997"/>
    <w:rsid w:val="00B15ACB"/>
    <w:rsid w:val="00B1677A"/>
    <w:rsid w:val="00B17FDC"/>
    <w:rsid w:val="00B20D67"/>
    <w:rsid w:val="00B20ED8"/>
    <w:rsid w:val="00B21179"/>
    <w:rsid w:val="00B21F1F"/>
    <w:rsid w:val="00B25DD3"/>
    <w:rsid w:val="00B26BD4"/>
    <w:rsid w:val="00B279AF"/>
    <w:rsid w:val="00B3083D"/>
    <w:rsid w:val="00B3098A"/>
    <w:rsid w:val="00B311F5"/>
    <w:rsid w:val="00B3299A"/>
    <w:rsid w:val="00B33140"/>
    <w:rsid w:val="00B337DF"/>
    <w:rsid w:val="00B3427F"/>
    <w:rsid w:val="00B34FAD"/>
    <w:rsid w:val="00B3580F"/>
    <w:rsid w:val="00B35D8B"/>
    <w:rsid w:val="00B35F23"/>
    <w:rsid w:val="00B366FB"/>
    <w:rsid w:val="00B36771"/>
    <w:rsid w:val="00B368E9"/>
    <w:rsid w:val="00B36E9A"/>
    <w:rsid w:val="00B36ED2"/>
    <w:rsid w:val="00B37AC0"/>
    <w:rsid w:val="00B43BE6"/>
    <w:rsid w:val="00B45874"/>
    <w:rsid w:val="00B46586"/>
    <w:rsid w:val="00B4792E"/>
    <w:rsid w:val="00B47B63"/>
    <w:rsid w:val="00B50BCC"/>
    <w:rsid w:val="00B51061"/>
    <w:rsid w:val="00B51734"/>
    <w:rsid w:val="00B52B55"/>
    <w:rsid w:val="00B539BF"/>
    <w:rsid w:val="00B546B1"/>
    <w:rsid w:val="00B55258"/>
    <w:rsid w:val="00B55AAC"/>
    <w:rsid w:val="00B55C1C"/>
    <w:rsid w:val="00B56BAB"/>
    <w:rsid w:val="00B612EB"/>
    <w:rsid w:val="00B615E4"/>
    <w:rsid w:val="00B61877"/>
    <w:rsid w:val="00B61EF2"/>
    <w:rsid w:val="00B640ED"/>
    <w:rsid w:val="00B65791"/>
    <w:rsid w:val="00B65D58"/>
    <w:rsid w:val="00B66161"/>
    <w:rsid w:val="00B6662A"/>
    <w:rsid w:val="00B70344"/>
    <w:rsid w:val="00B7257A"/>
    <w:rsid w:val="00B73637"/>
    <w:rsid w:val="00B7369B"/>
    <w:rsid w:val="00B73D1C"/>
    <w:rsid w:val="00B73DA6"/>
    <w:rsid w:val="00B74D5D"/>
    <w:rsid w:val="00B755B0"/>
    <w:rsid w:val="00B771E7"/>
    <w:rsid w:val="00B773EF"/>
    <w:rsid w:val="00B7795C"/>
    <w:rsid w:val="00B80A12"/>
    <w:rsid w:val="00B85805"/>
    <w:rsid w:val="00B86089"/>
    <w:rsid w:val="00B866DB"/>
    <w:rsid w:val="00B86BAB"/>
    <w:rsid w:val="00B87A8F"/>
    <w:rsid w:val="00B90335"/>
    <w:rsid w:val="00B90B14"/>
    <w:rsid w:val="00B9140F"/>
    <w:rsid w:val="00B92117"/>
    <w:rsid w:val="00B938C7"/>
    <w:rsid w:val="00B93CCF"/>
    <w:rsid w:val="00B94742"/>
    <w:rsid w:val="00B97E19"/>
    <w:rsid w:val="00BA07FE"/>
    <w:rsid w:val="00BA0E0D"/>
    <w:rsid w:val="00BA105D"/>
    <w:rsid w:val="00BA1115"/>
    <w:rsid w:val="00BA1998"/>
    <w:rsid w:val="00BA22EB"/>
    <w:rsid w:val="00BA280F"/>
    <w:rsid w:val="00BA3C9A"/>
    <w:rsid w:val="00BA49E8"/>
    <w:rsid w:val="00BA4AAB"/>
    <w:rsid w:val="00BA5423"/>
    <w:rsid w:val="00BA5892"/>
    <w:rsid w:val="00BA65A8"/>
    <w:rsid w:val="00BA66D2"/>
    <w:rsid w:val="00BA700E"/>
    <w:rsid w:val="00BB0166"/>
    <w:rsid w:val="00BB0439"/>
    <w:rsid w:val="00BB1241"/>
    <w:rsid w:val="00BB48BD"/>
    <w:rsid w:val="00BB6656"/>
    <w:rsid w:val="00BC056E"/>
    <w:rsid w:val="00BC21A0"/>
    <w:rsid w:val="00BC7315"/>
    <w:rsid w:val="00BC7671"/>
    <w:rsid w:val="00BC7734"/>
    <w:rsid w:val="00BD077F"/>
    <w:rsid w:val="00BD07FE"/>
    <w:rsid w:val="00BD1435"/>
    <w:rsid w:val="00BD1A92"/>
    <w:rsid w:val="00BD2511"/>
    <w:rsid w:val="00BD2633"/>
    <w:rsid w:val="00BD32FB"/>
    <w:rsid w:val="00BD3386"/>
    <w:rsid w:val="00BD3BD0"/>
    <w:rsid w:val="00BD3E97"/>
    <w:rsid w:val="00BD4588"/>
    <w:rsid w:val="00BD45AF"/>
    <w:rsid w:val="00BD5EB6"/>
    <w:rsid w:val="00BD65CA"/>
    <w:rsid w:val="00BD6E0B"/>
    <w:rsid w:val="00BD78BB"/>
    <w:rsid w:val="00BE0732"/>
    <w:rsid w:val="00BE16DF"/>
    <w:rsid w:val="00BE28F5"/>
    <w:rsid w:val="00BE2EC0"/>
    <w:rsid w:val="00BE3473"/>
    <w:rsid w:val="00BE3E35"/>
    <w:rsid w:val="00BE4E83"/>
    <w:rsid w:val="00BE5C03"/>
    <w:rsid w:val="00BE6EAE"/>
    <w:rsid w:val="00BF1134"/>
    <w:rsid w:val="00BF11D2"/>
    <w:rsid w:val="00BF1D74"/>
    <w:rsid w:val="00BF3187"/>
    <w:rsid w:val="00BF33DF"/>
    <w:rsid w:val="00BF4F06"/>
    <w:rsid w:val="00BF6714"/>
    <w:rsid w:val="00BF6D51"/>
    <w:rsid w:val="00BF7774"/>
    <w:rsid w:val="00BF7830"/>
    <w:rsid w:val="00C0003F"/>
    <w:rsid w:val="00C005B3"/>
    <w:rsid w:val="00C02000"/>
    <w:rsid w:val="00C035E4"/>
    <w:rsid w:val="00C03B9B"/>
    <w:rsid w:val="00C0419A"/>
    <w:rsid w:val="00C04287"/>
    <w:rsid w:val="00C06ADB"/>
    <w:rsid w:val="00C07AA6"/>
    <w:rsid w:val="00C1176D"/>
    <w:rsid w:val="00C134AE"/>
    <w:rsid w:val="00C13A28"/>
    <w:rsid w:val="00C13BBE"/>
    <w:rsid w:val="00C13BC2"/>
    <w:rsid w:val="00C14B10"/>
    <w:rsid w:val="00C15C55"/>
    <w:rsid w:val="00C16C10"/>
    <w:rsid w:val="00C17680"/>
    <w:rsid w:val="00C178BB"/>
    <w:rsid w:val="00C17A0E"/>
    <w:rsid w:val="00C21316"/>
    <w:rsid w:val="00C21EC5"/>
    <w:rsid w:val="00C223EF"/>
    <w:rsid w:val="00C22521"/>
    <w:rsid w:val="00C23D55"/>
    <w:rsid w:val="00C24034"/>
    <w:rsid w:val="00C25F32"/>
    <w:rsid w:val="00C25FAB"/>
    <w:rsid w:val="00C2656A"/>
    <w:rsid w:val="00C26C12"/>
    <w:rsid w:val="00C27034"/>
    <w:rsid w:val="00C27F52"/>
    <w:rsid w:val="00C300A2"/>
    <w:rsid w:val="00C3011F"/>
    <w:rsid w:val="00C30725"/>
    <w:rsid w:val="00C310F4"/>
    <w:rsid w:val="00C33341"/>
    <w:rsid w:val="00C341D2"/>
    <w:rsid w:val="00C34D5F"/>
    <w:rsid w:val="00C35772"/>
    <w:rsid w:val="00C35AF1"/>
    <w:rsid w:val="00C35F6B"/>
    <w:rsid w:val="00C364D9"/>
    <w:rsid w:val="00C37F07"/>
    <w:rsid w:val="00C4075F"/>
    <w:rsid w:val="00C419F3"/>
    <w:rsid w:val="00C437DA"/>
    <w:rsid w:val="00C43C4C"/>
    <w:rsid w:val="00C4438A"/>
    <w:rsid w:val="00C4462E"/>
    <w:rsid w:val="00C466AA"/>
    <w:rsid w:val="00C469B7"/>
    <w:rsid w:val="00C47C3E"/>
    <w:rsid w:val="00C501A3"/>
    <w:rsid w:val="00C50A33"/>
    <w:rsid w:val="00C5175E"/>
    <w:rsid w:val="00C5198F"/>
    <w:rsid w:val="00C52B23"/>
    <w:rsid w:val="00C5313C"/>
    <w:rsid w:val="00C5342C"/>
    <w:rsid w:val="00C54210"/>
    <w:rsid w:val="00C55072"/>
    <w:rsid w:val="00C57BB7"/>
    <w:rsid w:val="00C60251"/>
    <w:rsid w:val="00C606C7"/>
    <w:rsid w:val="00C60C4C"/>
    <w:rsid w:val="00C61AA6"/>
    <w:rsid w:val="00C62097"/>
    <w:rsid w:val="00C64414"/>
    <w:rsid w:val="00C65ABD"/>
    <w:rsid w:val="00C66B28"/>
    <w:rsid w:val="00C66B88"/>
    <w:rsid w:val="00C706FC"/>
    <w:rsid w:val="00C70E73"/>
    <w:rsid w:val="00C720EB"/>
    <w:rsid w:val="00C72B7A"/>
    <w:rsid w:val="00C72C91"/>
    <w:rsid w:val="00C7363F"/>
    <w:rsid w:val="00C73B68"/>
    <w:rsid w:val="00C73C92"/>
    <w:rsid w:val="00C747C6"/>
    <w:rsid w:val="00C74C3F"/>
    <w:rsid w:val="00C75136"/>
    <w:rsid w:val="00C7534C"/>
    <w:rsid w:val="00C755ED"/>
    <w:rsid w:val="00C75BDE"/>
    <w:rsid w:val="00C768D7"/>
    <w:rsid w:val="00C817AE"/>
    <w:rsid w:val="00C81A56"/>
    <w:rsid w:val="00C822FE"/>
    <w:rsid w:val="00C824A0"/>
    <w:rsid w:val="00C826C7"/>
    <w:rsid w:val="00C82FAE"/>
    <w:rsid w:val="00C83127"/>
    <w:rsid w:val="00C84453"/>
    <w:rsid w:val="00C844AF"/>
    <w:rsid w:val="00C84935"/>
    <w:rsid w:val="00C84EDC"/>
    <w:rsid w:val="00C85290"/>
    <w:rsid w:val="00C861B1"/>
    <w:rsid w:val="00C86C39"/>
    <w:rsid w:val="00C87E75"/>
    <w:rsid w:val="00C90092"/>
    <w:rsid w:val="00C900A5"/>
    <w:rsid w:val="00C9071A"/>
    <w:rsid w:val="00C90D4A"/>
    <w:rsid w:val="00C91DB6"/>
    <w:rsid w:val="00C91E54"/>
    <w:rsid w:val="00C92AA1"/>
    <w:rsid w:val="00C92B0F"/>
    <w:rsid w:val="00C93635"/>
    <w:rsid w:val="00C94299"/>
    <w:rsid w:val="00C945DF"/>
    <w:rsid w:val="00C9554F"/>
    <w:rsid w:val="00C955B5"/>
    <w:rsid w:val="00C97515"/>
    <w:rsid w:val="00C97C99"/>
    <w:rsid w:val="00CA06E8"/>
    <w:rsid w:val="00CA080A"/>
    <w:rsid w:val="00CA0825"/>
    <w:rsid w:val="00CA0EF1"/>
    <w:rsid w:val="00CA32C1"/>
    <w:rsid w:val="00CA413E"/>
    <w:rsid w:val="00CA48FF"/>
    <w:rsid w:val="00CA66EB"/>
    <w:rsid w:val="00CA7018"/>
    <w:rsid w:val="00CA7FA8"/>
    <w:rsid w:val="00CB0348"/>
    <w:rsid w:val="00CB052E"/>
    <w:rsid w:val="00CB0958"/>
    <w:rsid w:val="00CB1196"/>
    <w:rsid w:val="00CB1634"/>
    <w:rsid w:val="00CB269F"/>
    <w:rsid w:val="00CB356C"/>
    <w:rsid w:val="00CB358A"/>
    <w:rsid w:val="00CB36C6"/>
    <w:rsid w:val="00CB3790"/>
    <w:rsid w:val="00CB439A"/>
    <w:rsid w:val="00CB5077"/>
    <w:rsid w:val="00CB5EB6"/>
    <w:rsid w:val="00CB7230"/>
    <w:rsid w:val="00CB7762"/>
    <w:rsid w:val="00CC0556"/>
    <w:rsid w:val="00CC063B"/>
    <w:rsid w:val="00CC0B59"/>
    <w:rsid w:val="00CC114F"/>
    <w:rsid w:val="00CC2173"/>
    <w:rsid w:val="00CC3B3E"/>
    <w:rsid w:val="00CC419A"/>
    <w:rsid w:val="00CC46E3"/>
    <w:rsid w:val="00CC4A68"/>
    <w:rsid w:val="00CC605A"/>
    <w:rsid w:val="00CC674C"/>
    <w:rsid w:val="00CC75F2"/>
    <w:rsid w:val="00CC796D"/>
    <w:rsid w:val="00CC7C9E"/>
    <w:rsid w:val="00CD0578"/>
    <w:rsid w:val="00CD067B"/>
    <w:rsid w:val="00CD0D72"/>
    <w:rsid w:val="00CD1CE8"/>
    <w:rsid w:val="00CD22BF"/>
    <w:rsid w:val="00CD28D3"/>
    <w:rsid w:val="00CD49E9"/>
    <w:rsid w:val="00CD4F0B"/>
    <w:rsid w:val="00CD5DFB"/>
    <w:rsid w:val="00CD78A7"/>
    <w:rsid w:val="00CE0670"/>
    <w:rsid w:val="00CE3478"/>
    <w:rsid w:val="00CE401B"/>
    <w:rsid w:val="00CE7A9E"/>
    <w:rsid w:val="00CE7C35"/>
    <w:rsid w:val="00CF007C"/>
    <w:rsid w:val="00CF0810"/>
    <w:rsid w:val="00CF17A1"/>
    <w:rsid w:val="00CF17FE"/>
    <w:rsid w:val="00CF2A91"/>
    <w:rsid w:val="00CF3F40"/>
    <w:rsid w:val="00CF4593"/>
    <w:rsid w:val="00CF461F"/>
    <w:rsid w:val="00CF7CA9"/>
    <w:rsid w:val="00CF7F95"/>
    <w:rsid w:val="00D010F5"/>
    <w:rsid w:val="00D02CFE"/>
    <w:rsid w:val="00D03527"/>
    <w:rsid w:val="00D03D80"/>
    <w:rsid w:val="00D04AB8"/>
    <w:rsid w:val="00D05ECF"/>
    <w:rsid w:val="00D06BFF"/>
    <w:rsid w:val="00D07BB0"/>
    <w:rsid w:val="00D118D1"/>
    <w:rsid w:val="00D11937"/>
    <w:rsid w:val="00D12D80"/>
    <w:rsid w:val="00D13307"/>
    <w:rsid w:val="00D14FCB"/>
    <w:rsid w:val="00D15EC5"/>
    <w:rsid w:val="00D17813"/>
    <w:rsid w:val="00D17D60"/>
    <w:rsid w:val="00D20890"/>
    <w:rsid w:val="00D20D7A"/>
    <w:rsid w:val="00D20DAD"/>
    <w:rsid w:val="00D21112"/>
    <w:rsid w:val="00D2111D"/>
    <w:rsid w:val="00D21544"/>
    <w:rsid w:val="00D229E5"/>
    <w:rsid w:val="00D22EDE"/>
    <w:rsid w:val="00D235AB"/>
    <w:rsid w:val="00D23C01"/>
    <w:rsid w:val="00D247CA"/>
    <w:rsid w:val="00D24AB9"/>
    <w:rsid w:val="00D24E42"/>
    <w:rsid w:val="00D25A7A"/>
    <w:rsid w:val="00D26CEB"/>
    <w:rsid w:val="00D27352"/>
    <w:rsid w:val="00D3008F"/>
    <w:rsid w:val="00D30C9F"/>
    <w:rsid w:val="00D311B3"/>
    <w:rsid w:val="00D31218"/>
    <w:rsid w:val="00D31662"/>
    <w:rsid w:val="00D31AF0"/>
    <w:rsid w:val="00D3309B"/>
    <w:rsid w:val="00D3372C"/>
    <w:rsid w:val="00D33A9F"/>
    <w:rsid w:val="00D37415"/>
    <w:rsid w:val="00D376D4"/>
    <w:rsid w:val="00D37AF4"/>
    <w:rsid w:val="00D42C7B"/>
    <w:rsid w:val="00D42F51"/>
    <w:rsid w:val="00D43FD0"/>
    <w:rsid w:val="00D4408A"/>
    <w:rsid w:val="00D44D4D"/>
    <w:rsid w:val="00D45709"/>
    <w:rsid w:val="00D466EC"/>
    <w:rsid w:val="00D46D9A"/>
    <w:rsid w:val="00D5032C"/>
    <w:rsid w:val="00D513CE"/>
    <w:rsid w:val="00D523C4"/>
    <w:rsid w:val="00D53899"/>
    <w:rsid w:val="00D54494"/>
    <w:rsid w:val="00D55156"/>
    <w:rsid w:val="00D556CC"/>
    <w:rsid w:val="00D5695C"/>
    <w:rsid w:val="00D56A4B"/>
    <w:rsid w:val="00D5718A"/>
    <w:rsid w:val="00D57BFD"/>
    <w:rsid w:val="00D6051D"/>
    <w:rsid w:val="00D60948"/>
    <w:rsid w:val="00D618A7"/>
    <w:rsid w:val="00D62031"/>
    <w:rsid w:val="00D62BF0"/>
    <w:rsid w:val="00D62F55"/>
    <w:rsid w:val="00D64659"/>
    <w:rsid w:val="00D64E7C"/>
    <w:rsid w:val="00D6528C"/>
    <w:rsid w:val="00D660D7"/>
    <w:rsid w:val="00D727C1"/>
    <w:rsid w:val="00D72FBC"/>
    <w:rsid w:val="00D73269"/>
    <w:rsid w:val="00D73D46"/>
    <w:rsid w:val="00D75F7C"/>
    <w:rsid w:val="00D75F83"/>
    <w:rsid w:val="00D76269"/>
    <w:rsid w:val="00D76375"/>
    <w:rsid w:val="00D77D17"/>
    <w:rsid w:val="00D8015B"/>
    <w:rsid w:val="00D816B3"/>
    <w:rsid w:val="00D82016"/>
    <w:rsid w:val="00D829EF"/>
    <w:rsid w:val="00D831D2"/>
    <w:rsid w:val="00D83B28"/>
    <w:rsid w:val="00D83D9B"/>
    <w:rsid w:val="00D84BBE"/>
    <w:rsid w:val="00D86D23"/>
    <w:rsid w:val="00D86E69"/>
    <w:rsid w:val="00D87188"/>
    <w:rsid w:val="00D87E6F"/>
    <w:rsid w:val="00D90D44"/>
    <w:rsid w:val="00D90F52"/>
    <w:rsid w:val="00D912BF"/>
    <w:rsid w:val="00D9150D"/>
    <w:rsid w:val="00D92DF9"/>
    <w:rsid w:val="00D934F4"/>
    <w:rsid w:val="00D93BE4"/>
    <w:rsid w:val="00D93F3F"/>
    <w:rsid w:val="00D949F5"/>
    <w:rsid w:val="00D94ACF"/>
    <w:rsid w:val="00D96C28"/>
    <w:rsid w:val="00D97B1D"/>
    <w:rsid w:val="00DA0047"/>
    <w:rsid w:val="00DA14B0"/>
    <w:rsid w:val="00DA181F"/>
    <w:rsid w:val="00DA4191"/>
    <w:rsid w:val="00DA4CD1"/>
    <w:rsid w:val="00DA5861"/>
    <w:rsid w:val="00DA587A"/>
    <w:rsid w:val="00DA6066"/>
    <w:rsid w:val="00DA6EF8"/>
    <w:rsid w:val="00DA71D1"/>
    <w:rsid w:val="00DA7450"/>
    <w:rsid w:val="00DA7747"/>
    <w:rsid w:val="00DA7FA3"/>
    <w:rsid w:val="00DB052B"/>
    <w:rsid w:val="00DB058F"/>
    <w:rsid w:val="00DB08D6"/>
    <w:rsid w:val="00DB14FB"/>
    <w:rsid w:val="00DB1B8E"/>
    <w:rsid w:val="00DB3813"/>
    <w:rsid w:val="00DB4392"/>
    <w:rsid w:val="00DB4775"/>
    <w:rsid w:val="00DB7680"/>
    <w:rsid w:val="00DB7793"/>
    <w:rsid w:val="00DB7908"/>
    <w:rsid w:val="00DC0DB3"/>
    <w:rsid w:val="00DC16A4"/>
    <w:rsid w:val="00DC3167"/>
    <w:rsid w:val="00DC3B4D"/>
    <w:rsid w:val="00DC3D2A"/>
    <w:rsid w:val="00DC4D92"/>
    <w:rsid w:val="00DC75D1"/>
    <w:rsid w:val="00DD093F"/>
    <w:rsid w:val="00DD0C5F"/>
    <w:rsid w:val="00DD0D62"/>
    <w:rsid w:val="00DD0DC4"/>
    <w:rsid w:val="00DD1A29"/>
    <w:rsid w:val="00DD1FDA"/>
    <w:rsid w:val="00DD25A2"/>
    <w:rsid w:val="00DD39A8"/>
    <w:rsid w:val="00DD4286"/>
    <w:rsid w:val="00DD48B9"/>
    <w:rsid w:val="00DD5367"/>
    <w:rsid w:val="00DD5BE0"/>
    <w:rsid w:val="00DD71BC"/>
    <w:rsid w:val="00DE06C3"/>
    <w:rsid w:val="00DE13CF"/>
    <w:rsid w:val="00DE2D05"/>
    <w:rsid w:val="00DE7111"/>
    <w:rsid w:val="00DE7BBA"/>
    <w:rsid w:val="00DF0DD9"/>
    <w:rsid w:val="00DF284B"/>
    <w:rsid w:val="00DF44F4"/>
    <w:rsid w:val="00DF58F3"/>
    <w:rsid w:val="00DF662E"/>
    <w:rsid w:val="00DF66AF"/>
    <w:rsid w:val="00DF7057"/>
    <w:rsid w:val="00DF7609"/>
    <w:rsid w:val="00DF7821"/>
    <w:rsid w:val="00E0117C"/>
    <w:rsid w:val="00E019AB"/>
    <w:rsid w:val="00E023E1"/>
    <w:rsid w:val="00E02452"/>
    <w:rsid w:val="00E0274C"/>
    <w:rsid w:val="00E02CB6"/>
    <w:rsid w:val="00E03C51"/>
    <w:rsid w:val="00E04285"/>
    <w:rsid w:val="00E042A9"/>
    <w:rsid w:val="00E044EE"/>
    <w:rsid w:val="00E04C06"/>
    <w:rsid w:val="00E050BB"/>
    <w:rsid w:val="00E05F40"/>
    <w:rsid w:val="00E075E2"/>
    <w:rsid w:val="00E1258C"/>
    <w:rsid w:val="00E1331A"/>
    <w:rsid w:val="00E13B03"/>
    <w:rsid w:val="00E13CCF"/>
    <w:rsid w:val="00E15F41"/>
    <w:rsid w:val="00E169A5"/>
    <w:rsid w:val="00E178CB"/>
    <w:rsid w:val="00E17BFD"/>
    <w:rsid w:val="00E17E9B"/>
    <w:rsid w:val="00E20C60"/>
    <w:rsid w:val="00E21C43"/>
    <w:rsid w:val="00E21F34"/>
    <w:rsid w:val="00E220C8"/>
    <w:rsid w:val="00E25738"/>
    <w:rsid w:val="00E26179"/>
    <w:rsid w:val="00E300A7"/>
    <w:rsid w:val="00E30712"/>
    <w:rsid w:val="00E30B51"/>
    <w:rsid w:val="00E30CE8"/>
    <w:rsid w:val="00E3299A"/>
    <w:rsid w:val="00E32A39"/>
    <w:rsid w:val="00E32C3A"/>
    <w:rsid w:val="00E34857"/>
    <w:rsid w:val="00E34932"/>
    <w:rsid w:val="00E34CD1"/>
    <w:rsid w:val="00E36905"/>
    <w:rsid w:val="00E36B95"/>
    <w:rsid w:val="00E405BE"/>
    <w:rsid w:val="00E40C05"/>
    <w:rsid w:val="00E41422"/>
    <w:rsid w:val="00E41744"/>
    <w:rsid w:val="00E42650"/>
    <w:rsid w:val="00E42B0E"/>
    <w:rsid w:val="00E433B6"/>
    <w:rsid w:val="00E43B1D"/>
    <w:rsid w:val="00E45106"/>
    <w:rsid w:val="00E4547F"/>
    <w:rsid w:val="00E4598C"/>
    <w:rsid w:val="00E45E31"/>
    <w:rsid w:val="00E46CA4"/>
    <w:rsid w:val="00E50F74"/>
    <w:rsid w:val="00E51950"/>
    <w:rsid w:val="00E51970"/>
    <w:rsid w:val="00E521F7"/>
    <w:rsid w:val="00E5403C"/>
    <w:rsid w:val="00E555D0"/>
    <w:rsid w:val="00E556A2"/>
    <w:rsid w:val="00E55B8C"/>
    <w:rsid w:val="00E561C0"/>
    <w:rsid w:val="00E5761C"/>
    <w:rsid w:val="00E57745"/>
    <w:rsid w:val="00E60F8B"/>
    <w:rsid w:val="00E618B1"/>
    <w:rsid w:val="00E63691"/>
    <w:rsid w:val="00E6392C"/>
    <w:rsid w:val="00E647A2"/>
    <w:rsid w:val="00E65841"/>
    <w:rsid w:val="00E665C5"/>
    <w:rsid w:val="00E674D4"/>
    <w:rsid w:val="00E67BA8"/>
    <w:rsid w:val="00E74AED"/>
    <w:rsid w:val="00E752C3"/>
    <w:rsid w:val="00E75424"/>
    <w:rsid w:val="00E75672"/>
    <w:rsid w:val="00E7610F"/>
    <w:rsid w:val="00E7640A"/>
    <w:rsid w:val="00E7754B"/>
    <w:rsid w:val="00E77BA8"/>
    <w:rsid w:val="00E77BBA"/>
    <w:rsid w:val="00E809A1"/>
    <w:rsid w:val="00E8387F"/>
    <w:rsid w:val="00E8415F"/>
    <w:rsid w:val="00E84F83"/>
    <w:rsid w:val="00E85EF0"/>
    <w:rsid w:val="00E866B2"/>
    <w:rsid w:val="00E871CB"/>
    <w:rsid w:val="00E873CE"/>
    <w:rsid w:val="00E92C7D"/>
    <w:rsid w:val="00E931E0"/>
    <w:rsid w:val="00E93C76"/>
    <w:rsid w:val="00E93DD8"/>
    <w:rsid w:val="00E94169"/>
    <w:rsid w:val="00E95A9F"/>
    <w:rsid w:val="00E95B2D"/>
    <w:rsid w:val="00E95BA1"/>
    <w:rsid w:val="00E96211"/>
    <w:rsid w:val="00E97A28"/>
    <w:rsid w:val="00EA0D06"/>
    <w:rsid w:val="00EA10A7"/>
    <w:rsid w:val="00EA1627"/>
    <w:rsid w:val="00EA1F09"/>
    <w:rsid w:val="00EA2B73"/>
    <w:rsid w:val="00EA3835"/>
    <w:rsid w:val="00EA40AC"/>
    <w:rsid w:val="00EB0273"/>
    <w:rsid w:val="00EB04CE"/>
    <w:rsid w:val="00EB1996"/>
    <w:rsid w:val="00EB2501"/>
    <w:rsid w:val="00EB310E"/>
    <w:rsid w:val="00EB4970"/>
    <w:rsid w:val="00EB6038"/>
    <w:rsid w:val="00EC0053"/>
    <w:rsid w:val="00EC0678"/>
    <w:rsid w:val="00EC0A62"/>
    <w:rsid w:val="00EC2538"/>
    <w:rsid w:val="00EC2772"/>
    <w:rsid w:val="00EC2B8F"/>
    <w:rsid w:val="00EC3BA0"/>
    <w:rsid w:val="00EC5982"/>
    <w:rsid w:val="00EC5B43"/>
    <w:rsid w:val="00EC5F97"/>
    <w:rsid w:val="00ED0012"/>
    <w:rsid w:val="00ED0822"/>
    <w:rsid w:val="00ED0EF4"/>
    <w:rsid w:val="00ED0F25"/>
    <w:rsid w:val="00ED2D8B"/>
    <w:rsid w:val="00ED3891"/>
    <w:rsid w:val="00ED3932"/>
    <w:rsid w:val="00ED4365"/>
    <w:rsid w:val="00ED51A3"/>
    <w:rsid w:val="00ED5935"/>
    <w:rsid w:val="00ED650C"/>
    <w:rsid w:val="00ED6D59"/>
    <w:rsid w:val="00ED7CF2"/>
    <w:rsid w:val="00EE0119"/>
    <w:rsid w:val="00EE0D5B"/>
    <w:rsid w:val="00EE12C9"/>
    <w:rsid w:val="00EE1B67"/>
    <w:rsid w:val="00EE4018"/>
    <w:rsid w:val="00EE48CD"/>
    <w:rsid w:val="00EE53F9"/>
    <w:rsid w:val="00EE5D6D"/>
    <w:rsid w:val="00EE6368"/>
    <w:rsid w:val="00EE73E8"/>
    <w:rsid w:val="00EE7F26"/>
    <w:rsid w:val="00EF00C6"/>
    <w:rsid w:val="00EF089C"/>
    <w:rsid w:val="00EF0F70"/>
    <w:rsid w:val="00EF1082"/>
    <w:rsid w:val="00EF141E"/>
    <w:rsid w:val="00EF15DF"/>
    <w:rsid w:val="00EF1E02"/>
    <w:rsid w:val="00EF25CE"/>
    <w:rsid w:val="00EF2ED7"/>
    <w:rsid w:val="00EF3456"/>
    <w:rsid w:val="00EF46C5"/>
    <w:rsid w:val="00EF4E18"/>
    <w:rsid w:val="00EF60B8"/>
    <w:rsid w:val="00EF6BF8"/>
    <w:rsid w:val="00F011E6"/>
    <w:rsid w:val="00F0146B"/>
    <w:rsid w:val="00F023FD"/>
    <w:rsid w:val="00F03515"/>
    <w:rsid w:val="00F04641"/>
    <w:rsid w:val="00F04737"/>
    <w:rsid w:val="00F04C23"/>
    <w:rsid w:val="00F0559C"/>
    <w:rsid w:val="00F05C6C"/>
    <w:rsid w:val="00F061A5"/>
    <w:rsid w:val="00F06366"/>
    <w:rsid w:val="00F1032B"/>
    <w:rsid w:val="00F104AB"/>
    <w:rsid w:val="00F129BD"/>
    <w:rsid w:val="00F12BB5"/>
    <w:rsid w:val="00F13057"/>
    <w:rsid w:val="00F1306E"/>
    <w:rsid w:val="00F13199"/>
    <w:rsid w:val="00F1387A"/>
    <w:rsid w:val="00F13A2E"/>
    <w:rsid w:val="00F16852"/>
    <w:rsid w:val="00F17BE4"/>
    <w:rsid w:val="00F2011C"/>
    <w:rsid w:val="00F206B3"/>
    <w:rsid w:val="00F207EF"/>
    <w:rsid w:val="00F219BE"/>
    <w:rsid w:val="00F220EA"/>
    <w:rsid w:val="00F23782"/>
    <w:rsid w:val="00F24515"/>
    <w:rsid w:val="00F24F37"/>
    <w:rsid w:val="00F26417"/>
    <w:rsid w:val="00F275A4"/>
    <w:rsid w:val="00F31DA3"/>
    <w:rsid w:val="00F3201C"/>
    <w:rsid w:val="00F323C1"/>
    <w:rsid w:val="00F3278F"/>
    <w:rsid w:val="00F33292"/>
    <w:rsid w:val="00F3507C"/>
    <w:rsid w:val="00F35BC0"/>
    <w:rsid w:val="00F36517"/>
    <w:rsid w:val="00F412BE"/>
    <w:rsid w:val="00F41795"/>
    <w:rsid w:val="00F41BD3"/>
    <w:rsid w:val="00F4298C"/>
    <w:rsid w:val="00F44113"/>
    <w:rsid w:val="00F44248"/>
    <w:rsid w:val="00F4487D"/>
    <w:rsid w:val="00F4515F"/>
    <w:rsid w:val="00F45C7F"/>
    <w:rsid w:val="00F462D0"/>
    <w:rsid w:val="00F4658F"/>
    <w:rsid w:val="00F46624"/>
    <w:rsid w:val="00F47365"/>
    <w:rsid w:val="00F50597"/>
    <w:rsid w:val="00F50931"/>
    <w:rsid w:val="00F50A09"/>
    <w:rsid w:val="00F5209F"/>
    <w:rsid w:val="00F52D0D"/>
    <w:rsid w:val="00F53A02"/>
    <w:rsid w:val="00F53CC7"/>
    <w:rsid w:val="00F54F54"/>
    <w:rsid w:val="00F56993"/>
    <w:rsid w:val="00F5793A"/>
    <w:rsid w:val="00F61E98"/>
    <w:rsid w:val="00F62FB8"/>
    <w:rsid w:val="00F650B3"/>
    <w:rsid w:val="00F65169"/>
    <w:rsid w:val="00F65208"/>
    <w:rsid w:val="00F65F4E"/>
    <w:rsid w:val="00F6600B"/>
    <w:rsid w:val="00F66411"/>
    <w:rsid w:val="00F671C7"/>
    <w:rsid w:val="00F70204"/>
    <w:rsid w:val="00F713C5"/>
    <w:rsid w:val="00F715D9"/>
    <w:rsid w:val="00F71D1E"/>
    <w:rsid w:val="00F71DD3"/>
    <w:rsid w:val="00F732B9"/>
    <w:rsid w:val="00F74422"/>
    <w:rsid w:val="00F752A5"/>
    <w:rsid w:val="00F753DB"/>
    <w:rsid w:val="00F75E5C"/>
    <w:rsid w:val="00F76D6E"/>
    <w:rsid w:val="00F775DC"/>
    <w:rsid w:val="00F77825"/>
    <w:rsid w:val="00F77917"/>
    <w:rsid w:val="00F801F8"/>
    <w:rsid w:val="00F8073E"/>
    <w:rsid w:val="00F809B5"/>
    <w:rsid w:val="00F80D59"/>
    <w:rsid w:val="00F81490"/>
    <w:rsid w:val="00F81A55"/>
    <w:rsid w:val="00F82B30"/>
    <w:rsid w:val="00F8366C"/>
    <w:rsid w:val="00F8398E"/>
    <w:rsid w:val="00F83D31"/>
    <w:rsid w:val="00F87F9D"/>
    <w:rsid w:val="00F90177"/>
    <w:rsid w:val="00F9029A"/>
    <w:rsid w:val="00F9038A"/>
    <w:rsid w:val="00F9053B"/>
    <w:rsid w:val="00F90C7B"/>
    <w:rsid w:val="00F913CD"/>
    <w:rsid w:val="00F934B6"/>
    <w:rsid w:val="00F93BFA"/>
    <w:rsid w:val="00F96B44"/>
    <w:rsid w:val="00F97022"/>
    <w:rsid w:val="00F97268"/>
    <w:rsid w:val="00FA3A60"/>
    <w:rsid w:val="00FA4267"/>
    <w:rsid w:val="00FA5C17"/>
    <w:rsid w:val="00FA5E6A"/>
    <w:rsid w:val="00FA7426"/>
    <w:rsid w:val="00FA742D"/>
    <w:rsid w:val="00FA7CA7"/>
    <w:rsid w:val="00FB08CA"/>
    <w:rsid w:val="00FB1314"/>
    <w:rsid w:val="00FB205C"/>
    <w:rsid w:val="00FB248E"/>
    <w:rsid w:val="00FB30A2"/>
    <w:rsid w:val="00FB30F2"/>
    <w:rsid w:val="00FB3B78"/>
    <w:rsid w:val="00FB4621"/>
    <w:rsid w:val="00FB5083"/>
    <w:rsid w:val="00FB56CF"/>
    <w:rsid w:val="00FB5D8B"/>
    <w:rsid w:val="00FB7709"/>
    <w:rsid w:val="00FC0658"/>
    <w:rsid w:val="00FC136F"/>
    <w:rsid w:val="00FC14EC"/>
    <w:rsid w:val="00FC1A8D"/>
    <w:rsid w:val="00FC2BD4"/>
    <w:rsid w:val="00FC31F9"/>
    <w:rsid w:val="00FC334E"/>
    <w:rsid w:val="00FC370E"/>
    <w:rsid w:val="00FC4480"/>
    <w:rsid w:val="00FC72E4"/>
    <w:rsid w:val="00FC7E15"/>
    <w:rsid w:val="00FD0E71"/>
    <w:rsid w:val="00FD283E"/>
    <w:rsid w:val="00FD28D8"/>
    <w:rsid w:val="00FD29A6"/>
    <w:rsid w:val="00FD29D6"/>
    <w:rsid w:val="00FD4760"/>
    <w:rsid w:val="00FD515C"/>
    <w:rsid w:val="00FD543A"/>
    <w:rsid w:val="00FD54BF"/>
    <w:rsid w:val="00FD55C1"/>
    <w:rsid w:val="00FD63DE"/>
    <w:rsid w:val="00FD64EC"/>
    <w:rsid w:val="00FE0E74"/>
    <w:rsid w:val="00FE19BF"/>
    <w:rsid w:val="00FE1C44"/>
    <w:rsid w:val="00FE1D1B"/>
    <w:rsid w:val="00FE2F84"/>
    <w:rsid w:val="00FE32AC"/>
    <w:rsid w:val="00FE36C9"/>
    <w:rsid w:val="00FE47A7"/>
    <w:rsid w:val="00FE4A7B"/>
    <w:rsid w:val="00FE4D68"/>
    <w:rsid w:val="00FE542B"/>
    <w:rsid w:val="00FE5E48"/>
    <w:rsid w:val="00FE68DF"/>
    <w:rsid w:val="00FE7B1D"/>
    <w:rsid w:val="00FF2455"/>
    <w:rsid w:val="00FF2768"/>
    <w:rsid w:val="00FF2C41"/>
    <w:rsid w:val="00FF4315"/>
    <w:rsid w:val="00FF4350"/>
    <w:rsid w:val="00FF43C2"/>
    <w:rsid w:val="00FF4E2E"/>
    <w:rsid w:val="00FF5019"/>
    <w:rsid w:val="00FF5357"/>
    <w:rsid w:val="00FF5A2B"/>
    <w:rsid w:val="00FF756E"/>
    <w:rsid w:val="00FF7DEC"/>
    <w:rsid w:val="00FF7E4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14082FE4"/>
  <w15:docId w15:val="{74FC7B89-8510-437A-B02A-1F094881E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3D45"/>
    <w:pPr>
      <w:bidi/>
      <w:spacing w:after="200" w:line="276" w:lineRule="auto"/>
    </w:pPr>
    <w:rPr>
      <w:sz w:val="22"/>
      <w:szCs w:val="22"/>
    </w:rPr>
  </w:style>
  <w:style w:type="paragraph" w:styleId="Heading1">
    <w:name w:val="heading 1"/>
    <w:basedOn w:val="Normal"/>
    <w:next w:val="Normal"/>
    <w:link w:val="Heading1Char"/>
    <w:qFormat/>
    <w:rsid w:val="00A77B59"/>
    <w:pPr>
      <w:keepNext/>
      <w:keepLines/>
      <w:spacing w:before="480" w:after="0"/>
      <w:outlineLvl w:val="0"/>
    </w:pPr>
    <w:rPr>
      <w:rFonts w:ascii="Cambria"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080ED1"/>
    <w:pPr>
      <w:keepNext/>
      <w:keepLines/>
      <w:spacing w:before="200" w:after="0"/>
      <w:outlineLvl w:val="1"/>
    </w:pPr>
    <w:rPr>
      <w:rFonts w:ascii="Cambria" w:hAnsi="Cambria" w:cs="Times New Roman"/>
      <w:b/>
      <w:bCs/>
      <w:color w:val="4F81BD"/>
      <w:sz w:val="26"/>
      <w:szCs w:val="26"/>
    </w:rPr>
  </w:style>
  <w:style w:type="paragraph" w:styleId="Heading3">
    <w:name w:val="heading 3"/>
    <w:basedOn w:val="Normal"/>
    <w:next w:val="Normal"/>
    <w:link w:val="Heading3Char"/>
    <w:uiPriority w:val="9"/>
    <w:semiHidden/>
    <w:unhideWhenUsed/>
    <w:qFormat/>
    <w:rsid w:val="000F1C53"/>
    <w:pPr>
      <w:keepNext/>
      <w:keepLines/>
      <w:spacing w:before="200" w:after="0"/>
      <w:outlineLvl w:val="2"/>
    </w:pPr>
    <w:rPr>
      <w:rFonts w:ascii="Cambria" w:hAnsi="Cambria" w:cs="Times New Roman"/>
      <w:b/>
      <w:bCs/>
      <w:color w:val="4F81BD"/>
      <w:sz w:val="20"/>
      <w:szCs w:val="20"/>
    </w:rPr>
  </w:style>
  <w:style w:type="paragraph" w:styleId="Heading4">
    <w:name w:val="heading 4"/>
    <w:basedOn w:val="Normal"/>
    <w:link w:val="Heading4Char"/>
    <w:uiPriority w:val="9"/>
    <w:qFormat/>
    <w:rsid w:val="00FC31F9"/>
    <w:pPr>
      <w:bidi w:val="0"/>
      <w:spacing w:before="100" w:beforeAutospacing="1" w:after="100" w:afterAutospacing="1" w:line="240" w:lineRule="auto"/>
      <w:outlineLvl w:val="3"/>
    </w:pPr>
    <w:rPr>
      <w:rFonts w:ascii="Times New Roman" w:hAnsi="Times New Roman" w:cs="Times New Roman"/>
      <w:b/>
      <w:bCs/>
      <w:sz w:val="24"/>
      <w:szCs w:val="24"/>
    </w:rPr>
  </w:style>
  <w:style w:type="paragraph" w:styleId="Heading5">
    <w:name w:val="heading 5"/>
    <w:basedOn w:val="Normal"/>
    <w:next w:val="Normal"/>
    <w:link w:val="Heading5Char"/>
    <w:uiPriority w:val="9"/>
    <w:unhideWhenUsed/>
    <w:qFormat/>
    <w:rsid w:val="00A77B59"/>
    <w:pPr>
      <w:keepNext/>
      <w:keepLines/>
      <w:spacing w:before="200" w:after="0"/>
      <w:outlineLvl w:val="4"/>
    </w:pPr>
    <w:rPr>
      <w:rFonts w:ascii="Cambria" w:hAnsi="Cambria" w:cs="Times New Roman"/>
      <w:color w:val="243F60"/>
      <w:sz w:val="20"/>
      <w:szCs w:val="20"/>
    </w:rPr>
  </w:style>
  <w:style w:type="paragraph" w:styleId="Heading9">
    <w:name w:val="heading 9"/>
    <w:basedOn w:val="Normal"/>
    <w:next w:val="Normal"/>
    <w:link w:val="Heading9Char"/>
    <w:uiPriority w:val="9"/>
    <w:semiHidden/>
    <w:unhideWhenUsed/>
    <w:qFormat/>
    <w:rsid w:val="00B032B3"/>
    <w:pPr>
      <w:keepNext/>
      <w:keepLines/>
      <w:spacing w:before="200" w:after="0"/>
      <w:outlineLvl w:val="8"/>
    </w:pPr>
    <w:rPr>
      <w:rFonts w:ascii="Cambria" w:hAnsi="Cambria"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uiPriority w:val="20"/>
    <w:qFormat/>
    <w:rsid w:val="00C57BB7"/>
    <w:rPr>
      <w:i/>
      <w:iCs/>
    </w:rPr>
  </w:style>
  <w:style w:type="character" w:styleId="Hyperlink">
    <w:name w:val="Hyperlink"/>
    <w:uiPriority w:val="99"/>
    <w:unhideWhenUsed/>
    <w:rsid w:val="002F2655"/>
    <w:rPr>
      <w:color w:val="0000FF"/>
      <w:u w:val="single"/>
    </w:rPr>
  </w:style>
  <w:style w:type="character" w:styleId="PageNumber">
    <w:name w:val="page number"/>
    <w:basedOn w:val="DefaultParagraphFont"/>
    <w:rsid w:val="00845E51"/>
  </w:style>
  <w:style w:type="paragraph" w:styleId="PlainText">
    <w:name w:val="Plain Text"/>
    <w:basedOn w:val="Normal"/>
    <w:link w:val="PlainTextChar"/>
    <w:uiPriority w:val="99"/>
    <w:unhideWhenUsed/>
    <w:rsid w:val="00845E51"/>
    <w:pPr>
      <w:spacing w:after="0" w:line="240" w:lineRule="auto"/>
    </w:pPr>
    <w:rPr>
      <w:rFonts w:ascii="Consolas" w:hAnsi="Consolas" w:cs="Times New Roman"/>
      <w:sz w:val="21"/>
      <w:szCs w:val="21"/>
    </w:rPr>
  </w:style>
  <w:style w:type="character" w:customStyle="1" w:styleId="PlainTextChar">
    <w:name w:val="Plain Text Char"/>
    <w:link w:val="PlainText"/>
    <w:uiPriority w:val="99"/>
    <w:rsid w:val="00845E51"/>
    <w:rPr>
      <w:rFonts w:ascii="Consolas" w:hAnsi="Consolas" w:cs="Consolas"/>
      <w:sz w:val="21"/>
      <w:szCs w:val="21"/>
    </w:rPr>
  </w:style>
  <w:style w:type="paragraph" w:styleId="ListParagraph">
    <w:name w:val="List Paragraph"/>
    <w:basedOn w:val="Normal"/>
    <w:uiPriority w:val="34"/>
    <w:qFormat/>
    <w:rsid w:val="009C5A3A"/>
    <w:pPr>
      <w:bidi w:val="0"/>
      <w:spacing w:after="160" w:line="259" w:lineRule="auto"/>
      <w:ind w:left="720"/>
      <w:contextualSpacing/>
    </w:pPr>
    <w:rPr>
      <w:lang w:eastAsia="zh-CN"/>
    </w:rPr>
  </w:style>
  <w:style w:type="character" w:customStyle="1" w:styleId="Heading4Char">
    <w:name w:val="Heading 4 Char"/>
    <w:link w:val="Heading4"/>
    <w:uiPriority w:val="9"/>
    <w:rsid w:val="00FC31F9"/>
    <w:rPr>
      <w:rFonts w:ascii="Times New Roman" w:eastAsia="Times New Roman" w:hAnsi="Times New Roman" w:cs="Times New Roman"/>
      <w:b/>
      <w:bCs/>
      <w:sz w:val="24"/>
      <w:szCs w:val="24"/>
    </w:rPr>
  </w:style>
  <w:style w:type="paragraph" w:styleId="NormalWeb">
    <w:name w:val="Normal (Web)"/>
    <w:basedOn w:val="Normal"/>
    <w:link w:val="NormalWebChar"/>
    <w:uiPriority w:val="99"/>
    <w:unhideWhenUsed/>
    <w:rsid w:val="008D6550"/>
    <w:pPr>
      <w:bidi w:val="0"/>
      <w:spacing w:before="100" w:beforeAutospacing="1" w:after="100" w:afterAutospacing="1" w:line="240" w:lineRule="auto"/>
    </w:pPr>
    <w:rPr>
      <w:rFonts w:ascii="Times New Roman" w:hAnsi="Times New Roman" w:cs="Times New Roman"/>
      <w:sz w:val="24"/>
      <w:szCs w:val="24"/>
    </w:rPr>
  </w:style>
  <w:style w:type="paragraph" w:styleId="Title">
    <w:name w:val="Title"/>
    <w:basedOn w:val="Normal"/>
    <w:link w:val="TitleChar"/>
    <w:qFormat/>
    <w:rsid w:val="00D92DF9"/>
    <w:pPr>
      <w:bidi w:val="0"/>
      <w:spacing w:after="0" w:line="240" w:lineRule="auto"/>
      <w:jc w:val="center"/>
    </w:pPr>
    <w:rPr>
      <w:rFonts w:ascii="Times New Roman" w:hAnsi="Times New Roman" w:cs="Times New Roman"/>
      <w:b/>
      <w:bCs/>
      <w:sz w:val="32"/>
      <w:szCs w:val="32"/>
    </w:rPr>
  </w:style>
  <w:style w:type="character" w:customStyle="1" w:styleId="TitleChar">
    <w:name w:val="Title Char"/>
    <w:link w:val="Title"/>
    <w:rsid w:val="00D92DF9"/>
    <w:rPr>
      <w:rFonts w:ascii="Times New Roman" w:eastAsia="Times New Roman" w:hAnsi="Times New Roman" w:cs="Times New Roman"/>
      <w:b/>
      <w:bCs/>
      <w:sz w:val="32"/>
      <w:szCs w:val="32"/>
    </w:rPr>
  </w:style>
  <w:style w:type="paragraph" w:styleId="FootnoteText">
    <w:name w:val="footnote text"/>
    <w:basedOn w:val="Normal"/>
    <w:link w:val="FootnoteTextChar"/>
    <w:uiPriority w:val="99"/>
    <w:unhideWhenUsed/>
    <w:qFormat/>
    <w:rsid w:val="00FE4D68"/>
    <w:pPr>
      <w:spacing w:after="0" w:line="240" w:lineRule="auto"/>
    </w:pPr>
    <w:rPr>
      <w:rFonts w:cs="Times New Roman"/>
      <w:sz w:val="20"/>
      <w:szCs w:val="20"/>
    </w:rPr>
  </w:style>
  <w:style w:type="character" w:customStyle="1" w:styleId="FootnoteTextChar">
    <w:name w:val="Footnote Text Char"/>
    <w:link w:val="FootnoteText"/>
    <w:uiPriority w:val="99"/>
    <w:qFormat/>
    <w:rsid w:val="00FE4D68"/>
    <w:rPr>
      <w:rFonts w:eastAsia="Times New Roman"/>
      <w:sz w:val="20"/>
      <w:szCs w:val="20"/>
    </w:rPr>
  </w:style>
  <w:style w:type="character" w:styleId="FootnoteReference">
    <w:name w:val="footnote reference"/>
    <w:aliases w:val="Footnote symbol,Times 10 Point,Exposant 3 Point,Footnote reference number,SUPERS,EN Footnote Reference,note TESI,stylish,number,no...,Footnote,Footnote Reference/,Footnote Reference Superscript,(Footnote Reference),ftr"/>
    <w:link w:val="ftrefCharCharCharCharCharCharCharCharChar"/>
    <w:uiPriority w:val="99"/>
    <w:unhideWhenUsed/>
    <w:qFormat/>
    <w:rsid w:val="00FE4D68"/>
    <w:rPr>
      <w:vertAlign w:val="superscript"/>
    </w:rPr>
  </w:style>
  <w:style w:type="paragraph" w:customStyle="1" w:styleId="ftrefCharCharCharCharCharCharCharCharChar">
    <w:name w:val="ftref Char Char Char Char Char Char Char Char Char"/>
    <w:aliases w:val="Footnote Char Char Char Char Char Char Char Char Char,BVI fnr Char Char Char Char Char Char Char Char Char,BVI fnr Char Char Char Char Char Char Char Char Char Char"/>
    <w:basedOn w:val="Normal"/>
    <w:next w:val="Normal"/>
    <w:link w:val="FootnoteReference"/>
    <w:uiPriority w:val="99"/>
    <w:rsid w:val="00FE4D68"/>
    <w:pPr>
      <w:bidi w:val="0"/>
      <w:spacing w:after="160" w:line="240" w:lineRule="exact"/>
    </w:pPr>
    <w:rPr>
      <w:rFonts w:cs="Times New Roman"/>
      <w:sz w:val="20"/>
      <w:szCs w:val="20"/>
      <w:vertAlign w:val="superscript"/>
    </w:rPr>
  </w:style>
  <w:style w:type="character" w:customStyle="1" w:styleId="Heading2Char">
    <w:name w:val="Heading 2 Char"/>
    <w:link w:val="Heading2"/>
    <w:uiPriority w:val="9"/>
    <w:semiHidden/>
    <w:rsid w:val="00080ED1"/>
    <w:rPr>
      <w:rFonts w:ascii="Cambria" w:eastAsia="Times New Roman" w:hAnsi="Cambria" w:cs="Times New Roman"/>
      <w:b/>
      <w:bCs/>
      <w:color w:val="4F81BD"/>
      <w:sz w:val="26"/>
      <w:szCs w:val="26"/>
    </w:rPr>
  </w:style>
  <w:style w:type="paragraph" w:styleId="NoSpacing">
    <w:name w:val="No Spacing"/>
    <w:uiPriority w:val="1"/>
    <w:qFormat/>
    <w:rsid w:val="005B763D"/>
    <w:rPr>
      <w:sz w:val="22"/>
      <w:szCs w:val="22"/>
      <w:lang w:val="it-IT"/>
    </w:rPr>
  </w:style>
  <w:style w:type="paragraph" w:styleId="BodyText">
    <w:name w:val="Body Text"/>
    <w:basedOn w:val="Normal"/>
    <w:link w:val="BodyTextChar"/>
    <w:semiHidden/>
    <w:rsid w:val="005B763D"/>
    <w:pPr>
      <w:spacing w:after="0" w:line="240" w:lineRule="auto"/>
    </w:pPr>
    <w:rPr>
      <w:rFonts w:ascii="Times New Roman" w:hAnsi="Times New Roman" w:cs="Times New Roman"/>
      <w:sz w:val="28"/>
      <w:szCs w:val="20"/>
    </w:rPr>
  </w:style>
  <w:style w:type="character" w:customStyle="1" w:styleId="BodyTextChar">
    <w:name w:val="Body Text Char"/>
    <w:link w:val="BodyText"/>
    <w:semiHidden/>
    <w:rsid w:val="005B763D"/>
    <w:rPr>
      <w:rFonts w:ascii="Times New Roman" w:eastAsia="Times New Roman" w:hAnsi="Times New Roman" w:cs="Simplified Arabic"/>
      <w:sz w:val="28"/>
      <w:szCs w:val="20"/>
    </w:rPr>
  </w:style>
  <w:style w:type="paragraph" w:styleId="BalloonText">
    <w:name w:val="Balloon Text"/>
    <w:basedOn w:val="Normal"/>
    <w:link w:val="BalloonTextChar"/>
    <w:uiPriority w:val="99"/>
    <w:semiHidden/>
    <w:unhideWhenUsed/>
    <w:rsid w:val="009A54F4"/>
    <w:pPr>
      <w:spacing w:after="0" w:line="240" w:lineRule="auto"/>
    </w:pPr>
    <w:rPr>
      <w:rFonts w:ascii="Tahoma" w:hAnsi="Tahoma" w:cs="Times New Roman"/>
      <w:sz w:val="16"/>
      <w:szCs w:val="16"/>
    </w:rPr>
  </w:style>
  <w:style w:type="character" w:customStyle="1" w:styleId="BalloonTextChar">
    <w:name w:val="Balloon Text Char"/>
    <w:link w:val="BalloonText"/>
    <w:uiPriority w:val="99"/>
    <w:semiHidden/>
    <w:rsid w:val="009A54F4"/>
    <w:rPr>
      <w:rFonts w:ascii="Tahoma" w:hAnsi="Tahoma" w:cs="Tahoma"/>
      <w:sz w:val="16"/>
      <w:szCs w:val="16"/>
    </w:rPr>
  </w:style>
  <w:style w:type="character" w:customStyle="1" w:styleId="Bodytext0">
    <w:name w:val="Body text_"/>
    <w:link w:val="Bodytext1"/>
    <w:rsid w:val="000F1C53"/>
    <w:rPr>
      <w:rFonts w:ascii="Arial Narrow" w:eastAsia="Arial Narrow" w:hAnsi="Arial Narrow" w:cs="Arial Narrow"/>
      <w:spacing w:val="10"/>
      <w:sz w:val="21"/>
      <w:szCs w:val="21"/>
      <w:shd w:val="clear" w:color="auto" w:fill="FFFFFF"/>
    </w:rPr>
  </w:style>
  <w:style w:type="paragraph" w:customStyle="1" w:styleId="Bodytext1">
    <w:name w:val="Body text1"/>
    <w:basedOn w:val="Normal"/>
    <w:link w:val="Bodytext0"/>
    <w:rsid w:val="000F1C53"/>
    <w:pPr>
      <w:widowControl w:val="0"/>
      <w:shd w:val="clear" w:color="auto" w:fill="FFFFFF"/>
      <w:bidi w:val="0"/>
      <w:spacing w:before="180" w:after="180" w:line="0" w:lineRule="atLeast"/>
      <w:ind w:hanging="1820"/>
    </w:pPr>
    <w:rPr>
      <w:rFonts w:ascii="Arial Narrow" w:eastAsia="Arial Narrow" w:hAnsi="Arial Narrow" w:cs="Times New Roman"/>
      <w:spacing w:val="10"/>
      <w:sz w:val="21"/>
      <w:szCs w:val="21"/>
    </w:rPr>
  </w:style>
  <w:style w:type="character" w:customStyle="1" w:styleId="Bodytext8pt">
    <w:name w:val="Body text + 8 pt"/>
    <w:aliases w:val="Bold,Spacing 0 pt1"/>
    <w:rsid w:val="000F1C53"/>
    <w:rPr>
      <w:rFonts w:ascii="Arial Narrow" w:eastAsia="Arial Narrow" w:hAnsi="Arial Narrow" w:cs="Arial Narrow"/>
      <w:b/>
      <w:bCs/>
      <w:i w:val="0"/>
      <w:iCs w:val="0"/>
      <w:smallCaps w:val="0"/>
      <w:strike w:val="0"/>
      <w:dstrike w:val="0"/>
      <w:color w:val="000000"/>
      <w:spacing w:val="2"/>
      <w:w w:val="100"/>
      <w:position w:val="0"/>
      <w:sz w:val="16"/>
      <w:szCs w:val="16"/>
      <w:u w:val="none"/>
      <w:effect w:val="none"/>
      <w:shd w:val="clear" w:color="auto" w:fill="FFFFFF"/>
      <w:lang w:val="en-GB"/>
    </w:rPr>
  </w:style>
  <w:style w:type="table" w:styleId="TableGrid">
    <w:name w:val="Table Grid"/>
    <w:basedOn w:val="TableNormal"/>
    <w:uiPriority w:val="39"/>
    <w:rsid w:val="000F1C53"/>
    <w:rPr>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8ptBoldSpacing0pt2">
    <w:name w:val="Body text + 8 pt.Bold.Spacing 0 pt2"/>
    <w:rsid w:val="000F1C53"/>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paragraph" w:customStyle="1" w:styleId="Titoloparagrafo">
    <w:name w:val="Titolo paragrafo"/>
    <w:basedOn w:val="Normal"/>
    <w:uiPriority w:val="1"/>
    <w:qFormat/>
    <w:rsid w:val="000F1C53"/>
    <w:pPr>
      <w:bidi w:val="0"/>
      <w:spacing w:before="567" w:after="284" w:line="300" w:lineRule="exact"/>
    </w:pPr>
    <w:rPr>
      <w:rFonts w:ascii="Helvetica-Narrow-Bold" w:eastAsia="Helvetica-Narrow-Bold" w:hAnsi="Helvetica-Narrow-Bold" w:cs="Helvetica-Narrow-Bold"/>
      <w:color w:val="231F20"/>
      <w:w w:val="85"/>
      <w:sz w:val="28"/>
      <w:szCs w:val="30"/>
      <w:lang w:val="it-IT" w:eastAsia="it-IT"/>
    </w:rPr>
  </w:style>
  <w:style w:type="character" w:customStyle="1" w:styleId="NormalWebChar">
    <w:name w:val="Normal (Web) Char"/>
    <w:link w:val="NormalWeb"/>
    <w:uiPriority w:val="99"/>
    <w:rsid w:val="000F1C53"/>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unhideWhenUsed/>
    <w:rsid w:val="000F1C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hAnsi="Courier New" w:cs="Times New Roman"/>
      <w:sz w:val="20"/>
      <w:szCs w:val="20"/>
      <w:lang w:val="it-IT" w:eastAsia="it-IT"/>
    </w:rPr>
  </w:style>
  <w:style w:type="character" w:customStyle="1" w:styleId="HTMLPreformattedChar">
    <w:name w:val="HTML Preformatted Char"/>
    <w:link w:val="HTMLPreformatted"/>
    <w:uiPriority w:val="99"/>
    <w:rsid w:val="000F1C53"/>
    <w:rPr>
      <w:rFonts w:ascii="Courier New" w:hAnsi="Courier New" w:cs="Courier New"/>
      <w:sz w:val="20"/>
      <w:szCs w:val="20"/>
      <w:lang w:val="it-IT" w:eastAsia="it-IT"/>
    </w:rPr>
  </w:style>
  <w:style w:type="character" w:customStyle="1" w:styleId="Heading3Char">
    <w:name w:val="Heading 3 Char"/>
    <w:link w:val="Heading3"/>
    <w:uiPriority w:val="9"/>
    <w:semiHidden/>
    <w:rsid w:val="000F1C53"/>
    <w:rPr>
      <w:rFonts w:ascii="Cambria" w:eastAsia="Times New Roman" w:hAnsi="Cambria" w:cs="Times New Roman"/>
      <w:b/>
      <w:bCs/>
      <w:color w:val="4F81BD"/>
    </w:rPr>
  </w:style>
  <w:style w:type="paragraph" w:customStyle="1" w:styleId="Stile1">
    <w:name w:val="Stile1"/>
    <w:basedOn w:val="Normal"/>
    <w:link w:val="Stile1Carattere"/>
    <w:qFormat/>
    <w:rsid w:val="000F1C53"/>
    <w:pPr>
      <w:shd w:val="clear" w:color="auto" w:fill="FFFFFF"/>
      <w:tabs>
        <w:tab w:val="left" w:pos="916"/>
        <w:tab w:val="left" w:pos="1832"/>
        <w:tab w:val="left" w:pos="2748"/>
        <w:tab w:val="left" w:pos="3664"/>
        <w:tab w:val="left" w:pos="4580"/>
        <w:tab w:val="left" w:pos="5496"/>
        <w:tab w:val="left" w:pos="6412"/>
        <w:tab w:val="left" w:pos="7328"/>
        <w:tab w:val="right" w:leader="dot" w:pos="7371"/>
        <w:tab w:val="left" w:pos="8244"/>
        <w:tab w:val="left" w:pos="9160"/>
        <w:tab w:val="left" w:pos="10076"/>
        <w:tab w:val="left" w:pos="10992"/>
        <w:tab w:val="left" w:pos="11908"/>
        <w:tab w:val="left" w:pos="12824"/>
        <w:tab w:val="left" w:pos="13740"/>
        <w:tab w:val="left" w:pos="14656"/>
      </w:tabs>
      <w:bidi w:val="0"/>
      <w:spacing w:before="200" w:line="0" w:lineRule="atLeast"/>
      <w:jc w:val="both"/>
    </w:pPr>
    <w:rPr>
      <w:rFonts w:ascii="Cambria" w:hAnsi="Cambria" w:cs="Times New Roman"/>
      <w:b/>
      <w:bCs/>
      <w:color w:val="808080"/>
      <w:sz w:val="28"/>
      <w:szCs w:val="28"/>
      <w:lang w:val="it-IT" w:eastAsia="it-IT"/>
    </w:rPr>
  </w:style>
  <w:style w:type="character" w:customStyle="1" w:styleId="Stile1Carattere">
    <w:name w:val="Stile1 Carattere"/>
    <w:link w:val="Stile1"/>
    <w:rsid w:val="000F1C53"/>
    <w:rPr>
      <w:rFonts w:ascii="Cambria" w:eastAsia="Times New Roman" w:hAnsi="Cambria" w:cs="Courier New"/>
      <w:b/>
      <w:bCs/>
      <w:color w:val="808080"/>
      <w:sz w:val="28"/>
      <w:szCs w:val="28"/>
      <w:shd w:val="clear" w:color="auto" w:fill="FFFFFF"/>
      <w:lang w:val="it-IT" w:eastAsia="it-IT"/>
    </w:rPr>
  </w:style>
  <w:style w:type="character" w:customStyle="1" w:styleId="Heading122">
    <w:name w:val="Heading #12 (2)_"/>
    <w:link w:val="Heading1220"/>
    <w:locked/>
    <w:rsid w:val="000F1C53"/>
    <w:rPr>
      <w:rFonts w:ascii="Arial Narrow" w:eastAsia="Arial Narrow" w:hAnsi="Arial Narrow" w:cs="Arial Narrow"/>
      <w:b/>
      <w:bCs/>
      <w:spacing w:val="7"/>
      <w:sz w:val="21"/>
      <w:szCs w:val="21"/>
      <w:shd w:val="clear" w:color="auto" w:fill="FFFFFF"/>
    </w:rPr>
  </w:style>
  <w:style w:type="paragraph" w:customStyle="1" w:styleId="Heading1220">
    <w:name w:val="Heading #12 (2)"/>
    <w:basedOn w:val="Normal"/>
    <w:link w:val="Heading122"/>
    <w:rsid w:val="000F1C53"/>
    <w:pPr>
      <w:widowControl w:val="0"/>
      <w:shd w:val="clear" w:color="auto" w:fill="FFFFFF"/>
      <w:bidi w:val="0"/>
      <w:spacing w:after="300" w:line="0" w:lineRule="atLeast"/>
    </w:pPr>
    <w:rPr>
      <w:rFonts w:ascii="Arial Narrow" w:eastAsia="Arial Narrow" w:hAnsi="Arial Narrow" w:cs="Times New Roman"/>
      <w:b/>
      <w:bCs/>
      <w:spacing w:val="7"/>
      <w:sz w:val="21"/>
      <w:szCs w:val="21"/>
    </w:rPr>
  </w:style>
  <w:style w:type="character" w:customStyle="1" w:styleId="Bodytext22">
    <w:name w:val="Body text (22)_"/>
    <w:link w:val="Bodytext220"/>
    <w:rsid w:val="000F1C53"/>
    <w:rPr>
      <w:rFonts w:ascii="Arial Narrow" w:eastAsia="Arial Narrow" w:hAnsi="Arial Narrow" w:cs="Arial Narrow"/>
      <w:b/>
      <w:bCs/>
      <w:spacing w:val="-1"/>
      <w:sz w:val="23"/>
      <w:szCs w:val="23"/>
      <w:shd w:val="clear" w:color="auto" w:fill="FFFFFF"/>
    </w:rPr>
  </w:style>
  <w:style w:type="character" w:customStyle="1" w:styleId="Bodytext22Spacing0pt">
    <w:name w:val="Body text (22)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Bodytext220">
    <w:name w:val="Body text (22)"/>
    <w:basedOn w:val="Normal"/>
    <w:link w:val="Bodytext22"/>
    <w:rsid w:val="000F1C53"/>
    <w:pPr>
      <w:widowControl w:val="0"/>
      <w:shd w:val="clear" w:color="auto" w:fill="FFFFFF"/>
      <w:bidi w:val="0"/>
      <w:spacing w:after="720" w:line="0" w:lineRule="atLeast"/>
      <w:ind w:hanging="400"/>
    </w:pPr>
    <w:rPr>
      <w:rFonts w:ascii="Arial Narrow" w:eastAsia="Arial Narrow" w:hAnsi="Arial Narrow" w:cs="Times New Roman"/>
      <w:b/>
      <w:bCs/>
      <w:spacing w:val="-1"/>
      <w:sz w:val="23"/>
      <w:szCs w:val="23"/>
    </w:rPr>
  </w:style>
  <w:style w:type="character" w:customStyle="1" w:styleId="Heading40">
    <w:name w:val="Heading #4_"/>
    <w:link w:val="Heading41"/>
    <w:rsid w:val="000F1C53"/>
    <w:rPr>
      <w:rFonts w:ascii="Arial Narrow" w:eastAsia="Arial Narrow" w:hAnsi="Arial Narrow" w:cs="Arial Narrow"/>
      <w:b/>
      <w:bCs/>
      <w:spacing w:val="-1"/>
      <w:sz w:val="23"/>
      <w:szCs w:val="23"/>
      <w:shd w:val="clear" w:color="auto" w:fill="FFFFFF"/>
    </w:rPr>
  </w:style>
  <w:style w:type="character" w:customStyle="1" w:styleId="Heading4Spacing0pt">
    <w:name w:val="Heading #4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Heading41">
    <w:name w:val="Heading #4"/>
    <w:basedOn w:val="Normal"/>
    <w:link w:val="Heading40"/>
    <w:rsid w:val="000F1C53"/>
    <w:pPr>
      <w:widowControl w:val="0"/>
      <w:shd w:val="clear" w:color="auto" w:fill="FFFFFF"/>
      <w:bidi w:val="0"/>
      <w:spacing w:after="3000" w:line="0" w:lineRule="atLeast"/>
      <w:jc w:val="both"/>
      <w:outlineLvl w:val="3"/>
    </w:pPr>
    <w:rPr>
      <w:rFonts w:ascii="Arial Narrow" w:eastAsia="Arial Narrow" w:hAnsi="Arial Narrow" w:cs="Times New Roman"/>
      <w:b/>
      <w:bCs/>
      <w:spacing w:val="-1"/>
      <w:sz w:val="23"/>
      <w:szCs w:val="23"/>
    </w:rPr>
  </w:style>
  <w:style w:type="paragraph" w:styleId="BodyTextIndent">
    <w:name w:val="Body Text Indent"/>
    <w:basedOn w:val="Normal"/>
    <w:link w:val="BodyTextIndentChar"/>
    <w:uiPriority w:val="99"/>
    <w:semiHidden/>
    <w:unhideWhenUsed/>
    <w:rsid w:val="000F1C53"/>
    <w:pPr>
      <w:spacing w:after="120"/>
      <w:ind w:left="283"/>
    </w:pPr>
  </w:style>
  <w:style w:type="character" w:customStyle="1" w:styleId="BodyTextIndentChar">
    <w:name w:val="Body Text Indent Char"/>
    <w:basedOn w:val="DefaultParagraphFont"/>
    <w:link w:val="BodyTextIndent"/>
    <w:uiPriority w:val="99"/>
    <w:semiHidden/>
    <w:rsid w:val="000F1C53"/>
  </w:style>
  <w:style w:type="paragraph" w:customStyle="1" w:styleId="Default">
    <w:name w:val="Default"/>
    <w:rsid w:val="000F1C53"/>
    <w:pPr>
      <w:autoSpaceDE w:val="0"/>
      <w:autoSpaceDN w:val="0"/>
      <w:adjustRightInd w:val="0"/>
    </w:pPr>
    <w:rPr>
      <w:rFonts w:ascii="Times New Roman" w:eastAsia="MS Mincho" w:hAnsi="Times New Roman" w:cs="Times New Roman"/>
      <w:color w:val="000000"/>
      <w:sz w:val="24"/>
      <w:szCs w:val="24"/>
      <w:lang w:eastAsia="ja-JP"/>
    </w:rPr>
  </w:style>
  <w:style w:type="character" w:customStyle="1" w:styleId="Heading50">
    <w:name w:val="Heading #5_"/>
    <w:link w:val="Heading51"/>
    <w:rsid w:val="000F1C53"/>
    <w:rPr>
      <w:rFonts w:ascii="Arial Narrow" w:eastAsia="Arial Narrow" w:hAnsi="Arial Narrow" w:cs="Arial Narrow"/>
      <w:b/>
      <w:bCs/>
      <w:spacing w:val="-1"/>
      <w:sz w:val="23"/>
      <w:szCs w:val="23"/>
      <w:shd w:val="clear" w:color="auto" w:fill="FFFFFF"/>
    </w:rPr>
  </w:style>
  <w:style w:type="character" w:customStyle="1" w:styleId="Heading5Spacing0pt">
    <w:name w:val="Heading #5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character" w:customStyle="1" w:styleId="Heading5ItalicSpacing0pt1">
    <w:name w:val="Heading #5 + Italic.Spacing 0 pt1"/>
    <w:rsid w:val="000F1C53"/>
    <w:rPr>
      <w:rFonts w:ascii="Arial Narrow" w:eastAsia="Arial Narrow" w:hAnsi="Arial Narrow" w:cs="Arial Narrow"/>
      <w:b/>
      <w:bCs/>
      <w:i/>
      <w:iCs/>
      <w:color w:val="000000"/>
      <w:spacing w:val="-17"/>
      <w:w w:val="100"/>
      <w:position w:val="0"/>
      <w:sz w:val="23"/>
      <w:szCs w:val="23"/>
      <w:shd w:val="clear" w:color="auto" w:fill="FFFFFF"/>
      <w:lang w:val="en-GB"/>
    </w:rPr>
  </w:style>
  <w:style w:type="paragraph" w:customStyle="1" w:styleId="Heading51">
    <w:name w:val="Heading #5"/>
    <w:basedOn w:val="Normal"/>
    <w:link w:val="Heading50"/>
    <w:rsid w:val="000F1C53"/>
    <w:pPr>
      <w:widowControl w:val="0"/>
      <w:shd w:val="clear" w:color="auto" w:fill="FFFFFF"/>
      <w:bidi w:val="0"/>
      <w:spacing w:before="540" w:after="300" w:line="0" w:lineRule="atLeast"/>
      <w:ind w:hanging="400"/>
      <w:jc w:val="both"/>
      <w:outlineLvl w:val="4"/>
    </w:pPr>
    <w:rPr>
      <w:rFonts w:ascii="Arial Narrow" w:eastAsia="Arial Narrow" w:hAnsi="Arial Narrow" w:cs="Times New Roman"/>
      <w:b/>
      <w:bCs/>
      <w:spacing w:val="-1"/>
      <w:sz w:val="23"/>
      <w:szCs w:val="23"/>
    </w:rPr>
  </w:style>
  <w:style w:type="character" w:customStyle="1" w:styleId="BodytextItalicSpacing0pt3">
    <w:name w:val="Body text + Italic.Spacing 0 pt3"/>
    <w:rsid w:val="000F1C53"/>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
    <w:name w:val="Body text + Bold.Spacing 0 pt1"/>
    <w:rsid w:val="000F1C53"/>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
    <w:name w:val="Body text + Italic.Spacing 0 pt2"/>
    <w:rsid w:val="000F1C53"/>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styleId="Strong">
    <w:name w:val="Strong"/>
    <w:uiPriority w:val="22"/>
    <w:qFormat/>
    <w:rsid w:val="007E2A29"/>
    <w:rPr>
      <w:b/>
      <w:bCs/>
    </w:rPr>
  </w:style>
  <w:style w:type="paragraph" w:styleId="Header">
    <w:name w:val="header"/>
    <w:basedOn w:val="Normal"/>
    <w:link w:val="HeaderChar"/>
    <w:unhideWhenUsed/>
    <w:rsid w:val="009E4DD4"/>
    <w:pPr>
      <w:tabs>
        <w:tab w:val="center" w:pos="4153"/>
        <w:tab w:val="right" w:pos="8306"/>
      </w:tabs>
      <w:spacing w:after="0" w:line="240" w:lineRule="auto"/>
    </w:pPr>
  </w:style>
  <w:style w:type="character" w:customStyle="1" w:styleId="HeaderChar">
    <w:name w:val="Header Char"/>
    <w:basedOn w:val="DefaultParagraphFont"/>
    <w:link w:val="Header"/>
    <w:rsid w:val="009E4DD4"/>
  </w:style>
  <w:style w:type="paragraph" w:styleId="Footer">
    <w:name w:val="footer"/>
    <w:basedOn w:val="Normal"/>
    <w:link w:val="FooterChar"/>
    <w:uiPriority w:val="99"/>
    <w:unhideWhenUsed/>
    <w:rsid w:val="009E4DD4"/>
    <w:pPr>
      <w:tabs>
        <w:tab w:val="center" w:pos="4153"/>
        <w:tab w:val="right" w:pos="8306"/>
      </w:tabs>
      <w:spacing w:after="0" w:line="240" w:lineRule="auto"/>
    </w:pPr>
  </w:style>
  <w:style w:type="character" w:customStyle="1" w:styleId="FooterChar">
    <w:name w:val="Footer Char"/>
    <w:basedOn w:val="DefaultParagraphFont"/>
    <w:link w:val="Footer"/>
    <w:uiPriority w:val="99"/>
    <w:rsid w:val="009E4DD4"/>
  </w:style>
  <w:style w:type="character" w:styleId="CommentReference">
    <w:name w:val="annotation reference"/>
    <w:uiPriority w:val="99"/>
    <w:semiHidden/>
    <w:unhideWhenUsed/>
    <w:rsid w:val="00DB4775"/>
    <w:rPr>
      <w:sz w:val="16"/>
      <w:szCs w:val="16"/>
    </w:rPr>
  </w:style>
  <w:style w:type="paragraph" w:styleId="CommentText">
    <w:name w:val="annotation text"/>
    <w:basedOn w:val="Normal"/>
    <w:link w:val="CommentTextChar"/>
    <w:uiPriority w:val="99"/>
    <w:semiHidden/>
    <w:unhideWhenUsed/>
    <w:rsid w:val="00DB4775"/>
    <w:pPr>
      <w:spacing w:line="240" w:lineRule="auto"/>
    </w:pPr>
    <w:rPr>
      <w:rFonts w:cs="Times New Roman"/>
      <w:sz w:val="20"/>
      <w:szCs w:val="20"/>
    </w:rPr>
  </w:style>
  <w:style w:type="character" w:customStyle="1" w:styleId="CommentTextChar">
    <w:name w:val="Comment Text Char"/>
    <w:link w:val="CommentText"/>
    <w:uiPriority w:val="99"/>
    <w:semiHidden/>
    <w:rsid w:val="00DB4775"/>
    <w:rPr>
      <w:sz w:val="20"/>
      <w:szCs w:val="20"/>
    </w:rPr>
  </w:style>
  <w:style w:type="paragraph" w:styleId="CommentSubject">
    <w:name w:val="annotation subject"/>
    <w:basedOn w:val="CommentText"/>
    <w:next w:val="CommentText"/>
    <w:link w:val="CommentSubjectChar"/>
    <w:uiPriority w:val="99"/>
    <w:semiHidden/>
    <w:unhideWhenUsed/>
    <w:rsid w:val="00DB4775"/>
    <w:rPr>
      <w:b/>
      <w:bCs/>
    </w:rPr>
  </w:style>
  <w:style w:type="character" w:customStyle="1" w:styleId="CommentSubjectChar">
    <w:name w:val="Comment Subject Char"/>
    <w:link w:val="CommentSubject"/>
    <w:uiPriority w:val="99"/>
    <w:semiHidden/>
    <w:rsid w:val="00DB4775"/>
    <w:rPr>
      <w:b/>
      <w:bCs/>
      <w:sz w:val="20"/>
      <w:szCs w:val="20"/>
    </w:rPr>
  </w:style>
  <w:style w:type="paragraph" w:styleId="BodyText2">
    <w:name w:val="Body Text 2"/>
    <w:basedOn w:val="Normal"/>
    <w:link w:val="BodyText2Char"/>
    <w:uiPriority w:val="99"/>
    <w:unhideWhenUsed/>
    <w:rsid w:val="00A77B59"/>
    <w:pPr>
      <w:spacing w:after="120" w:line="480" w:lineRule="auto"/>
    </w:pPr>
  </w:style>
  <w:style w:type="character" w:customStyle="1" w:styleId="BodyText2Char">
    <w:name w:val="Body Text 2 Char"/>
    <w:basedOn w:val="DefaultParagraphFont"/>
    <w:link w:val="BodyText2"/>
    <w:uiPriority w:val="99"/>
    <w:rsid w:val="00A77B59"/>
  </w:style>
  <w:style w:type="character" w:customStyle="1" w:styleId="Heading1Char">
    <w:name w:val="Heading 1 Char"/>
    <w:link w:val="Heading1"/>
    <w:rsid w:val="00A77B59"/>
    <w:rPr>
      <w:rFonts w:ascii="Cambria" w:eastAsia="Times New Roman" w:hAnsi="Cambria" w:cs="Times New Roman"/>
      <w:b/>
      <w:bCs/>
      <w:color w:val="365F91"/>
      <w:sz w:val="28"/>
      <w:szCs w:val="28"/>
    </w:rPr>
  </w:style>
  <w:style w:type="character" w:customStyle="1" w:styleId="Heading5Char">
    <w:name w:val="Heading 5 Char"/>
    <w:link w:val="Heading5"/>
    <w:uiPriority w:val="9"/>
    <w:rsid w:val="00A77B59"/>
    <w:rPr>
      <w:rFonts w:ascii="Cambria" w:eastAsia="Times New Roman" w:hAnsi="Cambria" w:cs="Times New Roman"/>
      <w:color w:val="243F60"/>
    </w:rPr>
  </w:style>
  <w:style w:type="character" w:customStyle="1" w:styleId="Heading9Char">
    <w:name w:val="Heading 9 Char"/>
    <w:link w:val="Heading9"/>
    <w:uiPriority w:val="9"/>
    <w:semiHidden/>
    <w:rsid w:val="00B032B3"/>
    <w:rPr>
      <w:rFonts w:ascii="Cambria" w:eastAsia="Times New Roman" w:hAnsi="Cambria" w:cs="Times New Roman"/>
      <w:i/>
      <w:iCs/>
      <w:color w:val="404040"/>
      <w:sz w:val="20"/>
      <w:szCs w:val="20"/>
    </w:rPr>
  </w:style>
  <w:style w:type="paragraph" w:customStyle="1" w:styleId="xl27">
    <w:name w:val="xl27"/>
    <w:basedOn w:val="Normal"/>
    <w:rsid w:val="00B032B3"/>
    <w:pPr>
      <w:pBdr>
        <w:left w:val="single" w:sz="4" w:space="0" w:color="auto"/>
        <w:bottom w:val="single" w:sz="4" w:space="0" w:color="auto"/>
        <w:right w:val="single" w:sz="4" w:space="0" w:color="auto"/>
      </w:pBdr>
      <w:bidi w:val="0"/>
      <w:spacing w:before="100" w:beforeAutospacing="1" w:after="100" w:afterAutospacing="1" w:line="240" w:lineRule="auto"/>
    </w:pPr>
    <w:rPr>
      <w:rFonts w:ascii="Times New Roman" w:hAnsi="Times New Roman" w:cs="Simplified Arabic"/>
      <w:sz w:val="24"/>
      <w:szCs w:val="24"/>
    </w:rPr>
  </w:style>
  <w:style w:type="character" w:customStyle="1" w:styleId="tlid-translation">
    <w:name w:val="tlid-translation"/>
    <w:basedOn w:val="DefaultParagraphFont"/>
    <w:rsid w:val="003C4A54"/>
  </w:style>
  <w:style w:type="paragraph" w:styleId="Caption">
    <w:name w:val="caption"/>
    <w:basedOn w:val="Normal"/>
    <w:next w:val="Normal"/>
    <w:uiPriority w:val="35"/>
    <w:unhideWhenUsed/>
    <w:qFormat/>
    <w:rsid w:val="002848BB"/>
    <w:pPr>
      <w:spacing w:line="240" w:lineRule="auto"/>
    </w:pPr>
    <w:rPr>
      <w:b/>
      <w:bCs/>
      <w:color w:val="4F81BD"/>
      <w:sz w:val="18"/>
      <w:szCs w:val="18"/>
    </w:rPr>
  </w:style>
  <w:style w:type="character" w:styleId="FollowedHyperlink">
    <w:name w:val="FollowedHyperlink"/>
    <w:uiPriority w:val="99"/>
    <w:semiHidden/>
    <w:unhideWhenUsed/>
    <w:rsid w:val="009805E6"/>
    <w:rPr>
      <w:color w:val="800080"/>
      <w:u w:val="single"/>
    </w:rPr>
  </w:style>
  <w:style w:type="paragraph" w:styleId="BlockText">
    <w:name w:val="Block Text"/>
    <w:basedOn w:val="Normal"/>
    <w:semiHidden/>
    <w:rsid w:val="00D62031"/>
    <w:pPr>
      <w:tabs>
        <w:tab w:val="left" w:pos="4395"/>
      </w:tabs>
      <w:bidi w:val="0"/>
      <w:spacing w:after="0" w:line="240" w:lineRule="auto"/>
      <w:ind w:left="-90" w:right="27"/>
      <w:jc w:val="lowKashida"/>
    </w:pPr>
    <w:rPr>
      <w:rFonts w:ascii="Times New Roman" w:hAnsi="Times New Roman" w:cs="Times New Roman"/>
      <w:b/>
      <w:bCs/>
      <w:noProof/>
      <w:sz w:val="24"/>
      <w:szCs w:val="24"/>
    </w:rPr>
  </w:style>
  <w:style w:type="paragraph" w:styleId="Quote">
    <w:name w:val="Quote"/>
    <w:basedOn w:val="Normal"/>
    <w:next w:val="Normal"/>
    <w:link w:val="QuoteChar"/>
    <w:uiPriority w:val="29"/>
    <w:qFormat/>
    <w:rsid w:val="008447A3"/>
    <w:pPr>
      <w:bidi w:val="0"/>
      <w:spacing w:before="200" w:after="160" w:line="259" w:lineRule="auto"/>
      <w:ind w:left="864" w:right="864"/>
      <w:jc w:val="center"/>
    </w:pPr>
    <w:rPr>
      <w:rFonts w:asciiTheme="minorHAnsi" w:eastAsiaTheme="minorHAnsi" w:hAnsiTheme="minorHAnsi" w:cstheme="minorBidi"/>
      <w:i/>
      <w:iCs/>
      <w:color w:val="404040" w:themeColor="text1" w:themeTint="BF"/>
      <w:lang w:val="it-IT"/>
    </w:rPr>
  </w:style>
  <w:style w:type="character" w:customStyle="1" w:styleId="QuoteChar">
    <w:name w:val="Quote Char"/>
    <w:basedOn w:val="DefaultParagraphFont"/>
    <w:link w:val="Quote"/>
    <w:uiPriority w:val="29"/>
    <w:rsid w:val="008447A3"/>
    <w:rPr>
      <w:rFonts w:asciiTheme="minorHAnsi" w:eastAsiaTheme="minorHAnsi" w:hAnsiTheme="minorHAnsi" w:cstheme="minorBidi"/>
      <w:i/>
      <w:iCs/>
      <w:color w:val="404040" w:themeColor="text1" w:themeTint="BF"/>
      <w:sz w:val="22"/>
      <w:szCs w:val="22"/>
      <w:lang w:val="it-IT"/>
    </w:rPr>
  </w:style>
  <w:style w:type="paragraph" w:styleId="Revision">
    <w:name w:val="Revision"/>
    <w:hidden/>
    <w:uiPriority w:val="99"/>
    <w:semiHidden/>
    <w:rsid w:val="00850723"/>
    <w:rPr>
      <w:sz w:val="22"/>
      <w:szCs w:val="22"/>
    </w:rPr>
  </w:style>
  <w:style w:type="character" w:customStyle="1" w:styleId="Bodytext8ptBoldSpacing0pt20">
    <w:name w:val="Body text + 8 pt;Bold;Spacing 0 pt2"/>
    <w:rsid w:val="00FB1314"/>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character" w:customStyle="1" w:styleId="Heading5ItalicSpacing0pt10">
    <w:name w:val="Heading #5 + Italic;Spacing 0 pt1"/>
    <w:rsid w:val="00FB1314"/>
    <w:rPr>
      <w:rFonts w:ascii="Arial Narrow" w:eastAsia="Arial Narrow" w:hAnsi="Arial Narrow" w:cs="Arial Narrow"/>
      <w:b/>
      <w:bCs/>
      <w:i/>
      <w:iCs/>
      <w:color w:val="000000"/>
      <w:spacing w:val="-17"/>
      <w:w w:val="100"/>
      <w:position w:val="0"/>
      <w:sz w:val="23"/>
      <w:szCs w:val="23"/>
      <w:shd w:val="clear" w:color="auto" w:fill="FFFFFF"/>
      <w:lang w:val="en-GB"/>
    </w:rPr>
  </w:style>
  <w:style w:type="character" w:customStyle="1" w:styleId="BodytextItalicSpacing0pt30">
    <w:name w:val="Body text + Italic;Spacing 0 pt3"/>
    <w:rsid w:val="00FB1314"/>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0">
    <w:name w:val="Body text + Bold;Spacing 0 pt1"/>
    <w:rsid w:val="00FB1314"/>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0">
    <w:name w:val="Body text + Italic;Spacing 0 pt2"/>
    <w:rsid w:val="00FB1314"/>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602993">
      <w:bodyDiv w:val="1"/>
      <w:marLeft w:val="0"/>
      <w:marRight w:val="0"/>
      <w:marTop w:val="0"/>
      <w:marBottom w:val="0"/>
      <w:divBdr>
        <w:top w:val="none" w:sz="0" w:space="0" w:color="auto"/>
        <w:left w:val="none" w:sz="0" w:space="0" w:color="auto"/>
        <w:bottom w:val="none" w:sz="0" w:space="0" w:color="auto"/>
        <w:right w:val="none" w:sz="0" w:space="0" w:color="auto"/>
      </w:divBdr>
    </w:div>
    <w:div w:id="393815673">
      <w:bodyDiv w:val="1"/>
      <w:marLeft w:val="0"/>
      <w:marRight w:val="0"/>
      <w:marTop w:val="0"/>
      <w:marBottom w:val="0"/>
      <w:divBdr>
        <w:top w:val="none" w:sz="0" w:space="0" w:color="auto"/>
        <w:left w:val="none" w:sz="0" w:space="0" w:color="auto"/>
        <w:bottom w:val="none" w:sz="0" w:space="0" w:color="auto"/>
        <w:right w:val="none" w:sz="0" w:space="0" w:color="auto"/>
      </w:divBdr>
      <w:divsChild>
        <w:div w:id="259800327">
          <w:marLeft w:val="0"/>
          <w:marRight w:val="0"/>
          <w:marTop w:val="0"/>
          <w:marBottom w:val="0"/>
          <w:divBdr>
            <w:top w:val="none" w:sz="0" w:space="0" w:color="auto"/>
            <w:left w:val="none" w:sz="0" w:space="0" w:color="auto"/>
            <w:bottom w:val="none" w:sz="0" w:space="0" w:color="auto"/>
            <w:right w:val="none" w:sz="0" w:space="0" w:color="auto"/>
          </w:divBdr>
        </w:div>
      </w:divsChild>
    </w:div>
    <w:div w:id="641663516">
      <w:bodyDiv w:val="1"/>
      <w:marLeft w:val="0"/>
      <w:marRight w:val="0"/>
      <w:marTop w:val="0"/>
      <w:marBottom w:val="0"/>
      <w:divBdr>
        <w:top w:val="none" w:sz="0" w:space="0" w:color="auto"/>
        <w:left w:val="none" w:sz="0" w:space="0" w:color="auto"/>
        <w:bottom w:val="none" w:sz="0" w:space="0" w:color="auto"/>
        <w:right w:val="none" w:sz="0" w:space="0" w:color="auto"/>
      </w:divBdr>
    </w:div>
    <w:div w:id="932976389">
      <w:bodyDiv w:val="1"/>
      <w:marLeft w:val="0"/>
      <w:marRight w:val="0"/>
      <w:marTop w:val="0"/>
      <w:marBottom w:val="0"/>
      <w:divBdr>
        <w:top w:val="none" w:sz="0" w:space="0" w:color="auto"/>
        <w:left w:val="none" w:sz="0" w:space="0" w:color="auto"/>
        <w:bottom w:val="none" w:sz="0" w:space="0" w:color="auto"/>
        <w:right w:val="none" w:sz="0" w:space="0" w:color="auto"/>
      </w:divBdr>
    </w:div>
    <w:div w:id="1046488768">
      <w:bodyDiv w:val="1"/>
      <w:marLeft w:val="0"/>
      <w:marRight w:val="0"/>
      <w:marTop w:val="0"/>
      <w:marBottom w:val="0"/>
      <w:divBdr>
        <w:top w:val="none" w:sz="0" w:space="0" w:color="auto"/>
        <w:left w:val="none" w:sz="0" w:space="0" w:color="auto"/>
        <w:bottom w:val="none" w:sz="0" w:space="0" w:color="auto"/>
        <w:right w:val="none" w:sz="0" w:space="0" w:color="auto"/>
      </w:divBdr>
    </w:div>
    <w:div w:id="1079597029">
      <w:bodyDiv w:val="1"/>
      <w:marLeft w:val="0"/>
      <w:marRight w:val="0"/>
      <w:marTop w:val="0"/>
      <w:marBottom w:val="0"/>
      <w:divBdr>
        <w:top w:val="none" w:sz="0" w:space="0" w:color="auto"/>
        <w:left w:val="none" w:sz="0" w:space="0" w:color="auto"/>
        <w:bottom w:val="none" w:sz="0" w:space="0" w:color="auto"/>
        <w:right w:val="none" w:sz="0" w:space="0" w:color="auto"/>
      </w:divBdr>
    </w:div>
    <w:div w:id="1604337640">
      <w:bodyDiv w:val="1"/>
      <w:marLeft w:val="0"/>
      <w:marRight w:val="0"/>
      <w:marTop w:val="0"/>
      <w:marBottom w:val="0"/>
      <w:divBdr>
        <w:top w:val="none" w:sz="0" w:space="0" w:color="auto"/>
        <w:left w:val="none" w:sz="0" w:space="0" w:color="auto"/>
        <w:bottom w:val="none" w:sz="0" w:space="0" w:color="auto"/>
        <w:right w:val="none" w:sz="0" w:space="0" w:color="auto"/>
      </w:divBdr>
    </w:div>
    <w:div w:id="2047178574">
      <w:bodyDiv w:val="1"/>
      <w:marLeft w:val="0"/>
      <w:marRight w:val="0"/>
      <w:marTop w:val="0"/>
      <w:marBottom w:val="0"/>
      <w:divBdr>
        <w:top w:val="none" w:sz="0" w:space="0" w:color="auto"/>
        <w:left w:val="none" w:sz="0" w:space="0" w:color="auto"/>
        <w:bottom w:val="none" w:sz="0" w:space="0" w:color="auto"/>
        <w:right w:val="none" w:sz="0" w:space="0" w:color="auto"/>
      </w:divBdr>
    </w:div>
    <w:div w:id="2146005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4.jpeg"/><Relationship Id="rId117" Type="http://schemas.openxmlformats.org/officeDocument/2006/relationships/chart" Target="charts/chart79.xml"/><Relationship Id="rId21" Type="http://schemas.openxmlformats.org/officeDocument/2006/relationships/image" Target="media/image29.jpeg"/><Relationship Id="rId42" Type="http://schemas.openxmlformats.org/officeDocument/2006/relationships/chart" Target="charts/chart6.xml"/><Relationship Id="rId47" Type="http://schemas.openxmlformats.org/officeDocument/2006/relationships/chart" Target="charts/chart10.xml"/><Relationship Id="rId63" Type="http://schemas.openxmlformats.org/officeDocument/2006/relationships/chart" Target="charts/chart25.xml"/><Relationship Id="rId68" Type="http://schemas.openxmlformats.org/officeDocument/2006/relationships/chart" Target="charts/chart30.xml"/><Relationship Id="rId84" Type="http://schemas.openxmlformats.org/officeDocument/2006/relationships/chart" Target="charts/chart46.xml"/><Relationship Id="rId89" Type="http://schemas.openxmlformats.org/officeDocument/2006/relationships/chart" Target="charts/chart51.xml"/><Relationship Id="rId112" Type="http://schemas.openxmlformats.org/officeDocument/2006/relationships/chart" Target="charts/chart74.xml"/><Relationship Id="rId133" Type="http://schemas.openxmlformats.org/officeDocument/2006/relationships/chart" Target="charts/chart93.xml"/><Relationship Id="rId138" Type="http://schemas.openxmlformats.org/officeDocument/2006/relationships/chart" Target="charts/chart98.xml"/><Relationship Id="rId154" Type="http://schemas.openxmlformats.org/officeDocument/2006/relationships/chart" Target="charts/chart110.xml"/><Relationship Id="rId159" Type="http://schemas.openxmlformats.org/officeDocument/2006/relationships/chart" Target="charts/chart113.xml"/><Relationship Id="rId175" Type="http://schemas.openxmlformats.org/officeDocument/2006/relationships/chart" Target="charts/chart129.xml"/><Relationship Id="rId170" Type="http://schemas.openxmlformats.org/officeDocument/2006/relationships/chart" Target="charts/chart124.xml"/><Relationship Id="rId16" Type="http://schemas.openxmlformats.org/officeDocument/2006/relationships/image" Target="media/image24.jpeg"/><Relationship Id="rId107" Type="http://schemas.openxmlformats.org/officeDocument/2006/relationships/chart" Target="charts/chart69.xml"/><Relationship Id="rId11" Type="http://schemas.openxmlformats.org/officeDocument/2006/relationships/hyperlink" Target="http://www.pcbs.gov.ps" TargetMode="External"/><Relationship Id="rId32" Type="http://schemas.openxmlformats.org/officeDocument/2006/relationships/footer" Target="footer1.xml"/><Relationship Id="rId37" Type="http://schemas.openxmlformats.org/officeDocument/2006/relationships/chart" Target="charts/chart2.xml"/><Relationship Id="rId53" Type="http://schemas.openxmlformats.org/officeDocument/2006/relationships/hyperlink" Target="https://unstats.un.org/sdgs/indicators/database" TargetMode="External"/><Relationship Id="rId58" Type="http://schemas.openxmlformats.org/officeDocument/2006/relationships/chart" Target="charts/chart20.xml"/><Relationship Id="rId74" Type="http://schemas.openxmlformats.org/officeDocument/2006/relationships/chart" Target="charts/chart36.xml"/><Relationship Id="rId79" Type="http://schemas.openxmlformats.org/officeDocument/2006/relationships/chart" Target="charts/chart41.xml"/><Relationship Id="rId102" Type="http://schemas.openxmlformats.org/officeDocument/2006/relationships/chart" Target="charts/chart64.xml"/><Relationship Id="rId123" Type="http://schemas.openxmlformats.org/officeDocument/2006/relationships/chart" Target="charts/chart85.xml"/><Relationship Id="rId128" Type="http://schemas.openxmlformats.org/officeDocument/2006/relationships/hyperlink" Target="https://unstats.un.org/sdgs/indicators/database/" TargetMode="External"/><Relationship Id="rId144" Type="http://schemas.openxmlformats.org/officeDocument/2006/relationships/hyperlink" Target="https://unstats.un.org/sdgs/indicators/database" TargetMode="External"/><Relationship Id="rId149" Type="http://schemas.openxmlformats.org/officeDocument/2006/relationships/hyperlink" Target="https://unstats.un.org/sdgs/indicators/database" TargetMode="External"/><Relationship Id="rId5" Type="http://schemas.openxmlformats.org/officeDocument/2006/relationships/webSettings" Target="webSettings.xml"/><Relationship Id="rId90" Type="http://schemas.openxmlformats.org/officeDocument/2006/relationships/chart" Target="charts/chart52.xml"/><Relationship Id="rId95" Type="http://schemas.openxmlformats.org/officeDocument/2006/relationships/chart" Target="charts/chart57.xml"/><Relationship Id="rId160" Type="http://schemas.openxmlformats.org/officeDocument/2006/relationships/chart" Target="charts/chart114.xml"/><Relationship Id="rId165" Type="http://schemas.openxmlformats.org/officeDocument/2006/relationships/chart" Target="charts/chart119.xml"/><Relationship Id="rId181" Type="http://schemas.openxmlformats.org/officeDocument/2006/relationships/chart" Target="charts/chart135.xml"/><Relationship Id="rId186" Type="http://schemas.openxmlformats.org/officeDocument/2006/relationships/header" Target="header2.xml"/><Relationship Id="rId22" Type="http://schemas.openxmlformats.org/officeDocument/2006/relationships/image" Target="media/image30.jpeg"/><Relationship Id="rId27" Type="http://schemas.openxmlformats.org/officeDocument/2006/relationships/image" Target="media/image35.png"/><Relationship Id="rId43" Type="http://schemas.openxmlformats.org/officeDocument/2006/relationships/hyperlink" Target="https://unstats.un.org/sdgs/indicators/database" TargetMode="External"/><Relationship Id="rId48" Type="http://schemas.openxmlformats.org/officeDocument/2006/relationships/chart" Target="charts/chart11.xml"/><Relationship Id="rId64" Type="http://schemas.openxmlformats.org/officeDocument/2006/relationships/chart" Target="charts/chart26.xml"/><Relationship Id="rId69" Type="http://schemas.openxmlformats.org/officeDocument/2006/relationships/chart" Target="charts/chart31.xml"/><Relationship Id="rId113" Type="http://schemas.openxmlformats.org/officeDocument/2006/relationships/chart" Target="charts/chart75.xml"/><Relationship Id="rId118" Type="http://schemas.openxmlformats.org/officeDocument/2006/relationships/chart" Target="charts/chart80.xml"/><Relationship Id="rId134" Type="http://schemas.openxmlformats.org/officeDocument/2006/relationships/chart" Target="charts/chart94.xml"/><Relationship Id="rId139" Type="http://schemas.openxmlformats.org/officeDocument/2006/relationships/chart" Target="charts/chart99.xml"/><Relationship Id="rId80" Type="http://schemas.openxmlformats.org/officeDocument/2006/relationships/chart" Target="charts/chart42.xml"/><Relationship Id="rId85" Type="http://schemas.openxmlformats.org/officeDocument/2006/relationships/chart" Target="charts/chart47.xml"/><Relationship Id="rId150" Type="http://schemas.openxmlformats.org/officeDocument/2006/relationships/chart" Target="charts/chart107.xml"/><Relationship Id="rId155" Type="http://schemas.openxmlformats.org/officeDocument/2006/relationships/hyperlink" Target="https://unstats.un.org/sdgs/indicators/database" TargetMode="External"/><Relationship Id="rId171" Type="http://schemas.openxmlformats.org/officeDocument/2006/relationships/chart" Target="charts/chart125.xml"/><Relationship Id="rId176" Type="http://schemas.openxmlformats.org/officeDocument/2006/relationships/chart" Target="charts/chart130.xml"/><Relationship Id="rId12" Type="http://schemas.openxmlformats.org/officeDocument/2006/relationships/image" Target="media/image4.png"/><Relationship Id="rId17" Type="http://schemas.openxmlformats.org/officeDocument/2006/relationships/image" Target="media/image25.jpeg"/><Relationship Id="rId33" Type="http://schemas.openxmlformats.org/officeDocument/2006/relationships/hyperlink" Target="https://unstats.un.org/unsd/" TargetMode="External"/><Relationship Id="rId38" Type="http://schemas.openxmlformats.org/officeDocument/2006/relationships/chart" Target="charts/chart3.xml"/><Relationship Id="rId59" Type="http://schemas.openxmlformats.org/officeDocument/2006/relationships/chart" Target="charts/chart21.xml"/><Relationship Id="rId103" Type="http://schemas.openxmlformats.org/officeDocument/2006/relationships/chart" Target="charts/chart65.xml"/><Relationship Id="rId108" Type="http://schemas.openxmlformats.org/officeDocument/2006/relationships/chart" Target="charts/chart70.xml"/><Relationship Id="rId124" Type="http://schemas.openxmlformats.org/officeDocument/2006/relationships/chart" Target="charts/chart86.xml"/><Relationship Id="rId129" Type="http://schemas.openxmlformats.org/officeDocument/2006/relationships/chart" Target="charts/chart89.xml"/><Relationship Id="rId54" Type="http://schemas.openxmlformats.org/officeDocument/2006/relationships/chart" Target="charts/chart16.xml"/><Relationship Id="rId70" Type="http://schemas.openxmlformats.org/officeDocument/2006/relationships/chart" Target="charts/chart32.xml"/><Relationship Id="rId75" Type="http://schemas.openxmlformats.org/officeDocument/2006/relationships/chart" Target="charts/chart37.xml"/><Relationship Id="rId91" Type="http://schemas.openxmlformats.org/officeDocument/2006/relationships/chart" Target="charts/chart53.xml"/><Relationship Id="rId96" Type="http://schemas.openxmlformats.org/officeDocument/2006/relationships/chart" Target="charts/chart58.xml"/><Relationship Id="rId140" Type="http://schemas.openxmlformats.org/officeDocument/2006/relationships/chart" Target="charts/chart100.xml"/><Relationship Id="rId145" Type="http://schemas.openxmlformats.org/officeDocument/2006/relationships/chart" Target="charts/chart104.xml"/><Relationship Id="rId161" Type="http://schemas.openxmlformats.org/officeDocument/2006/relationships/chart" Target="charts/chart115.xml"/><Relationship Id="rId166" Type="http://schemas.openxmlformats.org/officeDocument/2006/relationships/chart" Target="charts/chart120.xml"/><Relationship Id="rId182" Type="http://schemas.openxmlformats.org/officeDocument/2006/relationships/chart" Target="charts/chart136.xml"/><Relationship Id="rId187"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31.jpeg"/><Relationship Id="rId28" Type="http://schemas.openxmlformats.org/officeDocument/2006/relationships/image" Target="media/image36.jpeg"/><Relationship Id="rId49" Type="http://schemas.openxmlformats.org/officeDocument/2006/relationships/chart" Target="charts/chart12.xml"/><Relationship Id="rId114" Type="http://schemas.openxmlformats.org/officeDocument/2006/relationships/chart" Target="charts/chart76.xml"/><Relationship Id="rId119" Type="http://schemas.openxmlformats.org/officeDocument/2006/relationships/chart" Target="charts/chart81.xml"/><Relationship Id="rId44" Type="http://schemas.openxmlformats.org/officeDocument/2006/relationships/chart" Target="charts/chart7.xml"/><Relationship Id="rId60" Type="http://schemas.openxmlformats.org/officeDocument/2006/relationships/chart" Target="charts/chart22.xml"/><Relationship Id="rId65" Type="http://schemas.openxmlformats.org/officeDocument/2006/relationships/chart" Target="charts/chart27.xml"/><Relationship Id="rId81" Type="http://schemas.openxmlformats.org/officeDocument/2006/relationships/chart" Target="charts/chart43.xml"/><Relationship Id="rId86" Type="http://schemas.openxmlformats.org/officeDocument/2006/relationships/chart" Target="charts/chart48.xml"/><Relationship Id="rId130" Type="http://schemas.openxmlformats.org/officeDocument/2006/relationships/chart" Target="charts/chart90.xml"/><Relationship Id="rId135" Type="http://schemas.openxmlformats.org/officeDocument/2006/relationships/chart" Target="charts/chart95.xml"/><Relationship Id="rId151" Type="http://schemas.openxmlformats.org/officeDocument/2006/relationships/chart" Target="charts/chart108.xml"/><Relationship Id="rId156" Type="http://schemas.openxmlformats.org/officeDocument/2006/relationships/chart" Target="charts/chart111.xml"/><Relationship Id="rId177" Type="http://schemas.openxmlformats.org/officeDocument/2006/relationships/chart" Target="charts/chart131.xml"/><Relationship Id="rId172" Type="http://schemas.openxmlformats.org/officeDocument/2006/relationships/chart" Target="charts/chart126.xml"/><Relationship Id="rId13" Type="http://schemas.openxmlformats.org/officeDocument/2006/relationships/chart" Target="charts/chart1.xml"/><Relationship Id="rId18" Type="http://schemas.openxmlformats.org/officeDocument/2006/relationships/image" Target="media/image26.jpeg"/><Relationship Id="rId39" Type="http://schemas.openxmlformats.org/officeDocument/2006/relationships/chart" Target="charts/chart4.xml"/><Relationship Id="rId109" Type="http://schemas.openxmlformats.org/officeDocument/2006/relationships/chart" Target="charts/chart71.xml"/><Relationship Id="rId34" Type="http://schemas.openxmlformats.org/officeDocument/2006/relationships/hyperlink" Target="https://unstats.un.org/unsd/statcom/" TargetMode="External"/><Relationship Id="rId50" Type="http://schemas.openxmlformats.org/officeDocument/2006/relationships/chart" Target="charts/chart13.xml"/><Relationship Id="rId55" Type="http://schemas.openxmlformats.org/officeDocument/2006/relationships/chart" Target="charts/chart17.xml"/><Relationship Id="rId76" Type="http://schemas.openxmlformats.org/officeDocument/2006/relationships/chart" Target="charts/chart38.xml"/><Relationship Id="rId97" Type="http://schemas.openxmlformats.org/officeDocument/2006/relationships/chart" Target="charts/chart59.xml"/><Relationship Id="rId104" Type="http://schemas.openxmlformats.org/officeDocument/2006/relationships/chart" Target="charts/chart66.xml"/><Relationship Id="rId120" Type="http://schemas.openxmlformats.org/officeDocument/2006/relationships/chart" Target="charts/chart82.xml"/><Relationship Id="rId125" Type="http://schemas.openxmlformats.org/officeDocument/2006/relationships/chart" Target="charts/chart87.xml"/><Relationship Id="rId141" Type="http://schemas.openxmlformats.org/officeDocument/2006/relationships/chart" Target="charts/chart101.xml"/><Relationship Id="rId146" Type="http://schemas.openxmlformats.org/officeDocument/2006/relationships/hyperlink" Target="https://unstats.un.org/sdgs/indicators/database" TargetMode="External"/><Relationship Id="rId167" Type="http://schemas.openxmlformats.org/officeDocument/2006/relationships/chart" Target="charts/chart121.xml"/><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hart" Target="charts/chart33.xml"/><Relationship Id="rId92" Type="http://schemas.openxmlformats.org/officeDocument/2006/relationships/chart" Target="charts/chart54.xml"/><Relationship Id="rId162" Type="http://schemas.openxmlformats.org/officeDocument/2006/relationships/chart" Target="charts/chart116.xml"/><Relationship Id="rId183" Type="http://schemas.openxmlformats.org/officeDocument/2006/relationships/chart" Target="charts/chart137.xml"/><Relationship Id="rId2" Type="http://schemas.openxmlformats.org/officeDocument/2006/relationships/numbering" Target="numbering.xml"/><Relationship Id="rId29" Type="http://schemas.openxmlformats.org/officeDocument/2006/relationships/image" Target="media/image37.jpeg"/><Relationship Id="rId24" Type="http://schemas.openxmlformats.org/officeDocument/2006/relationships/image" Target="media/image32.jpeg"/><Relationship Id="rId40" Type="http://schemas.openxmlformats.org/officeDocument/2006/relationships/chart" Target="charts/chart5.xml"/><Relationship Id="rId45" Type="http://schemas.openxmlformats.org/officeDocument/2006/relationships/chart" Target="charts/chart8.xml"/><Relationship Id="rId66" Type="http://schemas.openxmlformats.org/officeDocument/2006/relationships/chart" Target="charts/chart28.xml"/><Relationship Id="rId87" Type="http://schemas.openxmlformats.org/officeDocument/2006/relationships/chart" Target="charts/chart49.xml"/><Relationship Id="rId110" Type="http://schemas.openxmlformats.org/officeDocument/2006/relationships/chart" Target="charts/chart72.xml"/><Relationship Id="rId115" Type="http://schemas.openxmlformats.org/officeDocument/2006/relationships/chart" Target="charts/chart77.xml"/><Relationship Id="rId131" Type="http://schemas.openxmlformats.org/officeDocument/2006/relationships/chart" Target="charts/chart91.xml"/><Relationship Id="rId136" Type="http://schemas.openxmlformats.org/officeDocument/2006/relationships/chart" Target="charts/chart96.xml"/><Relationship Id="rId157" Type="http://schemas.openxmlformats.org/officeDocument/2006/relationships/hyperlink" Target="https://unstats.un.org/sdgs/indicators/database" TargetMode="External"/><Relationship Id="rId178" Type="http://schemas.openxmlformats.org/officeDocument/2006/relationships/chart" Target="charts/chart132.xml"/><Relationship Id="rId61" Type="http://schemas.openxmlformats.org/officeDocument/2006/relationships/chart" Target="charts/chart23.xml"/><Relationship Id="rId82" Type="http://schemas.openxmlformats.org/officeDocument/2006/relationships/chart" Target="charts/chart44.xml"/><Relationship Id="rId152" Type="http://schemas.openxmlformats.org/officeDocument/2006/relationships/chart" Target="charts/chart109.xml"/><Relationship Id="rId173" Type="http://schemas.openxmlformats.org/officeDocument/2006/relationships/chart" Target="charts/chart127.xml"/><Relationship Id="rId19" Type="http://schemas.openxmlformats.org/officeDocument/2006/relationships/image" Target="media/image27.jpeg"/><Relationship Id="rId14" Type="http://schemas.openxmlformats.org/officeDocument/2006/relationships/image" Target="media/image22.jpeg"/><Relationship Id="rId30" Type="http://schemas.openxmlformats.org/officeDocument/2006/relationships/image" Target="media/image38.jpeg"/><Relationship Id="rId35" Type="http://schemas.openxmlformats.org/officeDocument/2006/relationships/hyperlink" Target="https://unstats.un.org/sdgs/hlg/" TargetMode="External"/><Relationship Id="rId56" Type="http://schemas.openxmlformats.org/officeDocument/2006/relationships/chart" Target="charts/chart18.xml"/><Relationship Id="rId77" Type="http://schemas.openxmlformats.org/officeDocument/2006/relationships/chart" Target="charts/chart39.xml"/><Relationship Id="rId100" Type="http://schemas.openxmlformats.org/officeDocument/2006/relationships/chart" Target="charts/chart62.xml"/><Relationship Id="rId105" Type="http://schemas.openxmlformats.org/officeDocument/2006/relationships/chart" Target="charts/chart67.xml"/><Relationship Id="rId126" Type="http://schemas.openxmlformats.org/officeDocument/2006/relationships/hyperlink" Target="https://unstats.un.org/sdgs/indicators/database/" TargetMode="External"/><Relationship Id="rId147" Type="http://schemas.openxmlformats.org/officeDocument/2006/relationships/chart" Target="charts/chart105.xml"/><Relationship Id="rId168" Type="http://schemas.openxmlformats.org/officeDocument/2006/relationships/chart" Target="charts/chart122.xml"/><Relationship Id="rId8" Type="http://schemas.openxmlformats.org/officeDocument/2006/relationships/image" Target="media/image1.gif"/><Relationship Id="rId51" Type="http://schemas.openxmlformats.org/officeDocument/2006/relationships/chart" Target="charts/chart14.xml"/><Relationship Id="rId72" Type="http://schemas.openxmlformats.org/officeDocument/2006/relationships/chart" Target="charts/chart34.xml"/><Relationship Id="rId93" Type="http://schemas.openxmlformats.org/officeDocument/2006/relationships/chart" Target="charts/chart55.xml"/><Relationship Id="rId98" Type="http://schemas.openxmlformats.org/officeDocument/2006/relationships/chart" Target="charts/chart60.xml"/><Relationship Id="rId121" Type="http://schemas.openxmlformats.org/officeDocument/2006/relationships/chart" Target="charts/chart83.xml"/><Relationship Id="rId142" Type="http://schemas.openxmlformats.org/officeDocument/2006/relationships/chart" Target="charts/chart102.xml"/><Relationship Id="rId163" Type="http://schemas.openxmlformats.org/officeDocument/2006/relationships/chart" Target="charts/chart117.xml"/><Relationship Id="rId184" Type="http://schemas.openxmlformats.org/officeDocument/2006/relationships/chart" Target="charts/chart138.xml"/><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33.jpeg"/><Relationship Id="rId46" Type="http://schemas.openxmlformats.org/officeDocument/2006/relationships/chart" Target="charts/chart9.xml"/><Relationship Id="rId67" Type="http://schemas.openxmlformats.org/officeDocument/2006/relationships/chart" Target="charts/chart29.xml"/><Relationship Id="rId116" Type="http://schemas.openxmlformats.org/officeDocument/2006/relationships/chart" Target="charts/chart78.xml"/><Relationship Id="rId137" Type="http://schemas.openxmlformats.org/officeDocument/2006/relationships/chart" Target="charts/chart97.xml"/><Relationship Id="rId158" Type="http://schemas.openxmlformats.org/officeDocument/2006/relationships/chart" Target="charts/chart112.xml"/><Relationship Id="rId20" Type="http://schemas.openxmlformats.org/officeDocument/2006/relationships/image" Target="media/image28.jpeg"/><Relationship Id="rId41" Type="http://schemas.openxmlformats.org/officeDocument/2006/relationships/hyperlink" Target="https://unstats.un.org/sdgs/indicators/database" TargetMode="External"/><Relationship Id="rId62" Type="http://schemas.openxmlformats.org/officeDocument/2006/relationships/chart" Target="charts/chart24.xml"/><Relationship Id="rId83" Type="http://schemas.openxmlformats.org/officeDocument/2006/relationships/chart" Target="charts/chart45.xml"/><Relationship Id="rId88" Type="http://schemas.openxmlformats.org/officeDocument/2006/relationships/chart" Target="charts/chart50.xml"/><Relationship Id="rId111" Type="http://schemas.openxmlformats.org/officeDocument/2006/relationships/chart" Target="charts/chart73.xml"/><Relationship Id="rId132" Type="http://schemas.openxmlformats.org/officeDocument/2006/relationships/chart" Target="charts/chart92.xml"/><Relationship Id="rId153" Type="http://schemas.openxmlformats.org/officeDocument/2006/relationships/hyperlink" Target="https://unstats.un.org/sdgs/indicators/database" TargetMode="External"/><Relationship Id="rId174" Type="http://schemas.openxmlformats.org/officeDocument/2006/relationships/chart" Target="charts/chart128.xml"/><Relationship Id="rId179" Type="http://schemas.openxmlformats.org/officeDocument/2006/relationships/chart" Target="charts/chart133.xml"/><Relationship Id="rId15" Type="http://schemas.openxmlformats.org/officeDocument/2006/relationships/image" Target="media/image23.jpeg"/><Relationship Id="rId36" Type="http://schemas.openxmlformats.org/officeDocument/2006/relationships/hyperlink" Target="https://sustainabledevelopment.un.org/post2015/transformingourworld" TargetMode="External"/><Relationship Id="rId57" Type="http://schemas.openxmlformats.org/officeDocument/2006/relationships/chart" Target="charts/chart19.xml"/><Relationship Id="rId106" Type="http://schemas.openxmlformats.org/officeDocument/2006/relationships/chart" Target="charts/chart68.xml"/><Relationship Id="rId127" Type="http://schemas.openxmlformats.org/officeDocument/2006/relationships/chart" Target="charts/chart88.xml"/><Relationship Id="rId10" Type="http://schemas.openxmlformats.org/officeDocument/2006/relationships/image" Target="media/image3.png"/><Relationship Id="rId31" Type="http://schemas.openxmlformats.org/officeDocument/2006/relationships/header" Target="header1.xml"/><Relationship Id="rId52" Type="http://schemas.openxmlformats.org/officeDocument/2006/relationships/chart" Target="charts/chart15.xml"/><Relationship Id="rId73" Type="http://schemas.openxmlformats.org/officeDocument/2006/relationships/chart" Target="charts/chart35.xml"/><Relationship Id="rId78" Type="http://schemas.openxmlformats.org/officeDocument/2006/relationships/chart" Target="charts/chart40.xml"/><Relationship Id="rId94" Type="http://schemas.openxmlformats.org/officeDocument/2006/relationships/chart" Target="charts/chart56.xml"/><Relationship Id="rId99" Type="http://schemas.openxmlformats.org/officeDocument/2006/relationships/chart" Target="charts/chart61.xml"/><Relationship Id="rId101" Type="http://schemas.openxmlformats.org/officeDocument/2006/relationships/chart" Target="charts/chart63.xml"/><Relationship Id="rId122" Type="http://schemas.openxmlformats.org/officeDocument/2006/relationships/chart" Target="charts/chart84.xml"/><Relationship Id="rId143" Type="http://schemas.openxmlformats.org/officeDocument/2006/relationships/chart" Target="charts/chart103.xml"/><Relationship Id="rId148" Type="http://schemas.openxmlformats.org/officeDocument/2006/relationships/chart" Target="charts/chart106.xml"/><Relationship Id="rId164" Type="http://schemas.openxmlformats.org/officeDocument/2006/relationships/chart" Target="charts/chart118.xml"/><Relationship Id="rId169" Type="http://schemas.openxmlformats.org/officeDocument/2006/relationships/chart" Target="charts/chart123.xml"/><Relationship Id="rId185" Type="http://schemas.openxmlformats.org/officeDocument/2006/relationships/chart" Target="charts/chart139.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chart" Target="charts/chart134.xml"/></Relationships>
</file>

<file path=word/_rels/footnotes.xml.rels><?xml version="1.0" encoding="UTF-8" standalone="yes"?>
<Relationships xmlns="http://schemas.openxmlformats.org/package/2006/relationships"><Relationship Id="rId3" Type="http://schemas.openxmlformats.org/officeDocument/2006/relationships/hyperlink" Target="https://unstats.un.org/sdgs/indicators/database" TargetMode="External"/><Relationship Id="rId2" Type="http://schemas.openxmlformats.org/officeDocument/2006/relationships/hyperlink" Target="https://unstats.un.org/sdgs/indicators/database" TargetMode="External"/><Relationship Id="rId1" Type="http://schemas.openxmlformats.org/officeDocument/2006/relationships/hyperlink" Target="https://data.unescwa.org/content/85e05a1d-a6d5-45cd-b769-d15c30f72fe7" TargetMode="External"/><Relationship Id="rId4" Type="http://schemas.openxmlformats.org/officeDocument/2006/relationships/hyperlink" Target="https://unstats.un.org/sdgs/indicators/database"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0.xml"/></Relationships>
</file>

<file path=word/charts/_rels/chart100.xml.rels><?xml version="1.0" encoding="UTF-8" standalone="yes"?>
<Relationships xmlns="http://schemas.openxmlformats.org/package/2006/relationships"><Relationship Id="rId2" Type="http://schemas.openxmlformats.org/officeDocument/2006/relationships/package" Target="../embeddings/Microsoft_Excel_Worksheet98.xlsx"/><Relationship Id="rId1" Type="http://schemas.openxmlformats.org/officeDocument/2006/relationships/themeOverride" Target="../theme/themeOverride93.xml"/></Relationships>
</file>

<file path=word/charts/_rels/chart101.xml.rels><?xml version="1.0" encoding="UTF-8" standalone="yes"?>
<Relationships xmlns="http://schemas.openxmlformats.org/package/2006/relationships"><Relationship Id="rId2" Type="http://schemas.openxmlformats.org/officeDocument/2006/relationships/package" Target="../embeddings/Microsoft_Excel_Worksheet99.xlsx"/><Relationship Id="rId1" Type="http://schemas.openxmlformats.org/officeDocument/2006/relationships/themeOverride" Target="../theme/themeOverride94.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Microsoft_Excel_Worksheet100.xlsx"/><Relationship Id="rId1" Type="http://schemas.openxmlformats.org/officeDocument/2006/relationships/themeOverride" Target="../theme/themeOverride95.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Microsoft_Excel_Worksheet101.xlsx"/><Relationship Id="rId1" Type="http://schemas.openxmlformats.org/officeDocument/2006/relationships/themeOverride" Target="../theme/themeOverride96.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Microsoft_Excel_Worksheet102.xlsx"/><Relationship Id="rId1" Type="http://schemas.openxmlformats.org/officeDocument/2006/relationships/themeOverride" Target="../theme/themeOverride97.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Microsoft_Excel_Worksheet103.xlsx"/><Relationship Id="rId1" Type="http://schemas.openxmlformats.org/officeDocument/2006/relationships/themeOverride" Target="../theme/themeOverride98.xml"/></Relationships>
</file>

<file path=word/charts/_rels/chart106.xml.rels><?xml version="1.0" encoding="UTF-8" standalone="yes"?>
<Relationships xmlns="http://schemas.openxmlformats.org/package/2006/relationships"><Relationship Id="rId2" Type="http://schemas.openxmlformats.org/officeDocument/2006/relationships/package" Target="../embeddings/Microsoft_Excel_Worksheet104.xlsx"/><Relationship Id="rId1" Type="http://schemas.openxmlformats.org/officeDocument/2006/relationships/themeOverride" Target="../theme/themeOverride99.xml"/></Relationships>
</file>

<file path=word/charts/_rels/chart107.xml.rels><?xml version="1.0" encoding="UTF-8" standalone="yes"?>
<Relationships xmlns="http://schemas.openxmlformats.org/package/2006/relationships"><Relationship Id="rId2" Type="http://schemas.openxmlformats.org/officeDocument/2006/relationships/package" Target="../embeddings/Microsoft_Excel_Worksheet105.xlsx"/><Relationship Id="rId1" Type="http://schemas.openxmlformats.org/officeDocument/2006/relationships/themeOverride" Target="../theme/themeOverride100.xml"/></Relationships>
</file>

<file path=word/charts/_rels/chart108.xml.rels><?xml version="1.0" encoding="UTF-8" standalone="yes"?>
<Relationships xmlns="http://schemas.openxmlformats.org/package/2006/relationships"><Relationship Id="rId2" Type="http://schemas.openxmlformats.org/officeDocument/2006/relationships/package" Target="../embeddings/Microsoft_Excel_Worksheet106.xlsx"/><Relationship Id="rId1" Type="http://schemas.openxmlformats.org/officeDocument/2006/relationships/themeOverride" Target="../theme/themeOverride101.xml"/></Relationships>
</file>

<file path=word/charts/_rels/chart109.xml.rels><?xml version="1.0" encoding="UTF-8" standalone="yes"?>
<Relationships xmlns="http://schemas.openxmlformats.org/package/2006/relationships"><Relationship Id="rId2" Type="http://schemas.openxmlformats.org/officeDocument/2006/relationships/package" Target="../embeddings/Microsoft_Excel_Worksheet107.xlsx"/><Relationship Id="rId1" Type="http://schemas.openxmlformats.org/officeDocument/2006/relationships/themeOverride" Target="../theme/themeOverride102.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110.xml.rels><?xml version="1.0" encoding="UTF-8" standalone="yes"?>
<Relationships xmlns="http://schemas.openxmlformats.org/package/2006/relationships"><Relationship Id="rId2" Type="http://schemas.openxmlformats.org/officeDocument/2006/relationships/package" Target="../embeddings/Microsoft_Excel_Worksheet108.xlsx"/><Relationship Id="rId1" Type="http://schemas.openxmlformats.org/officeDocument/2006/relationships/themeOverride" Target="../theme/themeOverride103.xml"/></Relationships>
</file>

<file path=word/charts/_rels/chart111.xml.rels><?xml version="1.0" encoding="UTF-8" standalone="yes"?>
<Relationships xmlns="http://schemas.openxmlformats.org/package/2006/relationships"><Relationship Id="rId2" Type="http://schemas.openxmlformats.org/officeDocument/2006/relationships/package" Target="../embeddings/Microsoft_Excel_Worksheet109.xlsx"/><Relationship Id="rId1" Type="http://schemas.openxmlformats.org/officeDocument/2006/relationships/themeOverride" Target="../theme/themeOverride104.xml"/></Relationships>
</file>

<file path=word/charts/_rels/chart112.xml.rels><?xml version="1.0" encoding="UTF-8" standalone="yes"?>
<Relationships xmlns="http://schemas.openxmlformats.org/package/2006/relationships"><Relationship Id="rId2" Type="http://schemas.openxmlformats.org/officeDocument/2006/relationships/package" Target="../embeddings/Microsoft_Excel_Worksheet110.xlsx"/><Relationship Id="rId1" Type="http://schemas.openxmlformats.org/officeDocument/2006/relationships/themeOverride" Target="../theme/themeOverride105.xml"/></Relationships>
</file>

<file path=word/charts/_rels/chart113.xml.rels><?xml version="1.0" encoding="UTF-8" standalone="yes"?>
<Relationships xmlns="http://schemas.openxmlformats.org/package/2006/relationships"><Relationship Id="rId2" Type="http://schemas.openxmlformats.org/officeDocument/2006/relationships/package" Target="../embeddings/Microsoft_Excel_Worksheet111.xlsx"/><Relationship Id="rId1" Type="http://schemas.openxmlformats.org/officeDocument/2006/relationships/themeOverride" Target="../theme/themeOverride106.xml"/></Relationships>
</file>

<file path=word/charts/_rels/chart114.xml.rels><?xml version="1.0" encoding="UTF-8" standalone="yes"?>
<Relationships xmlns="http://schemas.openxmlformats.org/package/2006/relationships"><Relationship Id="rId2" Type="http://schemas.openxmlformats.org/officeDocument/2006/relationships/package" Target="../embeddings/Microsoft_Excel_Worksheet112.xlsx"/><Relationship Id="rId1" Type="http://schemas.openxmlformats.org/officeDocument/2006/relationships/themeOverride" Target="../theme/themeOverride107.xml"/></Relationships>
</file>

<file path=word/charts/_rels/chart115.xml.rels><?xml version="1.0" encoding="UTF-8" standalone="yes"?>
<Relationships xmlns="http://schemas.openxmlformats.org/package/2006/relationships"><Relationship Id="rId2" Type="http://schemas.openxmlformats.org/officeDocument/2006/relationships/package" Target="../embeddings/Microsoft_Excel_Worksheet113.xlsx"/><Relationship Id="rId1" Type="http://schemas.openxmlformats.org/officeDocument/2006/relationships/themeOverride" Target="../theme/themeOverride108.xml"/></Relationships>
</file>

<file path=word/charts/_rels/chart116.xml.rels><?xml version="1.0" encoding="UTF-8" standalone="yes"?>
<Relationships xmlns="http://schemas.openxmlformats.org/package/2006/relationships"><Relationship Id="rId2" Type="http://schemas.openxmlformats.org/officeDocument/2006/relationships/package" Target="../embeddings/Microsoft_Excel_Worksheet114.xlsx"/><Relationship Id="rId1" Type="http://schemas.openxmlformats.org/officeDocument/2006/relationships/themeOverride" Target="../theme/themeOverride109.xml"/></Relationships>
</file>

<file path=word/charts/_rels/chart117.xml.rels><?xml version="1.0" encoding="UTF-8" standalone="yes"?>
<Relationships xmlns="http://schemas.openxmlformats.org/package/2006/relationships"><Relationship Id="rId2" Type="http://schemas.openxmlformats.org/officeDocument/2006/relationships/package" Target="../embeddings/Microsoft_Excel_Worksheet115.xlsx"/><Relationship Id="rId1" Type="http://schemas.openxmlformats.org/officeDocument/2006/relationships/themeOverride" Target="../theme/themeOverride110.xml"/></Relationships>
</file>

<file path=word/charts/_rels/chart118.xml.rels><?xml version="1.0" encoding="UTF-8" standalone="yes"?>
<Relationships xmlns="http://schemas.openxmlformats.org/package/2006/relationships"><Relationship Id="rId2" Type="http://schemas.openxmlformats.org/officeDocument/2006/relationships/package" Target="../embeddings/Microsoft_Excel_Worksheet116.xlsx"/><Relationship Id="rId1" Type="http://schemas.openxmlformats.org/officeDocument/2006/relationships/themeOverride" Target="../theme/themeOverride111.xml"/></Relationships>
</file>

<file path=word/charts/_rels/chart119.xml.rels><?xml version="1.0" encoding="UTF-8" standalone="yes"?>
<Relationships xmlns="http://schemas.openxmlformats.org/package/2006/relationships"><Relationship Id="rId2" Type="http://schemas.openxmlformats.org/officeDocument/2006/relationships/package" Target="../embeddings/Microsoft_Excel_Worksheet117.xlsx"/><Relationship Id="rId1" Type="http://schemas.openxmlformats.org/officeDocument/2006/relationships/themeOverride" Target="../theme/themeOverride112.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2.xml"/></Relationships>
</file>

<file path=word/charts/_rels/chart120.xml.rels><?xml version="1.0" encoding="UTF-8" standalone="yes"?>
<Relationships xmlns="http://schemas.openxmlformats.org/package/2006/relationships"><Relationship Id="rId1" Type="http://schemas.openxmlformats.org/officeDocument/2006/relationships/package" Target="../embeddings/Microsoft_Excel_Worksheet118.xlsx"/></Relationships>
</file>

<file path=word/charts/_rels/chart121.xml.rels><?xml version="1.0" encoding="UTF-8" standalone="yes"?>
<Relationships xmlns="http://schemas.openxmlformats.org/package/2006/relationships"><Relationship Id="rId1" Type="http://schemas.openxmlformats.org/officeDocument/2006/relationships/package" Target="../embeddings/Microsoft_Excel_Worksheet119.xlsx"/></Relationships>
</file>

<file path=word/charts/_rels/chart122.xml.rels><?xml version="1.0" encoding="UTF-8" standalone="yes"?>
<Relationships xmlns="http://schemas.openxmlformats.org/package/2006/relationships"><Relationship Id="rId1" Type="http://schemas.openxmlformats.org/officeDocument/2006/relationships/package" Target="../embeddings/Microsoft_Excel_Worksheet120.xlsx"/></Relationships>
</file>

<file path=word/charts/_rels/chart123.xml.rels><?xml version="1.0" encoding="UTF-8" standalone="yes"?>
<Relationships xmlns="http://schemas.openxmlformats.org/package/2006/relationships"><Relationship Id="rId2" Type="http://schemas.openxmlformats.org/officeDocument/2006/relationships/package" Target="../embeddings/Microsoft_Excel_Worksheet121.xlsx"/><Relationship Id="rId1" Type="http://schemas.openxmlformats.org/officeDocument/2006/relationships/themeOverride" Target="../theme/themeOverride113.xml"/></Relationships>
</file>

<file path=word/charts/_rels/chart124.xml.rels><?xml version="1.0" encoding="UTF-8" standalone="yes"?>
<Relationships xmlns="http://schemas.openxmlformats.org/package/2006/relationships"><Relationship Id="rId2" Type="http://schemas.openxmlformats.org/officeDocument/2006/relationships/package" Target="../embeddings/Microsoft_Excel_Worksheet122.xlsx"/><Relationship Id="rId1" Type="http://schemas.openxmlformats.org/officeDocument/2006/relationships/themeOverride" Target="../theme/themeOverride114.xml"/></Relationships>
</file>

<file path=word/charts/_rels/chart125.xml.rels><?xml version="1.0" encoding="UTF-8" standalone="yes"?>
<Relationships xmlns="http://schemas.openxmlformats.org/package/2006/relationships"><Relationship Id="rId2" Type="http://schemas.openxmlformats.org/officeDocument/2006/relationships/package" Target="../embeddings/Microsoft_Excel_Worksheet123.xlsx"/><Relationship Id="rId1" Type="http://schemas.openxmlformats.org/officeDocument/2006/relationships/themeOverride" Target="../theme/themeOverride115.xml"/></Relationships>
</file>

<file path=word/charts/_rels/chart126.xml.rels><?xml version="1.0" encoding="UTF-8" standalone="yes"?>
<Relationships xmlns="http://schemas.openxmlformats.org/package/2006/relationships"><Relationship Id="rId2" Type="http://schemas.openxmlformats.org/officeDocument/2006/relationships/package" Target="../embeddings/Microsoft_Excel_Worksheet124.xlsx"/><Relationship Id="rId1" Type="http://schemas.openxmlformats.org/officeDocument/2006/relationships/themeOverride" Target="../theme/themeOverride116.xml"/></Relationships>
</file>

<file path=word/charts/_rels/chart127.xml.rels><?xml version="1.0" encoding="UTF-8" standalone="yes"?>
<Relationships xmlns="http://schemas.openxmlformats.org/package/2006/relationships"><Relationship Id="rId2" Type="http://schemas.openxmlformats.org/officeDocument/2006/relationships/package" Target="../embeddings/Microsoft_Excel_Worksheet125.xlsx"/><Relationship Id="rId1" Type="http://schemas.openxmlformats.org/officeDocument/2006/relationships/themeOverride" Target="../theme/themeOverride117.xml"/></Relationships>
</file>

<file path=word/charts/_rels/chart128.xml.rels><?xml version="1.0" encoding="UTF-8" standalone="yes"?>
<Relationships xmlns="http://schemas.openxmlformats.org/package/2006/relationships"><Relationship Id="rId2" Type="http://schemas.openxmlformats.org/officeDocument/2006/relationships/package" Target="../embeddings/Microsoft_Excel_Worksheet126.xlsx"/><Relationship Id="rId1" Type="http://schemas.openxmlformats.org/officeDocument/2006/relationships/themeOverride" Target="../theme/themeOverride118.xml"/></Relationships>
</file>

<file path=word/charts/_rels/chart129.xml.rels><?xml version="1.0" encoding="UTF-8" standalone="yes"?>
<Relationships xmlns="http://schemas.openxmlformats.org/package/2006/relationships"><Relationship Id="rId2" Type="http://schemas.openxmlformats.org/officeDocument/2006/relationships/package" Target="../embeddings/Microsoft_Excel_Worksheet127.xlsx"/><Relationship Id="rId1" Type="http://schemas.openxmlformats.org/officeDocument/2006/relationships/themeOverride" Target="../theme/themeOverride119.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3.xml"/></Relationships>
</file>

<file path=word/charts/_rels/chart130.xml.rels><?xml version="1.0" encoding="UTF-8" standalone="yes"?>
<Relationships xmlns="http://schemas.openxmlformats.org/package/2006/relationships"><Relationship Id="rId1" Type="http://schemas.openxmlformats.org/officeDocument/2006/relationships/package" Target="../embeddings/Microsoft_Excel_Worksheet128.xlsx"/></Relationships>
</file>

<file path=word/charts/_rels/chart131.xml.rels><?xml version="1.0" encoding="UTF-8" standalone="yes"?>
<Relationships xmlns="http://schemas.openxmlformats.org/package/2006/relationships"><Relationship Id="rId2" Type="http://schemas.openxmlformats.org/officeDocument/2006/relationships/package" Target="../embeddings/Microsoft_Excel_Worksheet129.xlsx"/><Relationship Id="rId1" Type="http://schemas.openxmlformats.org/officeDocument/2006/relationships/themeOverride" Target="../theme/themeOverride120.xml"/></Relationships>
</file>

<file path=word/charts/_rels/chart132.xml.rels><?xml version="1.0" encoding="UTF-8" standalone="yes"?>
<Relationships xmlns="http://schemas.openxmlformats.org/package/2006/relationships"><Relationship Id="rId2" Type="http://schemas.openxmlformats.org/officeDocument/2006/relationships/package" Target="../embeddings/Microsoft_Excel_Worksheet130.xlsx"/><Relationship Id="rId1" Type="http://schemas.openxmlformats.org/officeDocument/2006/relationships/themeOverride" Target="../theme/themeOverride121.xml"/></Relationships>
</file>

<file path=word/charts/_rels/chart133.xml.rels><?xml version="1.0" encoding="UTF-8" standalone="yes"?>
<Relationships xmlns="http://schemas.openxmlformats.org/package/2006/relationships"><Relationship Id="rId2" Type="http://schemas.openxmlformats.org/officeDocument/2006/relationships/package" Target="../embeddings/Microsoft_Excel_Worksheet131.xlsx"/><Relationship Id="rId1" Type="http://schemas.openxmlformats.org/officeDocument/2006/relationships/themeOverride" Target="../theme/themeOverride122.xml"/></Relationships>
</file>

<file path=word/charts/_rels/chart134.xml.rels><?xml version="1.0" encoding="UTF-8" standalone="yes"?>
<Relationships xmlns="http://schemas.openxmlformats.org/package/2006/relationships"><Relationship Id="rId2" Type="http://schemas.openxmlformats.org/officeDocument/2006/relationships/package" Target="../embeddings/Microsoft_Excel_Worksheet132.xlsx"/><Relationship Id="rId1" Type="http://schemas.openxmlformats.org/officeDocument/2006/relationships/themeOverride" Target="../theme/themeOverride123.xml"/></Relationships>
</file>

<file path=word/charts/_rels/chart135.xml.rels><?xml version="1.0" encoding="UTF-8" standalone="yes"?>
<Relationships xmlns="http://schemas.openxmlformats.org/package/2006/relationships"><Relationship Id="rId2" Type="http://schemas.openxmlformats.org/officeDocument/2006/relationships/package" Target="../embeddings/Microsoft_Excel_Worksheet133.xlsx"/><Relationship Id="rId1" Type="http://schemas.openxmlformats.org/officeDocument/2006/relationships/themeOverride" Target="../theme/themeOverride124.xml"/></Relationships>
</file>

<file path=word/charts/_rels/chart136.xml.rels><?xml version="1.0" encoding="UTF-8" standalone="yes"?>
<Relationships xmlns="http://schemas.openxmlformats.org/package/2006/relationships"><Relationship Id="rId2" Type="http://schemas.openxmlformats.org/officeDocument/2006/relationships/package" Target="../embeddings/Microsoft_Excel_Worksheet134.xlsx"/><Relationship Id="rId1" Type="http://schemas.openxmlformats.org/officeDocument/2006/relationships/themeOverride" Target="../theme/themeOverride125.xml"/></Relationships>
</file>

<file path=word/charts/_rels/chart137.xml.rels><?xml version="1.0" encoding="UTF-8" standalone="yes"?>
<Relationships xmlns="http://schemas.openxmlformats.org/package/2006/relationships"><Relationship Id="rId2" Type="http://schemas.openxmlformats.org/officeDocument/2006/relationships/package" Target="../embeddings/Microsoft_Excel_Worksheet135.xlsx"/><Relationship Id="rId1" Type="http://schemas.openxmlformats.org/officeDocument/2006/relationships/themeOverride" Target="../theme/themeOverride126.xml"/></Relationships>
</file>

<file path=word/charts/_rels/chart138.xml.rels><?xml version="1.0" encoding="UTF-8" standalone="yes"?>
<Relationships xmlns="http://schemas.openxmlformats.org/package/2006/relationships"><Relationship Id="rId2" Type="http://schemas.openxmlformats.org/officeDocument/2006/relationships/package" Target="../embeddings/Microsoft_Excel_Worksheet136.xlsx"/><Relationship Id="rId1" Type="http://schemas.openxmlformats.org/officeDocument/2006/relationships/themeOverride" Target="../theme/themeOverride127.xml"/></Relationships>
</file>

<file path=word/charts/_rels/chart139.xml.rels><?xml version="1.0" encoding="UTF-8" standalone="yes"?>
<Relationships xmlns="http://schemas.openxmlformats.org/package/2006/relationships"><Relationship Id="rId2" Type="http://schemas.openxmlformats.org/officeDocument/2006/relationships/package" Target="../embeddings/Microsoft_Excel_Worksheet137.xlsx"/><Relationship Id="rId1" Type="http://schemas.openxmlformats.org/officeDocument/2006/relationships/themeOverride" Target="../theme/themeOverride128.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5.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6.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7.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8.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9.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0.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1.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2.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3.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4.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5.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6.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7.xml"/></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3.xml.rels><?xml version="1.0" encoding="UTF-8" standalone="yes"?>
<Relationships xmlns="http://schemas.openxmlformats.org/package/2006/relationships"><Relationship Id="rId2" Type="http://schemas.openxmlformats.org/officeDocument/2006/relationships/oleObject" Target="file:///C:\Users\tfida\Desktop\SDGS%20REPORT_pres\book2.xlsx"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9.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0.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1.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2.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3.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4.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5.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7.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38.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39.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40.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41.xml"/></Relationships>
</file>

<file path=word/charts/_rels/chart45.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42.xml"/></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44.xlsx"/></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43.xml"/></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46.xlsx"/></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4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48.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49.xlsx"/></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50.xlsx"/><Relationship Id="rId1" Type="http://schemas.openxmlformats.org/officeDocument/2006/relationships/themeOverride" Target="../theme/themeOverride45.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46.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52.xlsx"/><Relationship Id="rId1" Type="http://schemas.openxmlformats.org/officeDocument/2006/relationships/themeOverride" Target="../theme/themeOverride47.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53.xlsx"/><Relationship Id="rId1" Type="http://schemas.openxmlformats.org/officeDocument/2006/relationships/themeOverride" Target="../theme/themeOverride48.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49.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55.xlsx"/><Relationship Id="rId1" Type="http://schemas.openxmlformats.org/officeDocument/2006/relationships/themeOverride" Target="../theme/themeOverride50.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56.xlsx"/><Relationship Id="rId1" Type="http://schemas.openxmlformats.org/officeDocument/2006/relationships/themeOverride" Target="../theme/themeOverride51.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57.xlsx"/><Relationship Id="rId1" Type="http://schemas.openxmlformats.org/officeDocument/2006/relationships/themeOverride" Target="../theme/themeOverride52.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58.xlsx"/><Relationship Id="rId1" Type="http://schemas.openxmlformats.org/officeDocument/2006/relationships/themeOverride" Target="../theme/themeOverride53.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59.xlsx"/><Relationship Id="rId1" Type="http://schemas.openxmlformats.org/officeDocument/2006/relationships/themeOverride" Target="../theme/themeOverride54.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60.xlsx"/><Relationship Id="rId1" Type="http://schemas.openxmlformats.org/officeDocument/2006/relationships/themeOverride" Target="../theme/themeOverride55.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61.xlsx"/><Relationship Id="rId1" Type="http://schemas.openxmlformats.org/officeDocument/2006/relationships/themeOverride" Target="../theme/themeOverride56.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62.xlsx"/><Relationship Id="rId1" Type="http://schemas.openxmlformats.org/officeDocument/2006/relationships/themeOverride" Target="../theme/themeOverride57.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Excel_Worksheet63.xlsx"/><Relationship Id="rId1" Type="http://schemas.openxmlformats.org/officeDocument/2006/relationships/themeOverride" Target="../theme/themeOverride58.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Excel_Worksheet64.xlsx"/><Relationship Id="rId1" Type="http://schemas.openxmlformats.org/officeDocument/2006/relationships/themeOverride" Target="../theme/themeOverride59.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65.xlsx"/><Relationship Id="rId1" Type="http://schemas.openxmlformats.org/officeDocument/2006/relationships/themeOverride" Target="../theme/themeOverride60.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66.xlsx"/><Relationship Id="rId1" Type="http://schemas.openxmlformats.org/officeDocument/2006/relationships/themeOverride" Target="../theme/themeOverride61.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67.xlsx"/><Relationship Id="rId1" Type="http://schemas.openxmlformats.org/officeDocument/2006/relationships/themeOverride" Target="../theme/themeOverride6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68.xlsx"/><Relationship Id="rId1" Type="http://schemas.openxmlformats.org/officeDocument/2006/relationships/themeOverride" Target="../theme/themeOverride63.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Excel_Worksheet69.xlsx"/><Relationship Id="rId1" Type="http://schemas.openxmlformats.org/officeDocument/2006/relationships/themeOverride" Target="../theme/themeOverride64.xml"/></Relationships>
</file>

<file path=word/charts/_rels/chart72.xml.rels><?xml version="1.0" encoding="UTF-8" standalone="yes"?>
<Relationships xmlns="http://schemas.openxmlformats.org/package/2006/relationships"><Relationship Id="rId2" Type="http://schemas.openxmlformats.org/officeDocument/2006/relationships/package" Target="../embeddings/Microsoft_Excel_Worksheet70.xlsx"/><Relationship Id="rId1" Type="http://schemas.openxmlformats.org/officeDocument/2006/relationships/themeOverride" Target="../theme/themeOverride65.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71.xlsx"/><Relationship Id="rId1" Type="http://schemas.openxmlformats.org/officeDocument/2006/relationships/themeOverride" Target="../theme/themeOverride66.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72.xlsx"/><Relationship Id="rId1" Type="http://schemas.openxmlformats.org/officeDocument/2006/relationships/themeOverride" Target="../theme/themeOverride67.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73.xlsx"/><Relationship Id="rId1" Type="http://schemas.openxmlformats.org/officeDocument/2006/relationships/themeOverride" Target="../theme/themeOverride68.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74.xlsx"/><Relationship Id="rId1" Type="http://schemas.openxmlformats.org/officeDocument/2006/relationships/themeOverride" Target="../theme/themeOverride69.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Excel_Worksheet75.xlsx"/><Relationship Id="rId1" Type="http://schemas.openxmlformats.org/officeDocument/2006/relationships/themeOverride" Target="../theme/themeOverride70.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Excel_Worksheet76.xlsx"/><Relationship Id="rId1" Type="http://schemas.openxmlformats.org/officeDocument/2006/relationships/themeOverride" Target="../theme/themeOverride71.xml"/></Relationships>
</file>

<file path=word/charts/_rels/chart79.xml.rels><?xml version="1.0" encoding="UTF-8" standalone="yes"?>
<Relationships xmlns="http://schemas.openxmlformats.org/package/2006/relationships"><Relationship Id="rId2" Type="http://schemas.openxmlformats.org/officeDocument/2006/relationships/package" Target="../embeddings/Microsoft_Excel_Worksheet77.xlsx"/><Relationship Id="rId1" Type="http://schemas.openxmlformats.org/officeDocument/2006/relationships/themeOverride" Target="../theme/themeOverride72.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Microsoft_Excel_Worksheet78.xlsx"/><Relationship Id="rId1" Type="http://schemas.openxmlformats.org/officeDocument/2006/relationships/themeOverride" Target="../theme/themeOverride73.xml"/></Relationships>
</file>

<file path=word/charts/_rels/chart81.xml.rels><?xml version="1.0" encoding="UTF-8" standalone="yes"?>
<Relationships xmlns="http://schemas.openxmlformats.org/package/2006/relationships"><Relationship Id="rId2" Type="http://schemas.openxmlformats.org/officeDocument/2006/relationships/package" Target="../embeddings/Microsoft_Excel_Worksheet79.xlsx"/><Relationship Id="rId1" Type="http://schemas.openxmlformats.org/officeDocument/2006/relationships/themeOverride" Target="../theme/themeOverride74.xml"/></Relationships>
</file>

<file path=word/charts/_rels/chart82.xml.rels><?xml version="1.0" encoding="UTF-8" standalone="yes"?>
<Relationships xmlns="http://schemas.openxmlformats.org/package/2006/relationships"><Relationship Id="rId2" Type="http://schemas.openxmlformats.org/officeDocument/2006/relationships/package" Target="../embeddings/Microsoft_Excel_Worksheet80.xlsx"/><Relationship Id="rId1" Type="http://schemas.openxmlformats.org/officeDocument/2006/relationships/themeOverride" Target="../theme/themeOverride75.xml"/></Relationships>
</file>

<file path=word/charts/_rels/chart83.xml.rels><?xml version="1.0" encoding="UTF-8" standalone="yes"?>
<Relationships xmlns="http://schemas.openxmlformats.org/package/2006/relationships"><Relationship Id="rId2" Type="http://schemas.openxmlformats.org/officeDocument/2006/relationships/package" Target="../embeddings/Microsoft_Excel_Worksheet81.xlsx"/><Relationship Id="rId1" Type="http://schemas.openxmlformats.org/officeDocument/2006/relationships/themeOverride" Target="../theme/themeOverride76.xml"/></Relationships>
</file>

<file path=word/charts/_rels/chart84.xml.rels><?xml version="1.0" encoding="UTF-8" standalone="yes"?>
<Relationships xmlns="http://schemas.openxmlformats.org/package/2006/relationships"><Relationship Id="rId2" Type="http://schemas.openxmlformats.org/officeDocument/2006/relationships/package" Target="../embeddings/Microsoft_Excel_Worksheet82.xlsx"/><Relationship Id="rId1" Type="http://schemas.openxmlformats.org/officeDocument/2006/relationships/themeOverride" Target="../theme/themeOverride77.xml"/></Relationships>
</file>

<file path=word/charts/_rels/chart85.xml.rels><?xml version="1.0" encoding="UTF-8" standalone="yes"?>
<Relationships xmlns="http://schemas.openxmlformats.org/package/2006/relationships"><Relationship Id="rId2" Type="http://schemas.openxmlformats.org/officeDocument/2006/relationships/package" Target="../embeddings/Microsoft_Excel_Worksheet83.xlsx"/><Relationship Id="rId1" Type="http://schemas.openxmlformats.org/officeDocument/2006/relationships/themeOverride" Target="../theme/themeOverride78.xml"/></Relationships>
</file>

<file path=word/charts/_rels/chart86.xml.rels><?xml version="1.0" encoding="UTF-8" standalone="yes"?>
<Relationships xmlns="http://schemas.openxmlformats.org/package/2006/relationships"><Relationship Id="rId2" Type="http://schemas.openxmlformats.org/officeDocument/2006/relationships/package" Target="../embeddings/Microsoft_Excel_Worksheet84.xlsx"/><Relationship Id="rId1" Type="http://schemas.openxmlformats.org/officeDocument/2006/relationships/themeOverride" Target="../theme/themeOverride79.xml"/></Relationships>
</file>

<file path=word/charts/_rels/chart87.xml.rels><?xml version="1.0" encoding="UTF-8" standalone="yes"?>
<Relationships xmlns="http://schemas.openxmlformats.org/package/2006/relationships"><Relationship Id="rId2" Type="http://schemas.openxmlformats.org/officeDocument/2006/relationships/package" Target="../embeddings/Microsoft_Excel_Worksheet85.xlsx"/><Relationship Id="rId1" Type="http://schemas.openxmlformats.org/officeDocument/2006/relationships/themeOverride" Target="../theme/themeOverride80.xml"/></Relationships>
</file>

<file path=word/charts/_rels/chart88.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86.xlsx"/><Relationship Id="rId1" Type="http://schemas.openxmlformats.org/officeDocument/2006/relationships/themeOverride" Target="../theme/themeOverride81.xml"/></Relationships>
</file>

<file path=word/charts/_rels/chart89.xml.rels><?xml version="1.0" encoding="UTF-8" standalone="yes"?>
<Relationships xmlns="http://schemas.openxmlformats.org/package/2006/relationships"><Relationship Id="rId2" Type="http://schemas.openxmlformats.org/officeDocument/2006/relationships/package" Target="../embeddings/Microsoft_Excel_Worksheet87.xlsx"/><Relationship Id="rId1" Type="http://schemas.openxmlformats.org/officeDocument/2006/relationships/themeOverride" Target="../theme/themeOverride82.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2" Type="http://schemas.openxmlformats.org/officeDocument/2006/relationships/package" Target="../embeddings/Microsoft_Excel_Worksheet88.xlsx"/><Relationship Id="rId1" Type="http://schemas.openxmlformats.org/officeDocument/2006/relationships/themeOverride" Target="../theme/themeOverride83.xml"/></Relationships>
</file>

<file path=word/charts/_rels/chart91.xml.rels><?xml version="1.0" encoding="UTF-8" standalone="yes"?>
<Relationships xmlns="http://schemas.openxmlformats.org/package/2006/relationships"><Relationship Id="rId2" Type="http://schemas.openxmlformats.org/officeDocument/2006/relationships/package" Target="../embeddings/Microsoft_Excel_Worksheet89.xlsx"/><Relationship Id="rId1" Type="http://schemas.openxmlformats.org/officeDocument/2006/relationships/themeOverride" Target="../theme/themeOverride84.xml"/></Relationships>
</file>

<file path=word/charts/_rels/chart92.xml.rels><?xml version="1.0" encoding="UTF-8" standalone="yes"?>
<Relationships xmlns="http://schemas.openxmlformats.org/package/2006/relationships"><Relationship Id="rId2" Type="http://schemas.openxmlformats.org/officeDocument/2006/relationships/package" Target="../embeddings/Microsoft_Excel_Worksheet90.xlsx"/><Relationship Id="rId1" Type="http://schemas.openxmlformats.org/officeDocument/2006/relationships/themeOverride" Target="../theme/themeOverride85.xml"/></Relationships>
</file>

<file path=word/charts/_rels/chart93.xml.rels><?xml version="1.0" encoding="UTF-8" standalone="yes"?>
<Relationships xmlns="http://schemas.openxmlformats.org/package/2006/relationships"><Relationship Id="rId2" Type="http://schemas.openxmlformats.org/officeDocument/2006/relationships/package" Target="../embeddings/Microsoft_Excel_Worksheet91.xlsx"/><Relationship Id="rId1" Type="http://schemas.openxmlformats.org/officeDocument/2006/relationships/themeOverride" Target="../theme/themeOverride86.xml"/></Relationships>
</file>

<file path=word/charts/_rels/chart94.xml.rels><?xml version="1.0" encoding="UTF-8" standalone="yes"?>
<Relationships xmlns="http://schemas.openxmlformats.org/package/2006/relationships"><Relationship Id="rId2" Type="http://schemas.openxmlformats.org/officeDocument/2006/relationships/package" Target="../embeddings/Microsoft_Excel_Worksheet92.xlsx"/><Relationship Id="rId1" Type="http://schemas.openxmlformats.org/officeDocument/2006/relationships/themeOverride" Target="../theme/themeOverride87.xml"/></Relationships>
</file>

<file path=word/charts/_rels/chart95.xml.rels><?xml version="1.0" encoding="UTF-8" standalone="yes"?>
<Relationships xmlns="http://schemas.openxmlformats.org/package/2006/relationships"><Relationship Id="rId2" Type="http://schemas.openxmlformats.org/officeDocument/2006/relationships/package" Target="../embeddings/Microsoft_Excel_Worksheet93.xlsx"/><Relationship Id="rId1" Type="http://schemas.openxmlformats.org/officeDocument/2006/relationships/themeOverride" Target="../theme/themeOverride88.xml"/></Relationships>
</file>

<file path=word/charts/_rels/chart96.xml.rels><?xml version="1.0" encoding="UTF-8" standalone="yes"?>
<Relationships xmlns="http://schemas.openxmlformats.org/package/2006/relationships"><Relationship Id="rId2" Type="http://schemas.openxmlformats.org/officeDocument/2006/relationships/package" Target="../embeddings/Microsoft_Excel_Worksheet94.xlsx"/><Relationship Id="rId1" Type="http://schemas.openxmlformats.org/officeDocument/2006/relationships/themeOverride" Target="../theme/themeOverride89.xml"/></Relationships>
</file>

<file path=word/charts/_rels/chart97.xml.rels><?xml version="1.0" encoding="UTF-8" standalone="yes"?>
<Relationships xmlns="http://schemas.openxmlformats.org/package/2006/relationships"><Relationship Id="rId2" Type="http://schemas.openxmlformats.org/officeDocument/2006/relationships/package" Target="../embeddings/Microsoft_Excel_Worksheet95.xlsx"/><Relationship Id="rId1" Type="http://schemas.openxmlformats.org/officeDocument/2006/relationships/themeOverride" Target="../theme/themeOverride90.xml"/></Relationships>
</file>

<file path=word/charts/_rels/chart98.xml.rels><?xml version="1.0" encoding="UTF-8" standalone="yes"?>
<Relationships xmlns="http://schemas.openxmlformats.org/package/2006/relationships"><Relationship Id="rId2" Type="http://schemas.openxmlformats.org/officeDocument/2006/relationships/package" Target="../embeddings/Microsoft_Excel_Worksheet96.xlsx"/><Relationship Id="rId1" Type="http://schemas.openxmlformats.org/officeDocument/2006/relationships/themeOverride" Target="../theme/themeOverride91.xml"/></Relationships>
</file>

<file path=word/charts/_rels/chart99.xml.rels><?xml version="1.0" encoding="UTF-8" standalone="yes"?>
<Relationships xmlns="http://schemas.openxmlformats.org/package/2006/relationships"><Relationship Id="rId2" Type="http://schemas.openxmlformats.org/officeDocument/2006/relationships/package" Target="../embeddings/Microsoft_Excel_Worksheet97.xlsx"/><Relationship Id="rId1" Type="http://schemas.openxmlformats.org/officeDocument/2006/relationships/themeOverride" Target="../theme/themeOverride9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60164797140921733"/>
          <c:y val="6.9203305570208817E-2"/>
          <c:w val="0.33304230942026414"/>
          <c:h val="0.86348495937338265"/>
        </c:manualLayout>
      </c:layout>
      <c:barChart>
        <c:barDir val="bar"/>
        <c:grouping val="stacked"/>
        <c:varyColors val="0"/>
        <c:ser>
          <c:idx val="0"/>
          <c:order val="0"/>
          <c:tx>
            <c:strRef>
              <c:f>Sheet1!$B$1</c:f>
              <c:strCache>
                <c:ptCount val="1"/>
                <c:pt idx="0">
                  <c:v>Available</c:v>
                </c:pt>
              </c:strCache>
            </c:strRef>
          </c:tx>
          <c:spPr>
            <a:solidFill>
              <a:srgbClr val="1F497D">
                <a:lumMod val="20000"/>
                <a:lumOff val="80000"/>
              </a:srgbClr>
            </a:solidFill>
            <a:ln w="25377">
              <a:noFill/>
            </a:ln>
          </c:spPr>
          <c:invertIfNegative val="0"/>
          <c:dLbls>
            <c:dLbl>
              <c:idx val="13"/>
              <c:layout>
                <c:manualLayout>
                  <c:x val="-9.3434079539826806E-4"/>
                  <c:y val="1.097423797635052E-7"/>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2.3081361800346221E-2"/>
                      <c:h val="2.603484320557491E-2"/>
                    </c:manualLayout>
                  </c15:layout>
                </c:ext>
                <c:ext xmlns:c16="http://schemas.microsoft.com/office/drawing/2014/chart" uri="{C3380CC4-5D6E-409C-BE32-E72D297353CC}">
                  <c16:uniqueId val="{00000000-75EC-4857-8CE6-592D0D38CC3A}"/>
                </c:ext>
              </c:extLst>
            </c:dLbl>
            <c:spPr>
              <a:noFill/>
              <a:ln w="25377">
                <a:noFill/>
              </a:ln>
            </c:spPr>
            <c:txPr>
              <a:bodyPr rot="0" vert="horz"/>
              <a:lstStyle/>
              <a:p>
                <a:pPr>
                  <a:defRPr lang="en-GB"/>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 No poverty        </c:v>
                </c:pt>
                <c:pt idx="1">
                  <c:v> Zero hunger        </c:v>
                </c:pt>
                <c:pt idx="2">
                  <c:v>Good health and well-being       </c:v>
                </c:pt>
                <c:pt idx="3">
                  <c:v>Quality education       </c:v>
                </c:pt>
                <c:pt idx="4">
                  <c:v>Gender equality       </c:v>
                </c:pt>
                <c:pt idx="5">
                  <c:v>Clean water and sanitation       </c:v>
                </c:pt>
                <c:pt idx="6">
                  <c:v>Affordable and clean energy        </c:v>
                </c:pt>
                <c:pt idx="7">
                  <c:v>Decent work and economic growth       </c:v>
                </c:pt>
                <c:pt idx="8">
                  <c:v>Industry, innovation and infrastructure       </c:v>
                </c:pt>
                <c:pt idx="9">
                  <c:v>Reduced inequalities       </c:v>
                </c:pt>
                <c:pt idx="10">
                  <c:v>Sustainable cities and communities        </c:v>
                </c:pt>
                <c:pt idx="11">
                  <c:v>Responsible consumption and production       </c:v>
                </c:pt>
                <c:pt idx="12">
                  <c:v>Climate action        </c:v>
                </c:pt>
                <c:pt idx="13">
                  <c:v>Life below water        </c:v>
                </c:pt>
                <c:pt idx="14">
                  <c:v>Life on land        </c:v>
                </c:pt>
                <c:pt idx="15">
                  <c:v>Peace, justice and strong institutions        </c:v>
                </c:pt>
                <c:pt idx="16">
                  <c:v>Partnerships for the Goals        </c:v>
                </c:pt>
              </c:strCache>
            </c:strRef>
          </c:cat>
          <c:val>
            <c:numRef>
              <c:f>Sheet1!$B$2:$B$18</c:f>
              <c:numCache>
                <c:formatCode>General</c:formatCode>
                <c:ptCount val="17"/>
                <c:pt idx="0">
                  <c:v>11</c:v>
                </c:pt>
                <c:pt idx="1">
                  <c:v>6</c:v>
                </c:pt>
                <c:pt idx="2">
                  <c:v>19</c:v>
                </c:pt>
                <c:pt idx="3">
                  <c:v>11</c:v>
                </c:pt>
                <c:pt idx="4">
                  <c:v>11</c:v>
                </c:pt>
                <c:pt idx="5">
                  <c:v>7</c:v>
                </c:pt>
                <c:pt idx="6">
                  <c:v>6</c:v>
                </c:pt>
                <c:pt idx="7">
                  <c:v>11</c:v>
                </c:pt>
                <c:pt idx="8">
                  <c:v>12</c:v>
                </c:pt>
                <c:pt idx="9">
                  <c:v>9</c:v>
                </c:pt>
                <c:pt idx="10">
                  <c:v>7</c:v>
                </c:pt>
                <c:pt idx="11">
                  <c:v>8</c:v>
                </c:pt>
                <c:pt idx="12">
                  <c:v>5</c:v>
                </c:pt>
                <c:pt idx="13">
                  <c:v>2</c:v>
                </c:pt>
                <c:pt idx="14">
                  <c:v>12</c:v>
                </c:pt>
                <c:pt idx="15">
                  <c:v>18</c:v>
                </c:pt>
                <c:pt idx="16">
                  <c:v>15</c:v>
                </c:pt>
              </c:numCache>
            </c:numRef>
          </c:val>
          <c:extLst>
            <c:ext xmlns:c16="http://schemas.microsoft.com/office/drawing/2014/chart" uri="{C3380CC4-5D6E-409C-BE32-E72D297353CC}">
              <c16:uniqueId val="{00000001-75EC-4857-8CE6-592D0D38CC3A}"/>
            </c:ext>
          </c:extLst>
        </c:ser>
        <c:ser>
          <c:idx val="1"/>
          <c:order val="1"/>
          <c:tx>
            <c:strRef>
              <c:f>Sheet1!$C$1</c:f>
              <c:strCache>
                <c:ptCount val="1"/>
                <c:pt idx="0">
                  <c:v>Not Available</c:v>
                </c:pt>
              </c:strCache>
            </c:strRef>
          </c:tx>
          <c:spPr>
            <a:solidFill>
              <a:srgbClr val="1F497D">
                <a:lumMod val="60000"/>
                <a:lumOff val="40000"/>
              </a:srgbClr>
            </a:solidFill>
            <a:ln w="25377">
              <a:noFill/>
            </a:ln>
          </c:spPr>
          <c:invertIfNegative val="0"/>
          <c:dLbls>
            <c:dLbl>
              <c:idx val="1"/>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5EC-4857-8CE6-592D0D38CC3A}"/>
                </c:ext>
              </c:extLst>
            </c:dLbl>
            <c:dLbl>
              <c:idx val="3"/>
              <c:layout>
                <c:manualLayout>
                  <c:x val="-1.0691375623663953E-2"/>
                  <c:y val="-1.0627896549304774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5EC-4857-8CE6-592D0D38CC3A}"/>
                </c:ext>
              </c:extLst>
            </c:dLbl>
            <c:dLbl>
              <c:idx val="4"/>
              <c:layout>
                <c:manualLayout>
                  <c:x val="-1.0691375623664076E-2"/>
                  <c:y val="-1.0627896549304774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5EC-4857-8CE6-592D0D38CC3A}"/>
                </c:ext>
              </c:extLst>
            </c:dLbl>
            <c:dLbl>
              <c:idx val="5"/>
              <c:layout>
                <c:manualLayout>
                  <c:x val="-1.069137562366395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5EC-4857-8CE6-592D0D38CC3A}"/>
                </c:ext>
              </c:extLst>
            </c:dLbl>
            <c:dLbl>
              <c:idx val="11"/>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5EC-4857-8CE6-592D0D38CC3A}"/>
                </c:ext>
              </c:extLst>
            </c:dLbl>
            <c:dLbl>
              <c:idx val="16"/>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5EC-4857-8CE6-592D0D38CC3A}"/>
                </c:ext>
              </c:extLst>
            </c:dLbl>
            <c:spPr>
              <a:solidFill>
                <a:srgbClr val="1F497D">
                  <a:lumMod val="60000"/>
                  <a:lumOff val="40000"/>
                </a:srgbClr>
              </a:solidFill>
              <a:ln w="25377">
                <a:noFill/>
              </a:ln>
            </c:spPr>
            <c:txPr>
              <a:bodyPr rot="0" vert="horz"/>
              <a:lstStyle/>
              <a:p>
                <a:pPr>
                  <a:defRPr lang="en-GB"/>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 No poverty        </c:v>
                </c:pt>
                <c:pt idx="1">
                  <c:v> Zero hunger        </c:v>
                </c:pt>
                <c:pt idx="2">
                  <c:v>Good health and well-being       </c:v>
                </c:pt>
                <c:pt idx="3">
                  <c:v>Quality education       </c:v>
                </c:pt>
                <c:pt idx="4">
                  <c:v>Gender equality       </c:v>
                </c:pt>
                <c:pt idx="5">
                  <c:v>Clean water and sanitation       </c:v>
                </c:pt>
                <c:pt idx="6">
                  <c:v>Affordable and clean energy        </c:v>
                </c:pt>
                <c:pt idx="7">
                  <c:v>Decent work and economic growth       </c:v>
                </c:pt>
                <c:pt idx="8">
                  <c:v>Industry, innovation and infrastructure       </c:v>
                </c:pt>
                <c:pt idx="9">
                  <c:v>Reduced inequalities       </c:v>
                </c:pt>
                <c:pt idx="10">
                  <c:v>Sustainable cities and communities        </c:v>
                </c:pt>
                <c:pt idx="11">
                  <c:v>Responsible consumption and production       </c:v>
                </c:pt>
                <c:pt idx="12">
                  <c:v>Climate action        </c:v>
                </c:pt>
                <c:pt idx="13">
                  <c:v>Life below water        </c:v>
                </c:pt>
                <c:pt idx="14">
                  <c:v>Life on land        </c:v>
                </c:pt>
                <c:pt idx="15">
                  <c:v>Peace, justice and strong institutions        </c:v>
                </c:pt>
                <c:pt idx="16">
                  <c:v>Partnerships for the Goals        </c:v>
                </c:pt>
              </c:strCache>
            </c:strRef>
          </c:cat>
          <c:val>
            <c:numRef>
              <c:f>Sheet1!$C$2:$C$18</c:f>
              <c:numCache>
                <c:formatCode>General</c:formatCode>
                <c:ptCount val="17"/>
                <c:pt idx="0">
                  <c:v>2</c:v>
                </c:pt>
                <c:pt idx="1">
                  <c:v>8</c:v>
                </c:pt>
                <c:pt idx="2">
                  <c:v>9</c:v>
                </c:pt>
                <c:pt idx="3">
                  <c:v>1</c:v>
                </c:pt>
                <c:pt idx="4">
                  <c:v>3</c:v>
                </c:pt>
                <c:pt idx="5">
                  <c:v>4</c:v>
                </c:pt>
                <c:pt idx="7">
                  <c:v>5</c:v>
                </c:pt>
                <c:pt idx="8">
                  <c:v>0</c:v>
                </c:pt>
                <c:pt idx="9">
                  <c:v>5</c:v>
                </c:pt>
                <c:pt idx="10">
                  <c:v>8</c:v>
                </c:pt>
                <c:pt idx="11">
                  <c:v>5</c:v>
                </c:pt>
                <c:pt idx="12">
                  <c:v>3</c:v>
                </c:pt>
                <c:pt idx="13">
                  <c:v>8</c:v>
                </c:pt>
                <c:pt idx="14">
                  <c:v>2</c:v>
                </c:pt>
                <c:pt idx="15">
                  <c:v>6</c:v>
                </c:pt>
                <c:pt idx="16">
                  <c:v>9</c:v>
                </c:pt>
              </c:numCache>
            </c:numRef>
          </c:val>
          <c:extLst>
            <c:ext xmlns:c16="http://schemas.microsoft.com/office/drawing/2014/chart" uri="{C3380CC4-5D6E-409C-BE32-E72D297353CC}">
              <c16:uniqueId val="{00000008-75EC-4857-8CE6-592D0D38CC3A}"/>
            </c:ext>
          </c:extLst>
        </c:ser>
        <c:dLbls>
          <c:showLegendKey val="0"/>
          <c:showVal val="0"/>
          <c:showCatName val="0"/>
          <c:showSerName val="0"/>
          <c:showPercent val="0"/>
          <c:showBubbleSize val="0"/>
        </c:dLbls>
        <c:gapWidth val="43"/>
        <c:overlap val="100"/>
        <c:axId val="191344640"/>
        <c:axId val="191346560"/>
      </c:barChart>
      <c:catAx>
        <c:axId val="19134464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Sustainable Development Goals</a:t>
                </a:r>
              </a:p>
            </c:rich>
          </c:tx>
          <c:layout>
            <c:manualLayout>
              <c:xMode val="edge"/>
              <c:yMode val="edge"/>
              <c:x val="9.6706430214741675E-3"/>
              <c:y val="0.39470499023443262"/>
            </c:manualLayout>
          </c:layout>
          <c:overlay val="0"/>
        </c:title>
        <c:numFmt formatCode="General" sourceLinked="1"/>
        <c:majorTickMark val="none"/>
        <c:minorTickMark val="none"/>
        <c:tickLblPos val="nextTo"/>
        <c:spPr>
          <a:noFill/>
          <a:ln w="9516" cap="flat" cmpd="sng" algn="ctr">
            <a:solidFill>
              <a:schemeClr val="tx1">
                <a:lumMod val="15000"/>
                <a:lumOff val="85000"/>
              </a:schemeClr>
            </a:solidFill>
            <a:round/>
          </a:ln>
          <a:effectLst/>
        </c:spPr>
        <c:txPr>
          <a:bodyPr rot="-60000000" vert="horz"/>
          <a:lstStyle/>
          <a:p>
            <a:pPr>
              <a:defRPr lang="en-GB"/>
            </a:pPr>
            <a:endParaRPr lang="ar-SA"/>
          </a:p>
        </c:txPr>
        <c:crossAx val="191346560"/>
        <c:crosses val="autoZero"/>
        <c:auto val="1"/>
        <c:lblAlgn val="ctr"/>
        <c:lblOffset val="100"/>
        <c:noMultiLvlLbl val="0"/>
      </c:catAx>
      <c:valAx>
        <c:axId val="191346560"/>
        <c:scaling>
          <c:orientation val="minMax"/>
          <c:max val="30"/>
          <c:min val="0"/>
        </c:scaling>
        <c:delete val="0"/>
        <c:axPos val="b"/>
        <c:title>
          <c:tx>
            <c:rich>
              <a:bodyPr/>
              <a:lstStyle/>
              <a:p>
                <a:pPr>
                  <a:defRPr lang="en-GB" sz="899" b="1" i="0" u="none" strike="noStrike" baseline="0">
                    <a:solidFill>
                      <a:srgbClr val="000000"/>
                    </a:solidFill>
                    <a:latin typeface="Arial"/>
                    <a:ea typeface="Arial"/>
                    <a:cs typeface="Arial"/>
                  </a:defRPr>
                </a:pPr>
                <a:r>
                  <a:rPr lang="en-US"/>
                  <a:t>Number</a:t>
                </a:r>
              </a:p>
            </c:rich>
          </c:tx>
          <c:layout>
            <c:manualLayout>
              <c:xMode val="edge"/>
              <c:yMode val="edge"/>
              <c:x val="0.66939484416300166"/>
              <c:y val="0.9620610110303377"/>
            </c:manualLayout>
          </c:layout>
          <c:overlay val="0"/>
        </c:title>
        <c:numFmt formatCode="0" sourceLinked="0"/>
        <c:majorTickMark val="out"/>
        <c:minorTickMark val="none"/>
        <c:tickLblPos val="nextTo"/>
        <c:txPr>
          <a:bodyPr/>
          <a:lstStyle/>
          <a:p>
            <a:pPr>
              <a:defRPr lang="en-GB">
                <a:solidFill>
                  <a:schemeClr val="bg1"/>
                </a:solidFill>
              </a:defRPr>
            </a:pPr>
            <a:endParaRPr lang="ar-SA"/>
          </a:p>
        </c:txPr>
        <c:crossAx val="191344640"/>
        <c:crosses val="autoZero"/>
        <c:crossBetween val="between"/>
        <c:majorUnit val="5"/>
      </c:valAx>
      <c:spPr>
        <a:noFill/>
        <a:ln w="25377">
          <a:noFill/>
        </a:ln>
      </c:spPr>
    </c:plotArea>
    <c:legend>
      <c:legendPos val="t"/>
      <c:layout>
        <c:manualLayout>
          <c:xMode val="edge"/>
          <c:yMode val="edge"/>
          <c:x val="1.8174300630193937E-6"/>
          <c:y val="1.5707646300310022E-2"/>
          <c:w val="0.49814649395022992"/>
          <c:h val="3.7120359955005622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899" baseline="0">
          <a:solidFill>
            <a:schemeClr val="tx1"/>
          </a:solidFill>
          <a:latin typeface="Arial" panose="020B0604020202020204" pitchFamily="34" charset="0"/>
          <a:cs typeface="Arial" panose="020B0604020202020204" pitchFamily="34" charset="0"/>
        </a:defRPr>
      </a:pPr>
      <a:endParaRPr lang="ar-SA"/>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361811501045548"/>
          <c:y val="0.15516872890888617"/>
          <c:w val="0.85408392410875877"/>
          <c:h val="0.65525627751261961"/>
        </c:manualLayout>
      </c:layout>
      <c:barChart>
        <c:barDir val="col"/>
        <c:grouping val="clustered"/>
        <c:varyColors val="0"/>
        <c:ser>
          <c:idx val="0"/>
          <c:order val="0"/>
          <c:tx>
            <c:strRef>
              <c:f>Sheet1!$B$1</c:f>
              <c:strCache>
                <c:ptCount val="1"/>
                <c:pt idx="0">
                  <c:v>Males</c:v>
                </c:pt>
              </c:strCache>
            </c:strRef>
          </c:tx>
          <c:spPr>
            <a:solidFill>
              <a:schemeClr val="tx2">
                <a:lumMod val="40000"/>
                <a:lumOff val="60000"/>
              </a:schemeClr>
            </a:solidFill>
          </c:spPr>
          <c:invertIfNegative val="0"/>
          <c:dPt>
            <c:idx val="0"/>
            <c:invertIfNegative val="0"/>
            <c:bubble3D val="0"/>
            <c:spPr/>
            <c:extLst>
              <c:ext xmlns:c16="http://schemas.microsoft.com/office/drawing/2014/chart" uri="{C3380CC4-5D6E-409C-BE32-E72D297353CC}">
                <c16:uniqueId val="{00000001-FFCF-4F3E-8E2C-7DF92A620F42}"/>
              </c:ext>
            </c:extLst>
          </c:dPt>
          <c:dPt>
            <c:idx val="1"/>
            <c:invertIfNegative val="0"/>
            <c:bubble3D val="0"/>
            <c:spPr/>
            <c:extLst>
              <c:ext xmlns:c16="http://schemas.microsoft.com/office/drawing/2014/chart" uri="{C3380CC4-5D6E-409C-BE32-E72D297353CC}">
                <c16:uniqueId val="{00000003-FFCF-4F3E-8E2C-7DF92A620F42}"/>
              </c:ext>
            </c:extLst>
          </c:dPt>
          <c:dPt>
            <c:idx val="2"/>
            <c:invertIfNegative val="0"/>
            <c:bubble3D val="0"/>
            <c:spPr/>
            <c:extLst>
              <c:ext xmlns:c16="http://schemas.microsoft.com/office/drawing/2014/chart" uri="{C3380CC4-5D6E-409C-BE32-E72D297353CC}">
                <c16:uniqueId val="{00000005-FFCF-4F3E-8E2C-7DF92A620F42}"/>
              </c:ext>
            </c:extLst>
          </c:dPt>
          <c:dLbls>
            <c:dLbl>
              <c:idx val="1"/>
              <c:layout>
                <c:manualLayout>
                  <c:x val="0"/>
                  <c:y val="2.17094017094017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FCF-4F3E-8E2C-7DF92A620F42}"/>
                </c:ext>
              </c:extLst>
            </c:dLbl>
            <c:numFmt formatCode="#,##0.0" sourceLinked="0"/>
            <c:spPr>
              <a:noFill/>
              <a:ln w="2537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7</c:v>
                </c:pt>
                <c:pt idx="1">
                  <c:v>10.4</c:v>
                </c:pt>
                <c:pt idx="2">
                  <c:v>8.1</c:v>
                </c:pt>
                <c:pt idx="3">
                  <c:v>8.6</c:v>
                </c:pt>
              </c:numCache>
            </c:numRef>
          </c:val>
          <c:extLst>
            <c:ext xmlns:c16="http://schemas.microsoft.com/office/drawing/2014/chart" uri="{C3380CC4-5D6E-409C-BE32-E72D297353CC}">
              <c16:uniqueId val="{00000006-FFCF-4F3E-8E2C-7DF92A620F42}"/>
            </c:ext>
          </c:extLst>
        </c:ser>
        <c:ser>
          <c:idx val="1"/>
          <c:order val="1"/>
          <c:tx>
            <c:strRef>
              <c:f>Sheet1!$C$1</c:f>
              <c:strCache>
                <c:ptCount val="1"/>
                <c:pt idx="0">
                  <c:v>Female</c:v>
                </c:pt>
              </c:strCache>
            </c:strRef>
          </c:tx>
          <c:spPr>
            <a:solidFill>
              <a:srgbClr val="C0504D">
                <a:lumMod val="75000"/>
              </a:srgbClr>
            </a:solidFill>
          </c:spPr>
          <c:invertIfNegative val="0"/>
          <c:dLbls>
            <c:numFmt formatCode="#,##0.0" sourceLinked="0"/>
            <c:spPr>
              <a:noFill/>
              <a:ln w="2537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8.1</c:v>
                </c:pt>
                <c:pt idx="1">
                  <c:v>10</c:v>
                </c:pt>
                <c:pt idx="2">
                  <c:v>6.6</c:v>
                </c:pt>
                <c:pt idx="3">
                  <c:v>8.8000000000000007</c:v>
                </c:pt>
              </c:numCache>
            </c:numRef>
          </c:val>
          <c:extLst>
            <c:ext xmlns:c16="http://schemas.microsoft.com/office/drawing/2014/chart" uri="{C3380CC4-5D6E-409C-BE32-E72D297353CC}">
              <c16:uniqueId val="{00000007-FFCF-4F3E-8E2C-7DF92A620F42}"/>
            </c:ext>
          </c:extLst>
        </c:ser>
        <c:dLbls>
          <c:showLegendKey val="0"/>
          <c:showVal val="0"/>
          <c:showCatName val="0"/>
          <c:showSerName val="0"/>
          <c:showPercent val="0"/>
          <c:showBubbleSize val="0"/>
        </c:dLbls>
        <c:gapWidth val="150"/>
        <c:axId val="190112512"/>
        <c:axId val="190114432"/>
      </c:barChart>
      <c:catAx>
        <c:axId val="19011251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0114432"/>
        <c:crosses val="autoZero"/>
        <c:auto val="1"/>
        <c:lblAlgn val="ctr"/>
        <c:lblOffset val="100"/>
        <c:noMultiLvlLbl val="0"/>
      </c:catAx>
      <c:valAx>
        <c:axId val="190114432"/>
        <c:scaling>
          <c:orientation val="minMax"/>
          <c:max val="11"/>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190112512"/>
        <c:crosses val="autoZero"/>
        <c:crossBetween val="between"/>
        <c:majorUnit val="1"/>
        <c:minorUnit val="1"/>
      </c:valAx>
    </c:plotArea>
    <c:legend>
      <c:legendPos val="t"/>
      <c:layout>
        <c:manualLayout>
          <c:xMode val="edge"/>
          <c:yMode val="edge"/>
          <c:x val="0.24802525250723395"/>
          <c:y val="2.9359953024075198E-2"/>
          <c:w val="0.19583875928059966"/>
          <c:h val="9.3625884844253687E-2"/>
        </c:manualLayout>
      </c:layout>
      <c:overlay val="1"/>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DC2F82"/>
            </a:solidFill>
            <a:ln>
              <a:solidFill>
                <a:srgbClr val="DC2F82"/>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Sheet1!$A$2:$B$9</c:f>
              <c:multiLvlStrCache>
                <c:ptCount val="8"/>
                <c:lvl>
                  <c:pt idx="0">
                    <c:v>Palestine</c:v>
                  </c:pt>
                  <c:pt idx="1">
                    <c:v>West Bank</c:v>
                  </c:pt>
                  <c:pt idx="2">
                    <c:v>Gaza Strip</c:v>
                  </c:pt>
                  <c:pt idx="3">
                    <c:v>Male</c:v>
                  </c:pt>
                  <c:pt idx="4">
                    <c:v>Female</c:v>
                  </c:pt>
                  <c:pt idx="5">
                    <c:v>Urban</c:v>
                  </c:pt>
                  <c:pt idx="6">
                    <c:v>Rural</c:v>
                  </c:pt>
                  <c:pt idx="7">
                    <c:v>Camp</c:v>
                  </c:pt>
                </c:lvl>
                <c:lvl>
                  <c:pt idx="0">
                    <c:v>Region</c:v>
                  </c:pt>
                  <c:pt idx="3">
                    <c:v>Sex</c:v>
                  </c:pt>
                  <c:pt idx="5">
                    <c:v>Locality Type</c:v>
                  </c:pt>
                </c:lvl>
              </c:multiLvlStrCache>
            </c:multiLvlStrRef>
          </c:cat>
          <c:val>
            <c:numRef>
              <c:f>Sheet1!$C$2:$C$9</c:f>
              <c:numCache>
                <c:formatCode>General</c:formatCode>
                <c:ptCount val="8"/>
                <c:pt idx="0">
                  <c:v>10.200000000000001</c:v>
                </c:pt>
                <c:pt idx="1">
                  <c:v>7.8</c:v>
                </c:pt>
                <c:pt idx="2">
                  <c:v>14.1</c:v>
                </c:pt>
                <c:pt idx="3">
                  <c:v>11.6</c:v>
                </c:pt>
                <c:pt idx="4">
                  <c:v>8.7000000000000011</c:v>
                </c:pt>
                <c:pt idx="5">
                  <c:v>10.9</c:v>
                </c:pt>
                <c:pt idx="6">
                  <c:v>5.5</c:v>
                </c:pt>
                <c:pt idx="7">
                  <c:v>11.8</c:v>
                </c:pt>
              </c:numCache>
            </c:numRef>
          </c:val>
          <c:extLst>
            <c:ext xmlns:c16="http://schemas.microsoft.com/office/drawing/2014/chart" uri="{C3380CC4-5D6E-409C-BE32-E72D297353CC}">
              <c16:uniqueId val="{00000000-81E6-455D-A77F-E461FF690510}"/>
            </c:ext>
          </c:extLst>
        </c:ser>
        <c:dLbls>
          <c:showLegendKey val="0"/>
          <c:showVal val="0"/>
          <c:showCatName val="0"/>
          <c:showSerName val="0"/>
          <c:showPercent val="0"/>
          <c:showBubbleSize val="0"/>
        </c:dLbls>
        <c:gapWidth val="150"/>
        <c:axId val="179503872"/>
        <c:axId val="179505408"/>
      </c:barChart>
      <c:catAx>
        <c:axId val="179503872"/>
        <c:scaling>
          <c:orientation val="minMax"/>
        </c:scaling>
        <c:delete val="0"/>
        <c:axPos val="b"/>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505408"/>
        <c:crosses val="autoZero"/>
        <c:auto val="1"/>
        <c:lblAlgn val="ctr"/>
        <c:lblOffset val="100"/>
        <c:noMultiLvlLbl val="0"/>
      </c:catAx>
      <c:valAx>
        <c:axId val="179505408"/>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503872"/>
        <c:crosses val="autoZero"/>
        <c:crossBetween val="between"/>
      </c:valAx>
    </c:plotArea>
    <c:plotVisOnly val="1"/>
    <c:dispBlanksAs val="gap"/>
    <c:showDLblsOverMax val="0"/>
  </c:chart>
  <c:spPr>
    <a:ln>
      <a:noFill/>
    </a:ln>
  </c:spPr>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1050041621747078"/>
          <c:y val="7.8354535965866154E-2"/>
          <c:w val="0.38572087501194136"/>
          <c:h val="0.75229167485511961"/>
        </c:manualLayout>
      </c:layout>
      <c:barChart>
        <c:barDir val="bar"/>
        <c:grouping val="clustered"/>
        <c:varyColors val="0"/>
        <c:ser>
          <c:idx val="0"/>
          <c:order val="0"/>
          <c:tx>
            <c:strRef>
              <c:f>Sheet1!$B$1</c:f>
              <c:strCache>
                <c:ptCount val="1"/>
                <c:pt idx="0">
                  <c:v>Palestine</c:v>
                </c:pt>
              </c:strCache>
            </c:strRef>
          </c:tx>
          <c:spPr>
            <a:solidFill>
              <a:srgbClr val="DC2F7B"/>
            </a:solidFill>
            <a:ln>
              <a:solidFill>
                <a:srgbClr val="DC2F7B"/>
              </a:solidFill>
            </a:ln>
          </c:spPr>
          <c:invertIfNegative val="0"/>
          <c:dLbls>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Liquid assets to short term liabilities</c:v>
                </c:pt>
                <c:pt idx="1">
                  <c:v>Non-performing loans to total gross loans</c:v>
                </c:pt>
                <c:pt idx="2">
                  <c:v>Non-performing loans net of provisions to capital</c:v>
                </c:pt>
                <c:pt idx="3">
                  <c:v>Regulatory capital to assets</c:v>
                </c:pt>
                <c:pt idx="4">
                  <c:v>Regulatory Tier 1 capital to risk-weighted assets </c:v>
                </c:pt>
                <c:pt idx="5">
                  <c:v>Return on assets</c:v>
                </c:pt>
              </c:strCache>
            </c:strRef>
          </c:cat>
          <c:val>
            <c:numRef>
              <c:f>Sheet1!$B$2:$B$7</c:f>
              <c:numCache>
                <c:formatCode>0.0</c:formatCode>
                <c:ptCount val="6"/>
                <c:pt idx="0">
                  <c:v>43.5</c:v>
                </c:pt>
                <c:pt idx="1">
                  <c:v>14.5</c:v>
                </c:pt>
                <c:pt idx="2">
                  <c:v>8.6999999999999993</c:v>
                </c:pt>
                <c:pt idx="3">
                  <c:v>4</c:v>
                </c:pt>
                <c:pt idx="4">
                  <c:v>3</c:v>
                </c:pt>
                <c:pt idx="5">
                  <c:v>1.5</c:v>
                </c:pt>
              </c:numCache>
            </c:numRef>
          </c:val>
          <c:extLst>
            <c:ext xmlns:c16="http://schemas.microsoft.com/office/drawing/2014/chart" uri="{C3380CC4-5D6E-409C-BE32-E72D297353CC}">
              <c16:uniqueId val="{00000000-B9D4-42AE-97D1-6413BCC3E76C}"/>
            </c:ext>
          </c:extLst>
        </c:ser>
        <c:dLbls>
          <c:showLegendKey val="0"/>
          <c:showVal val="0"/>
          <c:showCatName val="0"/>
          <c:showSerName val="0"/>
          <c:showPercent val="0"/>
          <c:showBubbleSize val="0"/>
        </c:dLbls>
        <c:gapWidth val="150"/>
        <c:axId val="179382528"/>
        <c:axId val="179655040"/>
      </c:barChart>
      <c:catAx>
        <c:axId val="17938252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Indicators</a:t>
                </a:r>
              </a:p>
            </c:rich>
          </c:tx>
          <c:layout>
            <c:manualLayout>
              <c:xMode val="edge"/>
              <c:yMode val="edge"/>
              <c:x val="1.0756442865875859E-3"/>
              <c:y val="0.37140286748682266"/>
            </c:manualLayout>
          </c:layout>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sz="900"/>
            </a:pPr>
            <a:endParaRPr lang="ar-SA"/>
          </a:p>
        </c:txPr>
        <c:crossAx val="179655040"/>
        <c:crosses val="autoZero"/>
        <c:auto val="1"/>
        <c:lblAlgn val="ctr"/>
        <c:lblOffset val="100"/>
        <c:noMultiLvlLbl val="0"/>
      </c:catAx>
      <c:valAx>
        <c:axId val="179655040"/>
        <c:scaling>
          <c:orientation val="minMax"/>
          <c:max val="50"/>
          <c:min val="0"/>
        </c:scaling>
        <c:delete val="0"/>
        <c:axPos val="b"/>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382528"/>
        <c:crosses val="autoZero"/>
        <c:crossBetween val="between"/>
        <c:majorUnit val="10"/>
        <c:minorUnit val="1"/>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80012840121617"/>
          <c:y val="9.6969696969697067E-2"/>
          <c:w val="0.85642648086255357"/>
          <c:h val="0.74986535280903666"/>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0.0</c:formatCode>
                <c:ptCount val="5"/>
                <c:pt idx="0">
                  <c:v>1887.06918</c:v>
                </c:pt>
                <c:pt idx="1">
                  <c:v>2416.10421</c:v>
                </c:pt>
                <c:pt idx="2">
                  <c:v>2154.2687700000001</c:v>
                </c:pt>
                <c:pt idx="3">
                  <c:v>2240.9354499999999</c:v>
                </c:pt>
                <c:pt idx="4">
                  <c:v>2295</c:v>
                </c:pt>
              </c:numCache>
            </c:numRef>
          </c:val>
          <c:smooth val="0"/>
          <c:extLst>
            <c:ext xmlns:c16="http://schemas.microsoft.com/office/drawing/2014/chart" uri="{C3380CC4-5D6E-409C-BE32-E72D297353CC}">
              <c16:uniqueId val="{00000012-DF99-4ECB-B537-C3B13AC05D9C}"/>
            </c:ext>
          </c:extLst>
        </c:ser>
        <c:dLbls>
          <c:showLegendKey val="0"/>
          <c:showVal val="1"/>
          <c:showCatName val="0"/>
          <c:showSerName val="0"/>
          <c:showPercent val="0"/>
          <c:showBubbleSize val="0"/>
        </c:dLbls>
        <c:marker val="1"/>
        <c:smooth val="0"/>
        <c:axId val="179577216"/>
        <c:axId val="179579136"/>
      </c:lineChart>
      <c:catAx>
        <c:axId val="179577216"/>
        <c:scaling>
          <c:orientation val="minMax"/>
        </c:scaling>
        <c:delete val="0"/>
        <c:axPos val="b"/>
        <c:title>
          <c:tx>
            <c:rich>
              <a:bodyPr/>
              <a:lstStyle/>
              <a:p>
                <a:pPr>
                  <a:defRPr/>
                </a:pPr>
                <a:r>
                  <a:rPr lang="en-US"/>
                  <a:t>Year</a:t>
                </a:r>
                <a:endParaRPr lang="ar-JO"/>
              </a:p>
            </c:rich>
          </c:tx>
          <c:overlay val="0"/>
        </c:title>
        <c:numFmt formatCode="General" sourceLinked="1"/>
        <c:majorTickMark val="out"/>
        <c:minorTickMark val="none"/>
        <c:tickLblPos val="nextTo"/>
        <c:spPr>
          <a:ln>
            <a:solidFill>
              <a:sysClr val="windowText" lastClr="000000">
                <a:shade val="95000"/>
                <a:satMod val="105000"/>
              </a:sysClr>
            </a:solidFill>
          </a:ln>
        </c:spPr>
        <c:crossAx val="179579136"/>
        <c:crosses val="autoZero"/>
        <c:auto val="1"/>
        <c:lblAlgn val="ctr"/>
        <c:lblOffset val="100"/>
        <c:noMultiLvlLbl val="0"/>
      </c:catAx>
      <c:valAx>
        <c:axId val="179579136"/>
        <c:scaling>
          <c:orientation val="minMax"/>
          <c:min val="500"/>
        </c:scaling>
        <c:delete val="0"/>
        <c:axPos val="l"/>
        <c:title>
          <c:tx>
            <c:rich>
              <a:bodyPr/>
              <a:lstStyle/>
              <a:p>
                <a:pPr>
                  <a:defRPr/>
                </a:pPr>
                <a:r>
                  <a:rPr lang="en-US"/>
                  <a:t>Million US$)</a:t>
                </a:r>
                <a:endParaRPr lang="ar-JO"/>
              </a:p>
            </c:rich>
          </c:tx>
          <c:layout>
            <c:manualLayout>
              <c:xMode val="edge"/>
              <c:yMode val="edge"/>
              <c:x val="1.4256500311561783E-2"/>
              <c:y val="0.35056043623144534"/>
            </c:manualLayout>
          </c:layout>
          <c:overlay val="0"/>
        </c:title>
        <c:numFmt formatCode="#,##0" sourceLinked="0"/>
        <c:majorTickMark val="out"/>
        <c:minorTickMark val="none"/>
        <c:tickLblPos val="nextTo"/>
        <c:spPr>
          <a:ln>
            <a:solidFill>
              <a:sysClr val="windowText" lastClr="000000">
                <a:shade val="95000"/>
                <a:satMod val="105000"/>
              </a:sysClr>
            </a:solidFill>
          </a:ln>
        </c:spPr>
        <c:crossAx val="179577216"/>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Series 1</c:v>
                </c:pt>
              </c:strCache>
            </c:strRef>
          </c:tx>
          <c:spPr>
            <a:ln>
              <a:solidFill>
                <a:srgbClr val="DC2F7B"/>
              </a:solidFill>
            </a:ln>
          </c:spPr>
          <c:marker>
            <c:spPr>
              <a:solidFill>
                <a:srgbClr val="DC2F7B"/>
              </a:solidFill>
              <a:ln>
                <a:solidFill>
                  <a:srgbClr val="DC2F7B"/>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0.0</c:formatCode>
                <c:ptCount val="5"/>
                <c:pt idx="0">
                  <c:v>7.29</c:v>
                </c:pt>
                <c:pt idx="1">
                  <c:v>7.3</c:v>
                </c:pt>
                <c:pt idx="2">
                  <c:v>6.3</c:v>
                </c:pt>
                <c:pt idx="3">
                  <c:v>6.09</c:v>
                </c:pt>
                <c:pt idx="4">
                  <c:v>6.7</c:v>
                </c:pt>
              </c:numCache>
            </c:numRef>
          </c:val>
          <c:smooth val="0"/>
          <c:extLst>
            <c:ext xmlns:c16="http://schemas.microsoft.com/office/drawing/2014/chart" uri="{C3380CC4-5D6E-409C-BE32-E72D297353CC}">
              <c16:uniqueId val="{00000000-1099-45C6-9CA2-68E4A0D383EC}"/>
            </c:ext>
          </c:extLst>
        </c:ser>
        <c:dLbls>
          <c:showLegendKey val="0"/>
          <c:showVal val="1"/>
          <c:showCatName val="0"/>
          <c:showSerName val="0"/>
          <c:showPercent val="0"/>
          <c:showBubbleSize val="0"/>
        </c:dLbls>
        <c:marker val="1"/>
        <c:smooth val="0"/>
        <c:axId val="179792128"/>
        <c:axId val="179794304"/>
      </c:lineChart>
      <c:catAx>
        <c:axId val="17979212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794304"/>
        <c:crosses val="autoZero"/>
        <c:auto val="1"/>
        <c:lblAlgn val="ctr"/>
        <c:lblOffset val="100"/>
        <c:noMultiLvlLbl val="0"/>
      </c:catAx>
      <c:valAx>
        <c:axId val="179794304"/>
        <c:scaling>
          <c:orientation val="minMax"/>
          <c:max val="7.5"/>
          <c:min val="5.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792128"/>
        <c:crosses val="autoZero"/>
        <c:crossBetween val="between"/>
        <c:majorUnit val="0.5"/>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820199949661884E-2"/>
          <c:y val="0.10354958697647457"/>
          <c:w val="0.90708698406240029"/>
          <c:h val="0.73718999082169945"/>
        </c:manualLayout>
      </c:layout>
      <c:barChart>
        <c:barDir val="col"/>
        <c:grouping val="clustered"/>
        <c:varyColors val="0"/>
        <c:ser>
          <c:idx val="0"/>
          <c:order val="0"/>
          <c:spPr>
            <a:solidFill>
              <a:srgbClr val="BF9000"/>
            </a:solidFill>
            <a:ln>
              <a:solidFill>
                <a:srgbClr val="BF9000"/>
              </a:solidFill>
            </a:ln>
          </c:spPr>
          <c:invertIfNegative val="0"/>
          <c:dLbls>
            <c:dLbl>
              <c:idx val="0"/>
              <c:layout>
                <c:manualLayout>
                  <c:x val="-5.3790710882872135E-3"/>
                  <c:y val="-4.868041183049877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D6E-441E-B577-A5991FC6F0C7}"/>
                </c:ext>
              </c:extLst>
            </c:dLbl>
            <c:dLbl>
              <c:idx val="1"/>
              <c:layout>
                <c:manualLayout>
                  <c:x val="-6.3470874506610115E-3"/>
                  <c:y val="-8.708495292448726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6E-441E-B577-A5991FC6F0C7}"/>
                </c:ext>
              </c:extLst>
            </c:dLbl>
            <c:dLbl>
              <c:idx val="2"/>
              <c:layout>
                <c:manualLayout>
                  <c:x val="-1.0654987169332351E-2"/>
                  <c:y val="-1.12930598767257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D6E-441E-B577-A5991FC6F0C7}"/>
                </c:ext>
              </c:extLst>
            </c:dLbl>
            <c:dLbl>
              <c:idx val="3"/>
              <c:layout>
                <c:manualLayout>
                  <c:x val="-6.2214163758486834E-3"/>
                  <c:y val="2.283024514710604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D6E-441E-B577-A5991FC6F0C7}"/>
                </c:ext>
              </c:extLst>
            </c:dLbl>
            <c:dLbl>
              <c:idx val="7"/>
              <c:layout>
                <c:manualLayout>
                  <c:x val="-2.7732840305061412E-2"/>
                  <c:y val="-7.44772271555511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D6E-441E-B577-A5991FC6F0C7}"/>
                </c:ext>
              </c:extLst>
            </c:dLbl>
            <c:dLbl>
              <c:idx val="8"/>
              <c:layout>
                <c:manualLayout>
                  <c:x val="-2.0793035079105612E-2"/>
                  <c:y val="8.17251480804354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D6E-441E-B577-A5991FC6F0C7}"/>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2016</c:v>
                </c:pt>
                <c:pt idx="1">
                  <c:v>2017</c:v>
                </c:pt>
                <c:pt idx="2">
                  <c:v>2018</c:v>
                </c:pt>
                <c:pt idx="3">
                  <c:v>2020</c:v>
                </c:pt>
              </c:numCache>
            </c:numRef>
          </c:cat>
          <c:val>
            <c:numRef>
              <c:f>Sheet1!$B$2:$E$2</c:f>
              <c:numCache>
                <c:formatCode>#,##0.00</c:formatCode>
                <c:ptCount val="4"/>
                <c:pt idx="0">
                  <c:v>19.5</c:v>
                </c:pt>
                <c:pt idx="1">
                  <c:v>45.1</c:v>
                </c:pt>
                <c:pt idx="2">
                  <c:v>19.5</c:v>
                </c:pt>
                <c:pt idx="3">
                  <c:v>19.5</c:v>
                </c:pt>
              </c:numCache>
            </c:numRef>
          </c:val>
          <c:extLst>
            <c:ext xmlns:c15="http://schemas.microsoft.com/office/drawing/2012/chart" uri="{02D57815-91ED-43cb-92C2-25804820EDAC}">
              <c15:filteredSeriesTitle>
                <c15:tx>
                  <c:strRef>
                    <c:extLst>
                      <c:ext uri="{02D57815-91ED-43cb-92C2-25804820EDAC}">
                        <c15:formulaRef>
                          <c15:sqref>Sheet1!#REF!</c15:sqref>
                        </c15:formulaRef>
                      </c:ext>
                    </c:extLst>
                    <c:strCache>
                      <c:ptCount val="1"/>
                      <c:pt idx="0">
                        <c:v>#REF!</c:v>
                      </c:pt>
                    </c:strCache>
                  </c:strRef>
                </c15:tx>
              </c15:filteredSeriesTitle>
            </c:ext>
            <c:ext xmlns:c16="http://schemas.microsoft.com/office/drawing/2014/chart" uri="{C3380CC4-5D6E-409C-BE32-E72D297353CC}">
              <c16:uniqueId val="{00000006-6D6E-441E-B577-A5991FC6F0C7}"/>
            </c:ext>
          </c:extLst>
        </c:ser>
        <c:dLbls>
          <c:showLegendKey val="0"/>
          <c:showVal val="0"/>
          <c:showCatName val="0"/>
          <c:showSerName val="0"/>
          <c:showPercent val="0"/>
          <c:showBubbleSize val="0"/>
        </c:dLbls>
        <c:gapWidth val="150"/>
        <c:axId val="270686080"/>
        <c:axId val="270700544"/>
      </c:barChart>
      <c:catAx>
        <c:axId val="2706860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endParaRPr lang="ar-JO"/>
              </a:p>
            </c:rich>
          </c:tx>
          <c:overlay val="0"/>
        </c:title>
        <c:numFmt formatCode="General" sourceLinked="1"/>
        <c:majorTickMark val="out"/>
        <c:minorTickMark val="none"/>
        <c:tickLblPos val="nextTo"/>
        <c:txPr>
          <a:bodyPr rot="0" vert="horz"/>
          <a:lstStyle/>
          <a:p>
            <a:pPr>
              <a:defRPr lang="en-GB"/>
            </a:pPr>
            <a:endParaRPr lang="ar-SA"/>
          </a:p>
        </c:txPr>
        <c:crossAx val="270700544"/>
        <c:crosses val="autoZero"/>
        <c:auto val="1"/>
        <c:lblAlgn val="ctr"/>
        <c:lblOffset val="100"/>
        <c:tickLblSkip val="1"/>
        <c:tickMarkSkip val="1"/>
        <c:noMultiLvlLbl val="0"/>
      </c:catAx>
      <c:valAx>
        <c:axId val="270700544"/>
        <c:scaling>
          <c:orientation val="minMax"/>
          <c:max val="60"/>
          <c:min val="1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endParaRPr lang="ar-JO"/>
              </a:p>
            </c:rich>
          </c:tx>
          <c:overlay val="0"/>
        </c:title>
        <c:numFmt formatCode="#,##0" sourceLinked="0"/>
        <c:majorTickMark val="out"/>
        <c:minorTickMark val="none"/>
        <c:tickLblPos val="nextTo"/>
        <c:txPr>
          <a:bodyPr rot="0" vert="horz"/>
          <a:lstStyle/>
          <a:p>
            <a:pPr>
              <a:defRPr lang="en-GB"/>
            </a:pPr>
            <a:endParaRPr lang="ar-SA"/>
          </a:p>
        </c:txPr>
        <c:crossAx val="270686080"/>
        <c:crosses val="autoZero"/>
        <c:crossBetween val="between"/>
        <c:majorUnit val="15"/>
        <c:minorUnit val="1"/>
      </c:valAx>
      <c:spPr>
        <a:ln>
          <a:noFill/>
        </a:ln>
      </c:spPr>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96035978025143"/>
          <c:y val="7.8863119910470833E-2"/>
          <c:w val="0.86023294989733678"/>
          <c:h val="0.71011984205786605"/>
        </c:manualLayout>
      </c:layout>
      <c:lineChart>
        <c:grouping val="standard"/>
        <c:varyColors val="0"/>
        <c:ser>
          <c:idx val="1"/>
          <c:order val="0"/>
          <c:tx>
            <c:strRef>
              <c:f>Sheet1!$A$2</c:f>
              <c:strCache>
                <c:ptCount val="1"/>
                <c:pt idx="0">
                  <c:v>النسبة</c:v>
                </c:pt>
              </c:strCache>
            </c:strRef>
          </c:tx>
          <c:spPr>
            <a:ln>
              <a:solidFill>
                <a:srgbClr val="BF9000"/>
              </a:solidFill>
            </a:ln>
          </c:spPr>
          <c:marker>
            <c:spPr>
              <a:solidFill>
                <a:srgbClr val="BF9000"/>
              </a:solidFill>
              <a:ln>
                <a:solidFill>
                  <a:srgbClr val="BF9000"/>
                </a:solidFill>
              </a:ln>
            </c:spPr>
          </c:marker>
          <c:dLbls>
            <c:dLbl>
              <c:idx val="0"/>
              <c:layout>
                <c:manualLayout>
                  <c:x val="-3.8839141223432995E-2"/>
                  <c:y val="-7.03812316715542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BAB-4B59-A058-A4062C41AF53}"/>
                </c:ext>
              </c:extLst>
            </c:dLbl>
            <c:dLbl>
              <c:idx val="1"/>
              <c:layout>
                <c:manualLayout>
                  <c:x val="-3.8839141223432995E-2"/>
                  <c:y val="7.03812316715542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AB-4B59-A058-A4062C41AF53}"/>
                </c:ext>
              </c:extLst>
            </c:dLbl>
            <c:dLbl>
              <c:idx val="2"/>
              <c:layout>
                <c:manualLayout>
                  <c:x val="-4.5312331427338558E-2"/>
                  <c:y val="-6.45161290322581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BAB-4B59-A058-A4062C41AF53}"/>
                </c:ext>
              </c:extLst>
            </c:dLbl>
            <c:dLbl>
              <c:idx val="3"/>
              <c:layout>
                <c:manualLayout>
                  <c:x val="-4.3154601359369944E-2"/>
                  <c:y val="7.03812316715542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AB-4B59-A058-A4062C41AF53}"/>
                </c:ext>
              </c:extLst>
            </c:dLbl>
            <c:dLbl>
              <c:idx val="4"/>
              <c:layout>
                <c:manualLayout>
                  <c:x val="-5.8258711835149433E-2"/>
                  <c:y val="-9.9706744868035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BAB-4B59-A058-A4062C41AF53}"/>
                </c:ext>
              </c:extLst>
            </c:dLbl>
            <c:dLbl>
              <c:idx val="5"/>
              <c:layout>
                <c:manualLayout>
                  <c:x val="-4.5312331427338558E-2"/>
                  <c:y val="7.03812316715542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BAB-4B59-A058-A4062C41AF53}"/>
                </c:ext>
              </c:extLst>
            </c:dLbl>
            <c:dLbl>
              <c:idx val="6"/>
              <c:layout>
                <c:manualLayout>
                  <c:x val="-4.5312331427338558E-2"/>
                  <c:y val="-8.2111436950146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BAB-4B59-A058-A4062C41AF53}"/>
                </c:ext>
              </c:extLst>
            </c:dLbl>
            <c:spPr>
              <a:noFill/>
              <a:ln w="2535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Less than 14</c:v>
                </c:pt>
                <c:pt idx="1">
                  <c:v>15-24</c:v>
                </c:pt>
                <c:pt idx="2">
                  <c:v>25-34</c:v>
                </c:pt>
                <c:pt idx="3">
                  <c:v>35-44</c:v>
                </c:pt>
                <c:pt idx="4">
                  <c:v>45-54</c:v>
                </c:pt>
                <c:pt idx="5">
                  <c:v>55-64</c:v>
                </c:pt>
                <c:pt idx="6">
                  <c:v>65+</c:v>
                </c:pt>
              </c:strCache>
            </c:strRef>
          </c:cat>
          <c:val>
            <c:numRef>
              <c:f>Sheet1!$B$2:$H$2</c:f>
              <c:numCache>
                <c:formatCode>#,##0.00</c:formatCode>
                <c:ptCount val="7"/>
                <c:pt idx="0">
                  <c:v>76.3</c:v>
                </c:pt>
                <c:pt idx="1">
                  <c:v>77.2</c:v>
                </c:pt>
                <c:pt idx="2">
                  <c:v>78.099999999999994</c:v>
                </c:pt>
                <c:pt idx="3">
                  <c:v>74.7</c:v>
                </c:pt>
                <c:pt idx="4">
                  <c:v>77.8</c:v>
                </c:pt>
                <c:pt idx="5">
                  <c:v>79.599999999999994</c:v>
                </c:pt>
                <c:pt idx="6">
                  <c:v>83.5</c:v>
                </c:pt>
              </c:numCache>
            </c:numRef>
          </c:val>
          <c:smooth val="0"/>
          <c:extLst>
            <c:ext xmlns:c16="http://schemas.microsoft.com/office/drawing/2014/chart" uri="{C3380CC4-5D6E-409C-BE32-E72D297353CC}">
              <c16:uniqueId val="{00000007-FBAB-4B59-A058-A4062C41AF53}"/>
            </c:ext>
          </c:extLst>
        </c:ser>
        <c:dLbls>
          <c:showLegendKey val="0"/>
          <c:showVal val="0"/>
          <c:showCatName val="0"/>
          <c:showSerName val="0"/>
          <c:showPercent val="0"/>
          <c:showBubbleSize val="0"/>
        </c:dLbls>
        <c:marker val="1"/>
        <c:smooth val="0"/>
        <c:axId val="179720960"/>
        <c:axId val="179722880"/>
      </c:lineChart>
      <c:catAx>
        <c:axId val="179720960"/>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en-US"/>
                  <a:t>Age</a:t>
                </a:r>
                <a:r>
                  <a:rPr lang="en-US" baseline="0"/>
                  <a:t> Group</a:t>
                </a:r>
                <a:endParaRPr lang="ar-JO"/>
              </a:p>
            </c:rich>
          </c:tx>
          <c:overlay val="0"/>
        </c:title>
        <c:numFmt formatCode="General" sourceLinked="1"/>
        <c:majorTickMark val="none"/>
        <c:minorTickMark val="none"/>
        <c:tickLblPos val="nextTo"/>
        <c:txPr>
          <a:bodyPr rot="0" vert="horz"/>
          <a:lstStyle/>
          <a:p>
            <a:pPr>
              <a:defRPr lang="en-GB"/>
            </a:pPr>
            <a:endParaRPr lang="ar-SA"/>
          </a:p>
        </c:txPr>
        <c:crossAx val="179722880"/>
        <c:crosses val="autoZero"/>
        <c:auto val="1"/>
        <c:lblAlgn val="ctr"/>
        <c:lblOffset val="50"/>
        <c:tickLblSkip val="1"/>
        <c:tickMarkSkip val="1"/>
        <c:noMultiLvlLbl val="0"/>
      </c:catAx>
      <c:valAx>
        <c:axId val="179722880"/>
        <c:scaling>
          <c:orientation val="minMax"/>
          <c:max val="90"/>
          <c:min val="50"/>
        </c:scaling>
        <c:delete val="0"/>
        <c:axPos val="l"/>
        <c:title>
          <c:tx>
            <c:rich>
              <a:bodyPr/>
              <a:lstStyle/>
              <a:p>
                <a:pPr>
                  <a:defRPr lang="en-GB" sz="898" b="1" i="0" u="none" strike="noStrike" baseline="0">
                    <a:solidFill>
                      <a:srgbClr val="000000"/>
                    </a:solidFill>
                    <a:latin typeface="Arial"/>
                    <a:ea typeface="Arial"/>
                    <a:cs typeface="Arial"/>
                  </a:defRPr>
                </a:pPr>
                <a:r>
                  <a:rPr lang="en-US"/>
                  <a:t>Percentage</a:t>
                </a:r>
                <a:endParaRPr lang="ar-JO"/>
              </a:p>
            </c:rich>
          </c:tx>
          <c:overlay val="0"/>
        </c:title>
        <c:numFmt formatCode="#,##0.00" sourceLinked="0"/>
        <c:majorTickMark val="out"/>
        <c:minorTickMark val="none"/>
        <c:tickLblPos val="nextTo"/>
        <c:txPr>
          <a:bodyPr rot="-60000" vert="horz"/>
          <a:lstStyle/>
          <a:p>
            <a:pPr>
              <a:defRPr lang="en-GB"/>
            </a:pPr>
            <a:endParaRPr lang="ar-SA"/>
          </a:p>
        </c:txPr>
        <c:crossAx val="179720960"/>
        <c:crosses val="autoZero"/>
        <c:crossBetween val="between"/>
        <c:majorUnit val="10"/>
        <c:minorUnit val="10"/>
      </c:valAx>
      <c:spPr>
        <a:noFill/>
        <a:ln w="25355">
          <a:noFill/>
        </a:ln>
      </c:spPr>
    </c:plotArea>
    <c:plotVisOnly val="1"/>
    <c:dispBlanksAs val="gap"/>
    <c:showDLblsOverMax val="0"/>
  </c:chart>
  <c:spPr>
    <a:noFill/>
    <a:ln>
      <a:solidFill>
        <a:sysClr val="windowText" lastClr="000000"/>
      </a:solid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47503323161454"/>
          <c:y val="7.8863119910470583E-2"/>
          <c:w val="0.84772404290742454"/>
          <c:h val="0.74841010727317714"/>
        </c:manualLayout>
      </c:layout>
      <c:lineChart>
        <c:grouping val="standard"/>
        <c:varyColors val="0"/>
        <c:ser>
          <c:idx val="1"/>
          <c:order val="0"/>
          <c:tx>
            <c:strRef>
              <c:f>Sheet1!$A$2</c:f>
              <c:strCache>
                <c:ptCount val="1"/>
                <c:pt idx="0">
                  <c:v>العدد </c:v>
                </c:pt>
              </c:strCache>
            </c:strRef>
          </c:tx>
          <c:spPr>
            <a:ln>
              <a:solidFill>
                <a:srgbClr val="BF9000"/>
              </a:solidFill>
            </a:ln>
          </c:spPr>
          <c:marker>
            <c:spPr>
              <a:solidFill>
                <a:srgbClr val="BF9000"/>
              </a:solidFill>
              <a:ln>
                <a:solidFill>
                  <a:srgbClr val="BF9000"/>
                </a:solidFill>
              </a:ln>
            </c:spPr>
          </c:marker>
          <c:dLbls>
            <c:dLbl>
              <c:idx val="0"/>
              <c:layout>
                <c:manualLayout>
                  <c:x val="-5.8328659562535051E-2"/>
                  <c:y val="6.4325917984454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97-40C6-BAB8-B83346510610}"/>
                </c:ext>
              </c:extLst>
            </c:dLbl>
            <c:dLbl>
              <c:idx val="1"/>
              <c:layout>
                <c:manualLayout>
                  <c:x val="-5.38418395961862E-2"/>
                  <c:y val="-9.6488876976681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97-40C6-BAB8-B83346510610}"/>
                </c:ext>
              </c:extLst>
            </c:dLbl>
            <c:dLbl>
              <c:idx val="2"/>
              <c:layout>
                <c:manualLayout>
                  <c:x val="-4.2624789680314065E-2"/>
                  <c:y val="-6.4325917984454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97-40C6-BAB8-B83346510610}"/>
                </c:ext>
              </c:extLst>
            </c:dLbl>
            <c:dLbl>
              <c:idx val="4"/>
              <c:layout>
                <c:manualLayout>
                  <c:x val="-1.1217049915872291E-2"/>
                  <c:y val="-8.57678906459395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C97-40C6-BAB8-B83346510610}"/>
                </c:ext>
              </c:extLst>
            </c:dLbl>
            <c:spPr>
              <a:noFill/>
              <a:ln w="2536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1.02</c:v>
                </c:pt>
                <c:pt idx="1">
                  <c:v>1.87</c:v>
                </c:pt>
                <c:pt idx="2">
                  <c:v>1.42</c:v>
                </c:pt>
                <c:pt idx="3">
                  <c:v>2.0000000000000011E-2</c:v>
                </c:pt>
              </c:numCache>
            </c:numRef>
          </c:val>
          <c:smooth val="0"/>
          <c:extLst>
            <c:ext xmlns:c16="http://schemas.microsoft.com/office/drawing/2014/chart" uri="{C3380CC4-5D6E-409C-BE32-E72D297353CC}">
              <c16:uniqueId val="{00000004-CC97-40C6-BAB8-B83346510610}"/>
            </c:ext>
          </c:extLst>
        </c:ser>
        <c:dLbls>
          <c:showLegendKey val="0"/>
          <c:showVal val="0"/>
          <c:showCatName val="0"/>
          <c:showSerName val="0"/>
          <c:showPercent val="0"/>
          <c:showBubbleSize val="0"/>
        </c:dLbls>
        <c:marker val="1"/>
        <c:smooth val="0"/>
        <c:axId val="180064640"/>
        <c:axId val="180066560"/>
      </c:lineChart>
      <c:catAx>
        <c:axId val="18006464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rot="0" vert="horz"/>
          <a:lstStyle/>
          <a:p>
            <a:pPr>
              <a:defRPr lang="en-GB"/>
            </a:pPr>
            <a:endParaRPr lang="ar-SA"/>
          </a:p>
        </c:txPr>
        <c:crossAx val="180066560"/>
        <c:crosses val="autoZero"/>
        <c:auto val="1"/>
        <c:lblAlgn val="ctr"/>
        <c:lblOffset val="50"/>
        <c:tickLblSkip val="1"/>
        <c:tickMarkSkip val="1"/>
        <c:noMultiLvlLbl val="0"/>
      </c:catAx>
      <c:valAx>
        <c:axId val="180066560"/>
        <c:scaling>
          <c:orientation val="minMax"/>
          <c:max val="2"/>
          <c:min val="0"/>
        </c:scaling>
        <c:delete val="0"/>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layout>
            <c:manualLayout>
              <c:xMode val="edge"/>
              <c:yMode val="edge"/>
              <c:x val="1.4196192385654538E-2"/>
              <c:y val="0.19727838898186525"/>
            </c:manualLayout>
          </c:layout>
          <c:overlay val="0"/>
        </c:title>
        <c:numFmt formatCode="#,##0.00" sourceLinked="0"/>
        <c:majorTickMark val="out"/>
        <c:minorTickMark val="none"/>
        <c:tickLblPos val="nextTo"/>
        <c:txPr>
          <a:bodyPr rot="-60000" vert="horz"/>
          <a:lstStyle/>
          <a:p>
            <a:pPr>
              <a:defRPr lang="en-GB"/>
            </a:pPr>
            <a:endParaRPr lang="ar-SA"/>
          </a:p>
        </c:txPr>
        <c:crossAx val="180064640"/>
        <c:crosses val="autoZero"/>
        <c:crossBetween val="between"/>
        <c:majorUnit val="0.2"/>
        <c:minorUnit val="0.2"/>
      </c:valAx>
      <c:spPr>
        <a:noFill/>
        <a:ln w="25364">
          <a:noFill/>
        </a:ln>
      </c:spPr>
    </c:plotArea>
    <c:plotVisOnly val="1"/>
    <c:dispBlanksAs val="gap"/>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724316862851748E-2"/>
          <c:y val="6.3543652143933899E-2"/>
          <c:w val="0.87266062613366191"/>
          <c:h val="0.76360328756982399"/>
        </c:manualLayout>
      </c:layout>
      <c:lineChart>
        <c:grouping val="standard"/>
        <c:varyColors val="0"/>
        <c:ser>
          <c:idx val="1"/>
          <c:order val="0"/>
          <c:tx>
            <c:strRef>
              <c:f>Sheet1!$A$2</c:f>
              <c:strCache>
                <c:ptCount val="1"/>
                <c:pt idx="0">
                  <c:v>Number</c:v>
                </c:pt>
              </c:strCache>
            </c:strRef>
          </c:tx>
          <c:spPr>
            <a:ln>
              <a:solidFill>
                <a:srgbClr val="BF9000"/>
              </a:solidFill>
            </a:ln>
          </c:spPr>
          <c:marker>
            <c:spPr>
              <a:solidFill>
                <a:srgbClr val="BF9000"/>
              </a:solidFill>
              <a:ln>
                <a:solidFill>
                  <a:srgbClr val="BF9000"/>
                </a:solidFill>
              </a:ln>
            </c:spPr>
          </c:marker>
          <c:dLbls>
            <c:dLbl>
              <c:idx val="0"/>
              <c:layout>
                <c:manualLayout>
                  <c:x val="-6.4143681847338126E-3"/>
                  <c:y val="5.9701492537313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E1-40C4-8552-8A5E11315C01}"/>
                </c:ext>
              </c:extLst>
            </c:dLbl>
            <c:dLbl>
              <c:idx val="1"/>
              <c:layout>
                <c:manualLayout>
                  <c:x val="-5.5591190934359679E-2"/>
                  <c:y val="5.34188034188033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C7-475F-A037-4D4344EDC9CC}"/>
                </c:ext>
              </c:extLst>
            </c:dLbl>
            <c:dLbl>
              <c:idx val="2"/>
              <c:layout>
                <c:manualLayout>
                  <c:x val="-3.8486209108402822E-2"/>
                  <c:y val="-7.47863247863248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C7-475F-A037-4D4344EDC9CC}"/>
                </c:ext>
              </c:extLst>
            </c:dLbl>
            <c:dLbl>
              <c:idx val="3"/>
              <c:layout>
                <c:manualLayout>
                  <c:x val="-3.8486209108402822E-2"/>
                  <c:y val="-5.34188034188034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C7-475F-A037-4D4344EDC9CC}"/>
                </c:ext>
              </c:extLst>
            </c:dLbl>
            <c:spPr>
              <a:noFill/>
              <a:ln w="2535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3-E7C7-475F-A037-4D4344EDC9CC}"/>
            </c:ext>
          </c:extLst>
        </c:ser>
        <c:dLbls>
          <c:showLegendKey val="0"/>
          <c:showVal val="0"/>
          <c:showCatName val="0"/>
          <c:showSerName val="0"/>
          <c:showPercent val="0"/>
          <c:showBubbleSize val="0"/>
        </c:dLbls>
        <c:marker val="1"/>
        <c:smooth val="0"/>
        <c:axId val="179957760"/>
        <c:axId val="179959680"/>
      </c:lineChart>
      <c:catAx>
        <c:axId val="1799577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rot="0" vert="horz"/>
          <a:lstStyle/>
          <a:p>
            <a:pPr>
              <a:defRPr lang="en-GB"/>
            </a:pPr>
            <a:endParaRPr lang="ar-SA"/>
          </a:p>
        </c:txPr>
        <c:crossAx val="179959680"/>
        <c:crosses val="autoZero"/>
        <c:auto val="1"/>
        <c:lblAlgn val="ctr"/>
        <c:lblOffset val="50"/>
        <c:tickLblSkip val="1"/>
        <c:tickMarkSkip val="1"/>
        <c:noMultiLvlLbl val="0"/>
      </c:catAx>
      <c:valAx>
        <c:axId val="179959680"/>
        <c:scaling>
          <c:orientation val="minMax"/>
          <c:max val="100"/>
          <c:min val="0"/>
        </c:scaling>
        <c:delete val="0"/>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overlay val="0"/>
        </c:title>
        <c:numFmt formatCode="#,##0" sourceLinked="0"/>
        <c:majorTickMark val="out"/>
        <c:minorTickMark val="none"/>
        <c:tickLblPos val="nextTo"/>
        <c:txPr>
          <a:bodyPr rot="-60000" vert="horz"/>
          <a:lstStyle/>
          <a:p>
            <a:pPr>
              <a:defRPr lang="en-GB"/>
            </a:pPr>
            <a:endParaRPr lang="ar-SA"/>
          </a:p>
        </c:txPr>
        <c:crossAx val="179957760"/>
        <c:crosses val="autoZero"/>
        <c:crossBetween val="between"/>
        <c:majorUnit val="10"/>
      </c:valAx>
      <c:spPr>
        <a:noFill/>
        <a:ln w="25359">
          <a:noFill/>
        </a:ln>
      </c:spPr>
    </c:plotArea>
    <c:plotVisOnly val="1"/>
    <c:dispBlanksAs val="gap"/>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18668939299926"/>
          <c:y val="9.6969696969697067E-2"/>
          <c:w val="0.8885065709661808"/>
          <c:h val="0.66097637795275588"/>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dLbl>
              <c:idx val="0"/>
              <c:layout>
                <c:manualLayout>
                  <c:x val="-4.0080160320641336E-2"/>
                  <c:y val="-0.1079365079365080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30-4D20-89E8-1022718A8A21}"/>
                </c:ext>
              </c:extLst>
            </c:dLbl>
            <c:dLbl>
              <c:idx val="1"/>
              <c:layout>
                <c:manualLayout>
                  <c:x val="-4.6873098778484355E-2"/>
                  <c:y val="-9.32178477690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30-4D20-89E8-1022718A8A21}"/>
                </c:ext>
              </c:extLst>
            </c:dLbl>
            <c:dLbl>
              <c:idx val="2"/>
              <c:layout>
                <c:manualLayout>
                  <c:x val="-4.2306835894010332E-2"/>
                  <c:y val="-7.9653543307086613E-2"/>
                </c:manualLayout>
              </c:layout>
              <c:numFmt formatCode="#,##0.0" sourceLinked="0"/>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B30-4D20-89E8-1022718A8A21}"/>
                </c:ext>
              </c:extLst>
            </c:dLbl>
            <c:dLbl>
              <c:idx val="3"/>
              <c:layout>
                <c:manualLayout>
                  <c:x val="-4.8986862614117208E-2"/>
                  <c:y val="-9.5238095238095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30-4D20-89E8-1022718A8A21}"/>
                </c:ext>
              </c:extLst>
            </c:dLbl>
            <c:dLbl>
              <c:idx val="4"/>
              <c:layout>
                <c:manualLayout>
                  <c:x val="-2.6720106880427547E-2"/>
                  <c:y val="8.2539682539682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B30-4D20-89E8-1022718A8A21}"/>
                </c:ext>
              </c:extLst>
            </c:dLbl>
            <c:dLbl>
              <c:idx val="5"/>
              <c:layout>
                <c:manualLayout>
                  <c:x val="-6.6800267201068811E-2"/>
                  <c:y val="-7.619047619047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B30-4D20-89E8-1022718A8A21}"/>
                </c:ext>
              </c:extLst>
            </c:dLbl>
            <c:dLbl>
              <c:idx val="6"/>
              <c:layout>
                <c:manualLayout>
                  <c:x val="-4.4533511467379383E-2"/>
                  <c:y val="-9.5238095238095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B30-4D20-89E8-1022718A8A21}"/>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2.6</c:v>
                </c:pt>
                <c:pt idx="1">
                  <c:v>5.4</c:v>
                </c:pt>
                <c:pt idx="2">
                  <c:v>7.4</c:v>
                </c:pt>
                <c:pt idx="3">
                  <c:v>8.2000000000000011</c:v>
                </c:pt>
                <c:pt idx="4">
                  <c:v>16.100000000000001</c:v>
                </c:pt>
                <c:pt idx="5">
                  <c:v>19.600000000000001</c:v>
                </c:pt>
              </c:numCache>
            </c:numRef>
          </c:val>
          <c:smooth val="0"/>
          <c:extLst>
            <c:ext xmlns:c16="http://schemas.microsoft.com/office/drawing/2014/chart" uri="{C3380CC4-5D6E-409C-BE32-E72D297353CC}">
              <c16:uniqueId val="{00000007-3B30-4D20-89E8-1022718A8A21}"/>
            </c:ext>
          </c:extLst>
        </c:ser>
        <c:dLbls>
          <c:showLegendKey val="0"/>
          <c:showVal val="0"/>
          <c:showCatName val="0"/>
          <c:showSerName val="0"/>
          <c:showPercent val="0"/>
          <c:showBubbleSize val="0"/>
        </c:dLbls>
        <c:marker val="1"/>
        <c:smooth val="0"/>
        <c:axId val="180163712"/>
        <c:axId val="180165632"/>
      </c:lineChart>
      <c:catAx>
        <c:axId val="18016371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endParaRPr lang="ar-JO"/>
              </a:p>
            </c:rich>
          </c:tx>
          <c:layout>
            <c:manualLayout>
              <c:xMode val="edge"/>
              <c:yMode val="edge"/>
              <c:x val="0.51169741056917095"/>
              <c:y val="0.88667616547931449"/>
            </c:manualLayout>
          </c:layout>
          <c:overlay val="0"/>
        </c:title>
        <c:numFmt formatCode="General" sourceLinked="1"/>
        <c:majorTickMark val="out"/>
        <c:minorTickMark val="none"/>
        <c:tickLblPos val="nextTo"/>
        <c:txPr>
          <a:bodyPr/>
          <a:lstStyle/>
          <a:p>
            <a:pPr>
              <a:defRPr lang="en-GB"/>
            </a:pPr>
            <a:endParaRPr lang="ar-SA"/>
          </a:p>
        </c:txPr>
        <c:crossAx val="180165632"/>
        <c:crosses val="autoZero"/>
        <c:auto val="1"/>
        <c:lblAlgn val="ctr"/>
        <c:lblOffset val="100"/>
        <c:noMultiLvlLbl val="0"/>
      </c:catAx>
      <c:valAx>
        <c:axId val="18016563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Watt/capita</a:t>
                </a:r>
                <a:endParaRPr lang="ar-JO"/>
              </a:p>
            </c:rich>
          </c:tx>
          <c:layout>
            <c:manualLayout>
              <c:xMode val="edge"/>
              <c:yMode val="edge"/>
              <c:x val="1.0333896426343298E-2"/>
              <c:y val="0.33558505186851673"/>
            </c:manualLayout>
          </c:layout>
          <c:overlay val="0"/>
        </c:title>
        <c:numFmt formatCode="#,##0.0" sourceLinked="0"/>
        <c:majorTickMark val="out"/>
        <c:minorTickMark val="none"/>
        <c:tickLblPos val="nextTo"/>
        <c:txPr>
          <a:bodyPr/>
          <a:lstStyle/>
          <a:p>
            <a:pPr>
              <a:defRPr lang="en-GB"/>
            </a:pPr>
            <a:endParaRPr lang="ar-SA"/>
          </a:p>
        </c:txPr>
        <c:crossAx val="180163712"/>
        <c:crosses val="autoZero"/>
        <c:crossBetween val="between"/>
      </c:valAx>
    </c:plotArea>
    <c:plotVisOnly val="1"/>
    <c:dispBlanksAs val="gap"/>
    <c:showDLblsOverMax val="0"/>
  </c:chart>
  <c:spPr>
    <a:ln>
      <a:solidFill>
        <a:sysClr val="windowText" lastClr="000000"/>
      </a:solid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54399291599024"/>
          <c:y val="7.8863119910470583E-2"/>
          <c:w val="0.85865174291230162"/>
          <c:h val="0.69766215931869269"/>
        </c:manualLayout>
      </c:layout>
      <c:lineChart>
        <c:grouping val="standard"/>
        <c:varyColors val="0"/>
        <c:ser>
          <c:idx val="1"/>
          <c:order val="0"/>
          <c:dLbls>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Sheet1!$B$1:$E$1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C504-4C17-A09E-700490963388}"/>
            </c:ext>
          </c:extLst>
        </c:ser>
        <c:ser>
          <c:idx val="0"/>
          <c:order val="1"/>
          <c:marker>
            <c:spPr>
              <a:solidFill>
                <a:srgbClr val="E33332"/>
              </a:solidFill>
            </c:spPr>
          </c:marker>
          <c:dPt>
            <c:idx val="0"/>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2-C504-4C17-A09E-700490963388}"/>
              </c:ext>
            </c:extLst>
          </c:dPt>
          <c:dPt>
            <c:idx val="1"/>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4-C504-4C17-A09E-700490963388}"/>
              </c:ext>
            </c:extLst>
          </c:dPt>
          <c:dPt>
            <c:idx val="2"/>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6-C504-4C17-A09E-700490963388}"/>
              </c:ext>
            </c:extLst>
          </c:dPt>
          <c:dPt>
            <c:idx val="3"/>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8-C504-4C17-A09E-700490963388}"/>
              </c:ext>
            </c:extLst>
          </c:dPt>
          <c:dLbls>
            <c:dLbl>
              <c:idx val="0"/>
              <c:layout>
                <c:manualLayout>
                  <c:x val="-2.4097877748034319E-2"/>
                  <c:y val="-8.24372876184999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504-4C17-A09E-700490963388}"/>
                </c:ext>
              </c:extLst>
            </c:dLbl>
            <c:dLbl>
              <c:idx val="1"/>
              <c:layout>
                <c:manualLayout>
                  <c:x val="-4.6005039337154816E-2"/>
                  <c:y val="-6.69802961900343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504-4C17-A09E-700490963388}"/>
                </c:ext>
              </c:extLst>
            </c:dLbl>
            <c:dLbl>
              <c:idx val="2"/>
              <c:layout>
                <c:manualLayout>
                  <c:x val="-4.3814323178242714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504-4C17-A09E-700490963388}"/>
                </c:ext>
              </c:extLst>
            </c:dLbl>
            <c:dLbl>
              <c:idx val="3"/>
              <c:layout>
                <c:manualLayout>
                  <c:x val="-5.0386471654981307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504-4C17-A09E-700490963388}"/>
                </c:ext>
              </c:extLst>
            </c:dLbl>
            <c:dLbl>
              <c:idx val="4"/>
              <c:layout>
                <c:manualLayout>
                  <c:x val="-5.6958620131715522E-2"/>
                  <c:y val="-0.108198939999286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504-4C17-A09E-700490963388}"/>
                </c:ext>
              </c:extLst>
            </c:dLbl>
            <c:dLbl>
              <c:idx val="5"/>
              <c:layout>
                <c:manualLayout>
                  <c:x val="-6.5721484767364058E-2"/>
                  <c:y val="-7.7284957142347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504-4C17-A09E-700490963388}"/>
                </c:ext>
              </c:extLst>
            </c:dLbl>
            <c:dLbl>
              <c:idx val="6"/>
              <c:layout>
                <c:manualLayout>
                  <c:x val="-6.3530768608451915E-2"/>
                  <c:y val="-9.2741948570817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504-4C17-A09E-700490963388}"/>
                </c:ext>
              </c:extLst>
            </c:dLbl>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#,##0.00</c:formatCode>
                <c:ptCount val="4"/>
                <c:pt idx="0">
                  <c:v>1.02</c:v>
                </c:pt>
                <c:pt idx="1">
                  <c:v>1.87</c:v>
                </c:pt>
                <c:pt idx="2">
                  <c:v>1.42</c:v>
                </c:pt>
                <c:pt idx="3">
                  <c:v>2.0000000000000011E-2</c:v>
                </c:pt>
              </c:numCache>
            </c:numRef>
          </c:val>
          <c:smooth val="0"/>
          <c:extLst>
            <c:ext xmlns:c16="http://schemas.microsoft.com/office/drawing/2014/chart" uri="{C3380CC4-5D6E-409C-BE32-E72D297353CC}">
              <c16:uniqueId val="{0000000C-C504-4C17-A09E-700490963388}"/>
            </c:ext>
          </c:extLst>
        </c:ser>
        <c:dLbls>
          <c:showLegendKey val="0"/>
          <c:showVal val="0"/>
          <c:showCatName val="0"/>
          <c:showSerName val="0"/>
          <c:showPercent val="0"/>
          <c:showBubbleSize val="0"/>
        </c:dLbls>
        <c:marker val="1"/>
        <c:smooth val="0"/>
        <c:axId val="180048256"/>
        <c:axId val="180050176"/>
      </c:lineChart>
      <c:catAx>
        <c:axId val="1800482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rot="0" vert="horz"/>
          <a:lstStyle/>
          <a:p>
            <a:pPr>
              <a:defRPr lang="en-GB"/>
            </a:pPr>
            <a:endParaRPr lang="ar-SA"/>
          </a:p>
        </c:txPr>
        <c:crossAx val="180050176"/>
        <c:crosses val="autoZero"/>
        <c:auto val="1"/>
        <c:lblAlgn val="ctr"/>
        <c:lblOffset val="50"/>
        <c:tickLblSkip val="1"/>
        <c:tickMarkSkip val="1"/>
        <c:noMultiLvlLbl val="0"/>
      </c:catAx>
      <c:valAx>
        <c:axId val="180050176"/>
        <c:scaling>
          <c:orientation val="minMax"/>
          <c:max val="2"/>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00" sourceLinked="0"/>
        <c:majorTickMark val="out"/>
        <c:minorTickMark val="none"/>
        <c:tickLblPos val="nextTo"/>
        <c:txPr>
          <a:bodyPr rot="-60000" vert="horz"/>
          <a:lstStyle/>
          <a:p>
            <a:pPr>
              <a:defRPr lang="en-GB"/>
            </a:pPr>
            <a:endParaRPr lang="ar-SA"/>
          </a:p>
        </c:txPr>
        <c:crossAx val="180048256"/>
        <c:crosses val="autoZero"/>
        <c:crossBetween val="between"/>
        <c:majorUnit val="0.2"/>
        <c:minorUnit val="0.2"/>
      </c:valAx>
      <c:spPr>
        <a:noFill/>
        <a:ln w="25412">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3685521885521891E-2"/>
          <c:y val="0.15516872890888617"/>
          <c:w val="0.88401666666666656"/>
          <c:h val="0.67695985234622313"/>
        </c:manualLayout>
      </c:layout>
      <c:barChart>
        <c:barDir val="col"/>
        <c:grouping val="clustered"/>
        <c:varyColors val="0"/>
        <c:ser>
          <c:idx val="0"/>
          <c:order val="0"/>
          <c:tx>
            <c:strRef>
              <c:f>Sheet1!$B$1</c:f>
              <c:strCache>
                <c:ptCount val="1"/>
                <c:pt idx="0">
                  <c:v>Palestine</c:v>
                </c:pt>
              </c:strCache>
            </c:strRef>
          </c:tx>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1.4</c:v>
                </c:pt>
                <c:pt idx="1">
                  <c:v>1.4</c:v>
                </c:pt>
                <c:pt idx="2">
                  <c:v>1.2</c:v>
                </c:pt>
                <c:pt idx="3">
                  <c:v>1.3</c:v>
                </c:pt>
              </c:numCache>
            </c:numRef>
          </c:val>
          <c:extLst>
            <c:ext xmlns:c16="http://schemas.microsoft.com/office/drawing/2014/chart" uri="{C3380CC4-5D6E-409C-BE32-E72D297353CC}">
              <c16:uniqueId val="{00000000-1487-4902-86D0-2BBE0765F5AB}"/>
            </c:ext>
          </c:extLst>
        </c:ser>
        <c:ser>
          <c:idx val="1"/>
          <c:order val="1"/>
          <c:tx>
            <c:strRef>
              <c:f>Sheet1!$C$1</c:f>
              <c:strCache>
                <c:ptCount val="1"/>
                <c:pt idx="0">
                  <c:v>West Bank</c:v>
                </c:pt>
              </c:strCache>
            </c:strRef>
          </c:tx>
          <c:spPr>
            <a:solidFill>
              <a:srgbClr val="C0504D">
                <a:lumMod val="50000"/>
              </a:srgbClr>
            </a:solidFill>
          </c:spPr>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1.5</c:v>
                </c:pt>
                <c:pt idx="1">
                  <c:v>1.7</c:v>
                </c:pt>
                <c:pt idx="2">
                  <c:v>1.7</c:v>
                </c:pt>
                <c:pt idx="3">
                  <c:v>1.7</c:v>
                </c:pt>
              </c:numCache>
            </c:numRef>
          </c:val>
          <c:extLst>
            <c:ext xmlns:c16="http://schemas.microsoft.com/office/drawing/2014/chart" uri="{C3380CC4-5D6E-409C-BE32-E72D297353CC}">
              <c16:uniqueId val="{00000001-1487-4902-86D0-2BBE0765F5AB}"/>
            </c:ext>
          </c:extLst>
        </c:ser>
        <c:ser>
          <c:idx val="2"/>
          <c:order val="2"/>
          <c:tx>
            <c:strRef>
              <c:f>Sheet1!$D$1</c:f>
              <c:strCache>
                <c:ptCount val="1"/>
                <c:pt idx="0">
                  <c:v>Gaza strip</c:v>
                </c:pt>
              </c:strCache>
            </c:strRef>
          </c:tx>
          <c:spPr>
            <a:solidFill>
              <a:srgbClr val="9BBB59">
                <a:lumMod val="60000"/>
                <a:lumOff val="40000"/>
              </a:srgbClr>
            </a:solidFill>
          </c:spPr>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Sheet1!$D$2:$D$5</c:f>
              <c:numCache>
                <c:formatCode>General</c:formatCode>
                <c:ptCount val="4"/>
                <c:pt idx="0">
                  <c:v>1.4</c:v>
                </c:pt>
                <c:pt idx="1">
                  <c:v>1.2</c:v>
                </c:pt>
                <c:pt idx="2">
                  <c:v>0.70000000000000051</c:v>
                </c:pt>
                <c:pt idx="3">
                  <c:v>0.8</c:v>
                </c:pt>
              </c:numCache>
            </c:numRef>
          </c:val>
          <c:extLst>
            <c:ext xmlns:c16="http://schemas.microsoft.com/office/drawing/2014/chart" uri="{C3380CC4-5D6E-409C-BE32-E72D297353CC}">
              <c16:uniqueId val="{00000002-1487-4902-86D0-2BBE0765F5AB}"/>
            </c:ext>
          </c:extLst>
        </c:ser>
        <c:dLbls>
          <c:showLegendKey val="0"/>
          <c:showVal val="0"/>
          <c:showCatName val="0"/>
          <c:showSerName val="0"/>
          <c:showPercent val="0"/>
          <c:showBubbleSize val="0"/>
        </c:dLbls>
        <c:gapWidth val="150"/>
        <c:axId val="191830272"/>
        <c:axId val="191852928"/>
      </c:barChart>
      <c:catAx>
        <c:axId val="1918302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1852928"/>
        <c:crosses val="autoZero"/>
        <c:auto val="1"/>
        <c:lblAlgn val="ctr"/>
        <c:lblOffset val="100"/>
        <c:noMultiLvlLbl val="0"/>
      </c:catAx>
      <c:valAx>
        <c:axId val="191852928"/>
        <c:scaling>
          <c:orientation val="minMax"/>
          <c:max val="3"/>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191830272"/>
        <c:crosses val="autoZero"/>
        <c:crossBetween val="between"/>
        <c:majorUnit val="1"/>
        <c:minorUnit val="1"/>
      </c:valAx>
      <c:spPr>
        <a:ln>
          <a:noFill/>
        </a:ln>
      </c:spPr>
    </c:plotArea>
    <c:legend>
      <c:legendPos val="t"/>
      <c:overlay val="1"/>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33892125116113"/>
          <c:y val="6.3543652143933899E-2"/>
          <c:w val="0.86304612419589466"/>
          <c:h val="0.77464288202914433"/>
        </c:manualLayout>
      </c:layout>
      <c:lineChart>
        <c:grouping val="standard"/>
        <c:varyColors val="0"/>
        <c:ser>
          <c:idx val="1"/>
          <c:order val="0"/>
          <c:dLbls>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Sheet1!$B$1:$E$1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F1A1-4018-9FCA-CFB8C3CC3F77}"/>
            </c:ext>
          </c:extLst>
        </c:ser>
        <c:ser>
          <c:idx val="0"/>
          <c:order val="1"/>
          <c:spPr>
            <a:ln>
              <a:solidFill>
                <a:srgbClr val="E33332"/>
              </a:solidFill>
            </a:ln>
          </c:spPr>
          <c:marker>
            <c:spPr>
              <a:solidFill>
                <a:srgbClr val="E33332"/>
              </a:solidFill>
              <a:ln>
                <a:solidFill>
                  <a:srgbClr val="E33332"/>
                </a:solidFill>
              </a:ln>
            </c:spPr>
          </c:marker>
          <c:dLbls>
            <c:dLbl>
              <c:idx val="0"/>
              <c:layout>
                <c:manualLayout>
                  <c:x val="-3.8903494467198714E-2"/>
                  <c:y val="-7.4114508936387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1A1-4018-9FCA-CFB8C3CC3F77}"/>
                </c:ext>
              </c:extLst>
            </c:dLbl>
            <c:dLbl>
              <c:idx val="1"/>
              <c:layout>
                <c:manualLayout>
                  <c:x val="-3.661505361618704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1A1-4018-9FCA-CFB8C3CC3F77}"/>
                </c:ext>
              </c:extLst>
            </c:dLbl>
            <c:dLbl>
              <c:idx val="2"/>
              <c:layout>
                <c:manualLayout>
                  <c:x val="-4.3480376169222089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1A1-4018-9FCA-CFB8C3CC3F77}"/>
                </c:ext>
              </c:extLst>
            </c:dLbl>
            <c:dLbl>
              <c:idx val="3"/>
              <c:layout>
                <c:manualLayout>
                  <c:x val="-3.4590525387986196E-2"/>
                  <c:y val="-6.1745464840767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1A1-4018-9FCA-CFB8C3CC3F77}"/>
                </c:ext>
              </c:extLst>
            </c:dLbl>
            <c:dLbl>
              <c:idx val="4"/>
              <c:layout>
                <c:manualLayout>
                  <c:x val="-5.2634139573268852E-2"/>
                  <c:y val="-7.4114508936387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1A1-4018-9FCA-CFB8C3CC3F77}"/>
                </c:ext>
              </c:extLst>
            </c:dLbl>
            <c:dLbl>
              <c:idx val="5"/>
              <c:layout>
                <c:manualLayout>
                  <c:x val="-1.8307526808093513E-2"/>
                  <c:y val="-6.2712276792329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1A1-4018-9FCA-CFB8C3CC3F77}"/>
                </c:ext>
              </c:extLst>
            </c:dLbl>
            <c:dLbl>
              <c:idx val="6"/>
              <c:layout>
                <c:manualLayout>
                  <c:x val="-3.8903494467198714E-2"/>
                  <c:y val="-8.55167410804467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1A1-4018-9FCA-CFB8C3CC3F77}"/>
                </c:ext>
              </c:extLst>
            </c:dLbl>
            <c:dLbl>
              <c:idx val="7"/>
              <c:layout>
                <c:manualLayout>
                  <c:x val="-7.551854808338572E-2"/>
                  <c:y val="-0.1083212053685662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1A1-4018-9FCA-CFB8C3CC3F77}"/>
                </c:ext>
              </c:extLst>
            </c:dLbl>
            <c:dLbl>
              <c:idx val="8"/>
              <c:layout>
                <c:manualLayout>
                  <c:x val="-4.5768817020234123E-2"/>
                  <c:y val="-5.131004464826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1A1-4018-9FCA-CFB8C3CC3F77}"/>
                </c:ext>
              </c:extLst>
            </c:dLbl>
            <c:numFmt formatCode="#,##0.0" sourceLinked="0"/>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A-F1A1-4018-9FCA-CFB8C3CC3F77}"/>
            </c:ext>
          </c:extLst>
        </c:ser>
        <c:dLbls>
          <c:showLegendKey val="0"/>
          <c:showVal val="0"/>
          <c:showCatName val="0"/>
          <c:showSerName val="0"/>
          <c:showPercent val="0"/>
          <c:showBubbleSize val="0"/>
        </c:dLbls>
        <c:marker val="1"/>
        <c:smooth val="0"/>
        <c:axId val="180285440"/>
        <c:axId val="180287360"/>
      </c:lineChart>
      <c:catAx>
        <c:axId val="18028544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rot="0" vert="horz"/>
          <a:lstStyle/>
          <a:p>
            <a:pPr>
              <a:defRPr lang="en-GB"/>
            </a:pPr>
            <a:endParaRPr lang="ar-SA"/>
          </a:p>
        </c:txPr>
        <c:crossAx val="180287360"/>
        <c:crosses val="autoZero"/>
        <c:auto val="1"/>
        <c:lblAlgn val="ctr"/>
        <c:lblOffset val="50"/>
        <c:tickLblSkip val="1"/>
        <c:tickMarkSkip val="1"/>
        <c:noMultiLvlLbl val="0"/>
      </c:catAx>
      <c:valAx>
        <c:axId val="180287360"/>
        <c:scaling>
          <c:orientation val="minMax"/>
          <c:max val="100"/>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 sourceLinked="0"/>
        <c:majorTickMark val="out"/>
        <c:minorTickMark val="none"/>
        <c:tickLblPos val="nextTo"/>
        <c:txPr>
          <a:bodyPr rot="-60000" vert="horz"/>
          <a:lstStyle/>
          <a:p>
            <a:pPr>
              <a:defRPr lang="en-GB"/>
            </a:pPr>
            <a:endParaRPr lang="ar-SA"/>
          </a:p>
        </c:txPr>
        <c:crossAx val="180285440"/>
        <c:crosses val="autoZero"/>
        <c:crossBetween val="between"/>
        <c:majorUnit val="10"/>
      </c:valAx>
      <c:spPr>
        <a:noFill/>
        <a:ln w="25406">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864943229500706E-2"/>
          <c:y val="6.3795488846014534E-2"/>
          <c:w val="0.86430657371399611"/>
          <c:h val="0.77787599663251628"/>
        </c:manualLayout>
      </c:layout>
      <c:lineChart>
        <c:grouping val="standard"/>
        <c:varyColors val="0"/>
        <c:ser>
          <c:idx val="0"/>
          <c:order val="0"/>
          <c:tx>
            <c:strRef>
              <c:f>Sheet1!$A$2</c:f>
              <c:strCache>
                <c:ptCount val="1"/>
                <c:pt idx="0">
                  <c:v>المبالغ </c:v>
                </c:pt>
              </c:strCache>
            </c:strRef>
          </c:tx>
          <c:spPr>
            <a:ln>
              <a:solidFill>
                <a:srgbClr val="4CA33E"/>
              </a:solidFill>
            </a:ln>
          </c:spPr>
          <c:marker>
            <c:spPr>
              <a:solidFill>
                <a:srgbClr val="4CA33E"/>
              </a:solidFill>
              <a:ln>
                <a:solidFill>
                  <a:srgbClr val="4CA33E"/>
                </a:solidFill>
              </a:ln>
            </c:spPr>
          </c:marker>
          <c:dLbls>
            <c:dLbl>
              <c:idx val="0"/>
              <c:layout>
                <c:manualLayout>
                  <c:x val="-5.5106899574748333E-2"/>
                  <c:y val="-0.1056356437714222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E28-4D55-8E2F-311C25F482D5}"/>
                </c:ext>
              </c:extLst>
            </c:dLbl>
            <c:dLbl>
              <c:idx val="1"/>
              <c:layout>
                <c:manualLayout>
                  <c:x val="-4.4085519659798733E-2"/>
                  <c:y val="-0.1131810468979479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E28-4D55-8E2F-311C25F482D5}"/>
                </c:ext>
              </c:extLst>
            </c:dLbl>
            <c:dLbl>
              <c:idx val="2"/>
              <c:layout>
                <c:manualLayout>
                  <c:x val="-4.6289795642788546E-2"/>
                  <c:y val="-0.1282718531510078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E28-4D55-8E2F-311C25F482D5}"/>
                </c:ext>
              </c:extLst>
            </c:dLbl>
            <c:dLbl>
              <c:idx val="3"/>
              <c:layout>
                <c:manualLayout>
                  <c:x val="-5.5106899574748333E-2"/>
                  <c:y val="-9.0544837518358526E-2"/>
                </c:manualLayout>
              </c:layout>
              <c:tx>
                <c:rich>
                  <a:bodyPr/>
                  <a:lstStyle/>
                  <a:p>
                    <a:r>
                      <a:rPr lang="en-US"/>
                      <a:t>54.05</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E28-4D55-8E2F-311C25F482D5}"/>
                </c:ext>
              </c:extLst>
            </c:dLbl>
            <c:dLbl>
              <c:idx val="4"/>
              <c:layout>
                <c:manualLayout>
                  <c:x val="-3.7472691710828815E-2"/>
                  <c:y val="-7.54540312652989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28-4D55-8E2F-311C25F482D5}"/>
                </c:ext>
              </c:extLst>
            </c:dLbl>
            <c:dLbl>
              <c:idx val="5"/>
              <c:layout>
                <c:manualLayout>
                  <c:x val="-3.5268415727838912E-2"/>
                  <c:y val="-9.8090240644888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E28-4D55-8E2F-311C25F482D5}"/>
                </c:ext>
              </c:extLst>
            </c:dLbl>
            <c:dLbl>
              <c:idx val="6"/>
              <c:layout>
                <c:manualLayout>
                  <c:x val="-1.1035071376157309E-2"/>
                  <c:y val="5.95602748695740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E28-4D55-8E2F-311C25F482D5}"/>
                </c:ext>
              </c:extLst>
            </c:dLbl>
            <c:dLbl>
              <c:idx val="7"/>
              <c:layout>
                <c:manualLayout>
                  <c:x val="-6.1687596386869346E-2"/>
                  <c:y val="-4.80336235364755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E28-4D55-8E2F-311C25F482D5}"/>
                </c:ext>
              </c:extLst>
            </c:dLbl>
            <c:numFmt formatCode="#,##0.0" sourceLinked="0"/>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General</c:formatCode>
                <c:ptCount val="4"/>
                <c:pt idx="0" formatCode="#,##0.00">
                  <c:v>21</c:v>
                </c:pt>
                <c:pt idx="1">
                  <c:v>15.9</c:v>
                </c:pt>
                <c:pt idx="2">
                  <c:v>16.899999999999999</c:v>
                </c:pt>
                <c:pt idx="3">
                  <c:v>54.05</c:v>
                </c:pt>
              </c:numCache>
            </c:numRef>
          </c:val>
          <c:smooth val="0"/>
          <c:extLst>
            <c:ext xmlns:c16="http://schemas.microsoft.com/office/drawing/2014/chart" uri="{C3380CC4-5D6E-409C-BE32-E72D297353CC}">
              <c16:uniqueId val="{00000008-DE28-4D55-8E2F-311C25F482D5}"/>
            </c:ext>
          </c:extLst>
        </c:ser>
        <c:dLbls>
          <c:showLegendKey val="0"/>
          <c:showVal val="0"/>
          <c:showCatName val="0"/>
          <c:showSerName val="0"/>
          <c:showPercent val="0"/>
          <c:showBubbleSize val="0"/>
        </c:dLbls>
        <c:marker val="1"/>
        <c:smooth val="0"/>
        <c:axId val="180520064"/>
        <c:axId val="180521984"/>
      </c:lineChart>
      <c:catAx>
        <c:axId val="18052006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rot="0" vert="horz"/>
          <a:lstStyle/>
          <a:p>
            <a:pPr>
              <a:defRPr lang="en-GB"/>
            </a:pPr>
            <a:endParaRPr lang="ar-SA"/>
          </a:p>
        </c:txPr>
        <c:crossAx val="180521984"/>
        <c:crosses val="autoZero"/>
        <c:auto val="1"/>
        <c:lblAlgn val="ctr"/>
        <c:lblOffset val="50"/>
        <c:tickLblSkip val="1"/>
        <c:tickMarkSkip val="1"/>
        <c:noMultiLvlLbl val="0"/>
      </c:catAx>
      <c:valAx>
        <c:axId val="180521984"/>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USD Million</a:t>
                </a:r>
              </a:p>
            </c:rich>
          </c:tx>
          <c:overlay val="0"/>
        </c:title>
        <c:numFmt formatCode="#,##0" sourceLinked="0"/>
        <c:majorTickMark val="out"/>
        <c:minorTickMark val="none"/>
        <c:tickLblPos val="nextTo"/>
        <c:txPr>
          <a:bodyPr rot="-60000" vert="horz"/>
          <a:lstStyle/>
          <a:p>
            <a:pPr>
              <a:defRPr lang="en-GB"/>
            </a:pPr>
            <a:endParaRPr lang="ar-SA"/>
          </a:p>
        </c:txPr>
        <c:crossAx val="180520064"/>
        <c:crosses val="autoZero"/>
        <c:crossBetween val="between"/>
        <c:majorUnit val="5"/>
        <c:minorUnit val="5"/>
      </c:valAx>
      <c:spPr>
        <a:noFill/>
        <a:ln w="25403">
          <a:noFill/>
        </a:ln>
      </c:spPr>
    </c:plotArea>
    <c:plotVisOnly val="1"/>
    <c:dispBlanksAs val="gap"/>
    <c:showDLblsOverMax val="0"/>
  </c:chart>
  <c:spPr>
    <a:no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647747156605746E-2"/>
          <c:y val="0.10348237720284964"/>
          <c:w val="0.88925721784776857"/>
          <c:h val="0.72789819454390026"/>
        </c:manualLayout>
      </c:layout>
      <c:lineChart>
        <c:grouping val="standard"/>
        <c:varyColors val="0"/>
        <c:ser>
          <c:idx val="0"/>
          <c:order val="0"/>
          <c:tx>
            <c:strRef>
              <c:f>Sheet1!$B$1</c:f>
              <c:strCache>
                <c:ptCount val="1"/>
                <c:pt idx="0">
                  <c:v>West Bank</c:v>
                </c:pt>
              </c:strCache>
            </c:strRef>
          </c:tx>
          <c:spPr>
            <a:ln>
              <a:solidFill>
                <a:srgbClr val="304D73"/>
              </a:solidFill>
            </a:ln>
          </c:spPr>
          <c:marker>
            <c:symbol val="none"/>
          </c:marker>
          <c:dLbls>
            <c:dLbl>
              <c:idx val="2"/>
              <c:layout>
                <c:manualLayout>
                  <c:x val="-4.1666666666666623E-2"/>
                  <c:y val="4.76190476190477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340-42D9-A36A-515DA8FA76A3}"/>
                </c:ext>
              </c:extLst>
            </c:dLbl>
            <c:dLbl>
              <c:idx val="3"/>
              <c:layout>
                <c:manualLayout>
                  <c:x val="-9.2593252075340148E-3"/>
                  <c:y val="8.0104361616411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40-42D9-A36A-515DA8FA76A3}"/>
                </c:ext>
              </c:extLst>
            </c:dLbl>
            <c:dLbl>
              <c:idx val="4"/>
              <c:layout>
                <c:manualLayout>
                  <c:x val="4.6296296296297074E-3"/>
                  <c:y val="3.57142857142857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340-42D9-A36A-515DA8FA76A3}"/>
                </c:ext>
              </c:extLst>
            </c:dLbl>
            <c:dLbl>
              <c:idx val="5"/>
              <c:layout>
                <c:manualLayout>
                  <c:x val="7.141156867412346E-3"/>
                  <c:y val="-5.5884607344441331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CA9-4371-A6B8-1DB11B719441}"/>
                </c:ext>
              </c:extLst>
            </c:dLbl>
            <c:dLbl>
              <c:idx val="6"/>
              <c:layout>
                <c:manualLayout>
                  <c:x val="0"/>
                  <c:y val="-8.84955752212389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4E2-48DB-8889-8DFFD8909220}"/>
                </c:ext>
              </c:extLst>
            </c:dLbl>
            <c:dLbl>
              <c:idx val="7"/>
              <c:layout>
                <c:manualLayout>
                  <c:x val="9.2592592592598069E-3"/>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40-42D9-A36A-515DA8FA76A3}"/>
                </c:ext>
              </c:extLst>
            </c:dLbl>
            <c:dLbl>
              <c:idx val="9"/>
              <c:layout>
                <c:manualLayout>
                  <c:x val="-1.6581166463927891E-2"/>
                  <c:y val="-8.7676973513124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340-42D9-A36A-515DA8FA76A3}"/>
                </c:ext>
              </c:extLst>
            </c:dLbl>
            <c:dLbl>
              <c:idx val="11"/>
              <c:layout>
                <c:manualLayout>
                  <c:x val="0"/>
                  <c:y val="-4.33134813210612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340-42D9-A36A-515DA8FA76A3}"/>
                </c:ext>
              </c:extLst>
            </c:dLbl>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0.0</c:formatCode>
                <c:ptCount val="8"/>
                <c:pt idx="0">
                  <c:v>1.204980909085797</c:v>
                </c:pt>
                <c:pt idx="1">
                  <c:v>0.74848117412272097</c:v>
                </c:pt>
                <c:pt idx="2">
                  <c:v>0.93090403581808423</c:v>
                </c:pt>
                <c:pt idx="3">
                  <c:v>0.64485684936599197</c:v>
                </c:pt>
                <c:pt idx="4">
                  <c:v>0.59361801274497872</c:v>
                </c:pt>
                <c:pt idx="5">
                  <c:v>0.65328639349617101</c:v>
                </c:pt>
                <c:pt idx="6">
                  <c:v>1.2073846486013515</c:v>
                </c:pt>
                <c:pt idx="7">
                  <c:v>1.1468914203138103</c:v>
                </c:pt>
              </c:numCache>
            </c:numRef>
          </c:val>
          <c:smooth val="0"/>
          <c:extLst>
            <c:ext xmlns:c16="http://schemas.microsoft.com/office/drawing/2014/chart" uri="{C3380CC4-5D6E-409C-BE32-E72D297353CC}">
              <c16:uniqueId val="{00000006-A340-42D9-A36A-515DA8FA76A3}"/>
            </c:ext>
          </c:extLst>
        </c:ser>
        <c:dLbls>
          <c:showLegendKey val="0"/>
          <c:showVal val="0"/>
          <c:showCatName val="0"/>
          <c:showSerName val="0"/>
          <c:showPercent val="0"/>
          <c:showBubbleSize val="0"/>
        </c:dLbls>
        <c:smooth val="0"/>
        <c:axId val="180549504"/>
        <c:axId val="179212288"/>
      </c:lineChart>
      <c:catAx>
        <c:axId val="18054950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212288"/>
        <c:crosses val="autoZero"/>
        <c:auto val="1"/>
        <c:lblAlgn val="ctr"/>
        <c:lblOffset val="100"/>
        <c:noMultiLvlLbl val="0"/>
      </c:catAx>
      <c:valAx>
        <c:axId val="17921228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054950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284191919191918"/>
          <c:y val="0.19070695431363763"/>
          <c:w val="0.8866639627417795"/>
          <c:h val="0.56240061455732671"/>
        </c:manualLayout>
      </c:layout>
      <c:barChart>
        <c:barDir val="col"/>
        <c:grouping val="clustered"/>
        <c:varyColors val="0"/>
        <c:ser>
          <c:idx val="0"/>
          <c:order val="0"/>
          <c:tx>
            <c:strRef>
              <c:f>Sheet1!$B$1</c:f>
              <c:strCache>
                <c:ptCount val="1"/>
                <c:pt idx="0">
                  <c:v>Column1</c:v>
                </c:pt>
              </c:strCache>
            </c:strRef>
          </c:tx>
          <c:spPr>
            <a:solidFill>
              <a:srgbClr val="4F81BD">
                <a:lumMod val="60000"/>
                <a:lumOff val="40000"/>
              </a:srgbClr>
            </a:solidFill>
          </c:spPr>
          <c:invertIfNegative val="0"/>
          <c:dLbls>
            <c:numFmt formatCode="#,##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General</c:formatCode>
                <c:ptCount val="8"/>
                <c:pt idx="0">
                  <c:v>30</c:v>
                </c:pt>
                <c:pt idx="1">
                  <c:v>19</c:v>
                </c:pt>
                <c:pt idx="2">
                  <c:v>24</c:v>
                </c:pt>
                <c:pt idx="3">
                  <c:v>17</c:v>
                </c:pt>
                <c:pt idx="4">
                  <c:v>16</c:v>
                </c:pt>
                <c:pt idx="5">
                  <c:v>18</c:v>
                </c:pt>
                <c:pt idx="6">
                  <c:v>34</c:v>
                </c:pt>
                <c:pt idx="7">
                  <c:v>33</c:v>
                </c:pt>
              </c:numCache>
            </c:numRef>
          </c:val>
          <c:extLst>
            <c:ext xmlns:c16="http://schemas.microsoft.com/office/drawing/2014/chart" uri="{C3380CC4-5D6E-409C-BE32-E72D297353CC}">
              <c16:uniqueId val="{00000000-3FF8-4C22-B5AF-35BC0BFE0672}"/>
            </c:ext>
          </c:extLst>
        </c:ser>
        <c:dLbls>
          <c:showLegendKey val="0"/>
          <c:showVal val="0"/>
          <c:showCatName val="0"/>
          <c:showSerName val="0"/>
          <c:showPercent val="0"/>
          <c:showBubbleSize val="0"/>
        </c:dLbls>
        <c:gapWidth val="150"/>
        <c:axId val="180602368"/>
        <c:axId val="180604288"/>
      </c:barChart>
      <c:catAx>
        <c:axId val="180602368"/>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0604288"/>
        <c:crosses val="autoZero"/>
        <c:auto val="1"/>
        <c:lblAlgn val="ctr"/>
        <c:lblOffset val="100"/>
        <c:noMultiLvlLbl val="0"/>
      </c:catAx>
      <c:valAx>
        <c:axId val="180604288"/>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Number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0602368"/>
        <c:crosses val="autoZero"/>
        <c:crossBetween val="between"/>
      </c:valAx>
    </c:plotArea>
    <c:plotVisOnly val="1"/>
    <c:dispBlanksAs val="gap"/>
    <c:showDLblsOverMax val="0"/>
  </c:chart>
  <c:spPr>
    <a:ln>
      <a:noFill/>
    </a:ln>
  </c:spPr>
  <c:externalData r:id="rId2">
    <c:autoUpdate val="0"/>
  </c:externalData>
</c:chartSpace>
</file>

<file path=word/charts/chart1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647747156605746E-2"/>
          <c:y val="0.10348237720284964"/>
          <c:w val="0.88925721784776857"/>
          <c:h val="0.72789819454390026"/>
        </c:manualLayout>
      </c:layout>
      <c:lineChart>
        <c:grouping val="standard"/>
        <c:varyColors val="0"/>
        <c:ser>
          <c:idx val="0"/>
          <c:order val="0"/>
          <c:tx>
            <c:strRef>
              <c:f>Sheet1!$B$1</c:f>
              <c:strCache>
                <c:ptCount val="1"/>
                <c:pt idx="0">
                  <c:v>PALESTINE</c:v>
                </c:pt>
              </c:strCache>
            </c:strRef>
          </c:tx>
          <c:spPr>
            <a:ln>
              <a:solidFill>
                <a:srgbClr val="304D73"/>
              </a:solidFill>
            </a:ln>
          </c:spPr>
          <c:marker>
            <c:symbol val="none"/>
          </c:marker>
          <c:dLbls>
            <c:dLbl>
              <c:idx val="2"/>
              <c:layout>
                <c:manualLayout>
                  <c:x val="-4.1666666666666623E-2"/>
                  <c:y val="4.76190476190477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457-4CFC-879A-5D746E1A7BE4}"/>
                </c:ext>
              </c:extLst>
            </c:dLbl>
            <c:dLbl>
              <c:idx val="3"/>
              <c:layout>
                <c:manualLayout>
                  <c:x val="-4.4985539625923389E-3"/>
                  <c:y val="-4.228931325199689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57-4CFC-879A-5D746E1A7BE4}"/>
                </c:ext>
              </c:extLst>
            </c:dLbl>
            <c:dLbl>
              <c:idx val="4"/>
              <c:layout>
                <c:manualLayout>
                  <c:x val="4.6295688877976181E-3"/>
                  <c:y val="-3.208859353171249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457-4CFC-879A-5D746E1A7BE4}"/>
                </c:ext>
              </c:extLst>
            </c:dLbl>
            <c:dLbl>
              <c:idx val="7"/>
              <c:layout>
                <c:manualLayout>
                  <c:x val="9.2592592592598069E-3"/>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57-4CFC-879A-5D746E1A7BE4}"/>
                </c:ext>
              </c:extLst>
            </c:dLbl>
            <c:dLbl>
              <c:idx val="9"/>
              <c:layout>
                <c:manualLayout>
                  <c:x val="-1.6581166463927891E-2"/>
                  <c:y val="-8.7676973513124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57-4CFC-879A-5D746E1A7BE4}"/>
                </c:ext>
              </c:extLst>
            </c:dLbl>
            <c:dLbl>
              <c:idx val="11"/>
              <c:layout>
                <c:manualLayout>
                  <c:x val="0"/>
                  <c:y val="-4.33134813210612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457-4CFC-879A-5D746E1A7BE4}"/>
                </c:ext>
              </c:extLst>
            </c:dLbl>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3.8186338737987824</c:v>
                </c:pt>
                <c:pt idx="1">
                  <c:v>2.3315936334540472</c:v>
                </c:pt>
                <c:pt idx="2">
                  <c:v>1.6267524296181357</c:v>
                </c:pt>
                <c:pt idx="3">
                  <c:v>6.1804531631868311</c:v>
                </c:pt>
                <c:pt idx="4">
                  <c:v>2.8131181324753594</c:v>
                </c:pt>
                <c:pt idx="5">
                  <c:v>0.68611952751064853</c:v>
                </c:pt>
                <c:pt idx="6">
                  <c:v>6.8</c:v>
                </c:pt>
              </c:numCache>
            </c:numRef>
          </c:val>
          <c:smooth val="0"/>
          <c:extLst>
            <c:ext xmlns:c16="http://schemas.microsoft.com/office/drawing/2014/chart" uri="{C3380CC4-5D6E-409C-BE32-E72D297353CC}">
              <c16:uniqueId val="{00000006-1457-4CFC-879A-5D746E1A7BE4}"/>
            </c:ext>
          </c:extLst>
        </c:ser>
        <c:dLbls>
          <c:showLegendKey val="0"/>
          <c:showVal val="0"/>
          <c:showCatName val="0"/>
          <c:showSerName val="0"/>
          <c:showPercent val="0"/>
          <c:showBubbleSize val="0"/>
        </c:dLbls>
        <c:smooth val="0"/>
        <c:axId val="179276032"/>
        <c:axId val="179290496"/>
      </c:lineChart>
      <c:catAx>
        <c:axId val="17927603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290496"/>
        <c:crosses val="autoZero"/>
        <c:auto val="1"/>
        <c:lblAlgn val="ctr"/>
        <c:lblOffset val="100"/>
        <c:noMultiLvlLbl val="0"/>
      </c:catAx>
      <c:valAx>
        <c:axId val="17929049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276032"/>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4191919191918"/>
          <c:y val="0.19070695431363763"/>
          <c:w val="0.8866639627417795"/>
          <c:h val="0.56240061455732671"/>
        </c:manualLayout>
      </c:layout>
      <c:barChart>
        <c:barDir val="col"/>
        <c:grouping val="clustered"/>
        <c:varyColors val="0"/>
        <c:ser>
          <c:idx val="0"/>
          <c:order val="0"/>
          <c:tx>
            <c:strRef>
              <c:f>Sheet1!$B$1</c:f>
              <c:strCache>
                <c:ptCount val="1"/>
                <c:pt idx="0">
                  <c:v>Males</c:v>
                </c:pt>
              </c:strCache>
            </c:strRef>
          </c:tx>
          <c:spPr>
            <a:solidFill>
              <a:srgbClr val="4F81BD">
                <a:lumMod val="60000"/>
                <a:lumOff val="40000"/>
              </a:srgbClr>
            </a:solidFill>
          </c:spPr>
          <c:invertIfNegative val="0"/>
          <c:dLbls>
            <c:numFmt formatCode="#,##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163</c:v>
                </c:pt>
                <c:pt idx="1">
                  <c:v>98</c:v>
                </c:pt>
                <c:pt idx="2">
                  <c:v>77</c:v>
                </c:pt>
                <c:pt idx="3">
                  <c:v>297</c:v>
                </c:pt>
                <c:pt idx="4">
                  <c:v>131</c:v>
                </c:pt>
                <c:pt idx="5">
                  <c:v>34</c:v>
                </c:pt>
                <c:pt idx="6">
                  <c:v>285</c:v>
                </c:pt>
              </c:numCache>
            </c:numRef>
          </c:val>
          <c:extLst>
            <c:ext xmlns:c16="http://schemas.microsoft.com/office/drawing/2014/chart" uri="{C3380CC4-5D6E-409C-BE32-E72D297353CC}">
              <c16:uniqueId val="{00000000-97E5-4771-A21D-E9F4DB74A30A}"/>
            </c:ext>
          </c:extLst>
        </c:ser>
        <c:ser>
          <c:idx val="1"/>
          <c:order val="1"/>
          <c:tx>
            <c:strRef>
              <c:f>Sheet1!$C$1</c:f>
              <c:strCache>
                <c:ptCount val="1"/>
                <c:pt idx="0">
                  <c:v>Females</c:v>
                </c:pt>
              </c:strCache>
            </c:strRef>
          </c:tx>
          <c:spPr>
            <a:solidFill>
              <a:srgbClr val="C0504D">
                <a:lumMod val="50000"/>
              </a:srgbClr>
            </a:solidFill>
          </c:spPr>
          <c:invertIfNegative val="0"/>
          <c:dLbls>
            <c:numFmt formatCode="#,##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10</c:v>
                </c:pt>
                <c:pt idx="1">
                  <c:v>10</c:v>
                </c:pt>
                <c:pt idx="2">
                  <c:v>0</c:v>
                </c:pt>
                <c:pt idx="3">
                  <c:v>3</c:v>
                </c:pt>
                <c:pt idx="4">
                  <c:v>9</c:v>
                </c:pt>
                <c:pt idx="5">
                  <c:v>1</c:v>
                </c:pt>
                <c:pt idx="6">
                  <c:v>69</c:v>
                </c:pt>
              </c:numCache>
            </c:numRef>
          </c:val>
          <c:extLst>
            <c:ext xmlns:c16="http://schemas.microsoft.com/office/drawing/2014/chart" uri="{C3380CC4-5D6E-409C-BE32-E72D297353CC}">
              <c16:uniqueId val="{00000001-97E5-4771-A21D-E9F4DB74A30A}"/>
            </c:ext>
          </c:extLst>
        </c:ser>
        <c:dLbls>
          <c:showLegendKey val="0"/>
          <c:showVal val="0"/>
          <c:showCatName val="0"/>
          <c:showSerName val="0"/>
          <c:showPercent val="0"/>
          <c:showBubbleSize val="0"/>
        </c:dLbls>
        <c:gapWidth val="150"/>
        <c:axId val="180811648"/>
        <c:axId val="180879360"/>
      </c:barChart>
      <c:catAx>
        <c:axId val="180811648"/>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0879360"/>
        <c:crosses val="autoZero"/>
        <c:auto val="1"/>
        <c:lblAlgn val="ctr"/>
        <c:lblOffset val="100"/>
        <c:noMultiLvlLbl val="0"/>
      </c:catAx>
      <c:valAx>
        <c:axId val="180879360"/>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Number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0811648"/>
        <c:crosses val="autoZero"/>
        <c:crossBetween val="between"/>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13532745906761653"/>
          <c:w val="0.8113301983085448"/>
          <c:h val="0.6839120109986252"/>
        </c:manualLayout>
      </c:layout>
      <c:barChart>
        <c:barDir val="col"/>
        <c:grouping val="clustered"/>
        <c:varyColors val="0"/>
        <c:ser>
          <c:idx val="0"/>
          <c:order val="0"/>
          <c:tx>
            <c:strRef>
              <c:f>Sheet1!$B$1</c:f>
              <c:strCache>
                <c:ptCount val="1"/>
                <c:pt idx="0">
                  <c:v>Palestine</c:v>
                </c:pt>
              </c:strCache>
            </c:strRef>
          </c:tx>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General</c:formatCode>
                <c:ptCount val="2"/>
                <c:pt idx="0" formatCode="0.0">
                  <c:v>0.9</c:v>
                </c:pt>
                <c:pt idx="1">
                  <c:v>0.60000000000000053</c:v>
                </c:pt>
              </c:numCache>
            </c:numRef>
          </c:val>
          <c:extLst>
            <c:ext xmlns:c16="http://schemas.microsoft.com/office/drawing/2014/chart" uri="{C3380CC4-5D6E-409C-BE32-E72D297353CC}">
              <c16:uniqueId val="{00000000-9C75-495A-BB56-AB92770DDF23}"/>
            </c:ext>
          </c:extLst>
        </c:ser>
        <c:ser>
          <c:idx val="1"/>
          <c:order val="1"/>
          <c:tx>
            <c:strRef>
              <c:f>Sheet1!$C$1</c:f>
              <c:strCache>
                <c:ptCount val="1"/>
                <c:pt idx="0">
                  <c:v>West Bank</c:v>
                </c:pt>
              </c:strCache>
            </c:strRef>
          </c:tx>
          <c:spPr>
            <a:solidFill>
              <a:srgbClr val="1F497D">
                <a:lumMod val="20000"/>
                <a:lumOff val="80000"/>
              </a:srgbClr>
            </a:solidFill>
          </c:spPr>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0.4</c:v>
                </c:pt>
                <c:pt idx="1">
                  <c:v>0.5</c:v>
                </c:pt>
              </c:numCache>
            </c:numRef>
          </c:val>
          <c:extLst>
            <c:ext xmlns:c16="http://schemas.microsoft.com/office/drawing/2014/chart" uri="{C3380CC4-5D6E-409C-BE32-E72D297353CC}">
              <c16:uniqueId val="{00000001-9C75-495A-BB56-AB92770DDF23}"/>
            </c:ext>
          </c:extLst>
        </c:ser>
        <c:ser>
          <c:idx val="2"/>
          <c:order val="2"/>
          <c:tx>
            <c:strRef>
              <c:f>Sheet1!$D$1</c:f>
              <c:strCache>
                <c:ptCount val="1"/>
                <c:pt idx="0">
                  <c:v>Gaza Strip</c:v>
                </c:pt>
              </c:strCache>
            </c:strRef>
          </c:tx>
          <c:spPr>
            <a:solidFill>
              <a:srgbClr val="9BBB59">
                <a:lumMod val="50000"/>
              </a:srgbClr>
            </a:solidFill>
          </c:spPr>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General</c:formatCode>
                <c:ptCount val="2"/>
                <c:pt idx="0">
                  <c:v>1.8</c:v>
                </c:pt>
                <c:pt idx="1">
                  <c:v>0.8</c:v>
                </c:pt>
              </c:numCache>
            </c:numRef>
          </c:val>
          <c:extLst>
            <c:ext xmlns:c16="http://schemas.microsoft.com/office/drawing/2014/chart" uri="{C3380CC4-5D6E-409C-BE32-E72D297353CC}">
              <c16:uniqueId val="{00000002-9C75-495A-BB56-AB92770DDF23}"/>
            </c:ext>
          </c:extLst>
        </c:ser>
        <c:dLbls>
          <c:showLegendKey val="0"/>
          <c:showVal val="0"/>
          <c:showCatName val="0"/>
          <c:showSerName val="0"/>
          <c:showPercent val="0"/>
          <c:showBubbleSize val="0"/>
        </c:dLbls>
        <c:gapWidth val="150"/>
        <c:axId val="180931968"/>
        <c:axId val="180983296"/>
      </c:barChart>
      <c:catAx>
        <c:axId val="180931968"/>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0983296"/>
        <c:crosses val="autoZero"/>
        <c:auto val="1"/>
        <c:lblAlgn val="ctr"/>
        <c:lblOffset val="100"/>
        <c:noMultiLvlLbl val="0"/>
      </c:catAx>
      <c:valAx>
        <c:axId val="180983296"/>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0931968"/>
        <c:crosses val="autoZero"/>
        <c:crossBetween val="between"/>
      </c:valAx>
    </c:plotArea>
    <c:legend>
      <c:legendPos val="r"/>
      <c:layout>
        <c:manualLayout>
          <c:xMode val="edge"/>
          <c:yMode val="edge"/>
          <c:x val="0.47128589904522838"/>
          <c:y val="3.9189083265044361E-2"/>
          <c:w val="0.4523251169690764"/>
          <c:h val="8.828873766344803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13532745906761653"/>
          <c:w val="0.8113301983085448"/>
          <c:h val="0.6839120109986252"/>
        </c:manualLayout>
      </c:layout>
      <c:barChart>
        <c:barDir val="col"/>
        <c:grouping val="clustered"/>
        <c:varyColors val="0"/>
        <c:ser>
          <c:idx val="0"/>
          <c:order val="0"/>
          <c:tx>
            <c:strRef>
              <c:f>Sheet1!$B$1</c:f>
              <c:strCache>
                <c:ptCount val="1"/>
                <c:pt idx="0">
                  <c:v>Palestine</c:v>
                </c:pt>
              </c:strCache>
            </c:strRef>
          </c:tx>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0.0</c:formatCode>
                <c:ptCount val="2"/>
                <c:pt idx="0">
                  <c:v>4.2</c:v>
                </c:pt>
                <c:pt idx="1">
                  <c:v>3.2</c:v>
                </c:pt>
              </c:numCache>
            </c:numRef>
          </c:val>
          <c:extLst>
            <c:ext xmlns:c16="http://schemas.microsoft.com/office/drawing/2014/chart" uri="{C3380CC4-5D6E-409C-BE32-E72D297353CC}">
              <c16:uniqueId val="{00000000-912F-4E58-B76E-849480B1D8F7}"/>
            </c:ext>
          </c:extLst>
        </c:ser>
        <c:ser>
          <c:idx val="1"/>
          <c:order val="1"/>
          <c:tx>
            <c:strRef>
              <c:f>Sheet1!$C$1</c:f>
              <c:strCache>
                <c:ptCount val="1"/>
                <c:pt idx="0">
                  <c:v>West Bank</c:v>
                </c:pt>
              </c:strCache>
            </c:strRef>
          </c:tx>
          <c:spPr>
            <a:solidFill>
              <a:srgbClr val="4F81BD">
                <a:lumMod val="20000"/>
                <a:lumOff val="80000"/>
              </a:srgbClr>
            </a:solidFill>
          </c:spPr>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2.1</c:v>
                </c:pt>
                <c:pt idx="1">
                  <c:v>1.7</c:v>
                </c:pt>
              </c:numCache>
            </c:numRef>
          </c:val>
          <c:extLst>
            <c:ext xmlns:c16="http://schemas.microsoft.com/office/drawing/2014/chart" uri="{C3380CC4-5D6E-409C-BE32-E72D297353CC}">
              <c16:uniqueId val="{00000001-912F-4E58-B76E-849480B1D8F7}"/>
            </c:ext>
          </c:extLst>
        </c:ser>
        <c:ser>
          <c:idx val="2"/>
          <c:order val="2"/>
          <c:tx>
            <c:strRef>
              <c:f>Sheet1!$D$1</c:f>
              <c:strCache>
                <c:ptCount val="1"/>
                <c:pt idx="0">
                  <c:v>Gaza Strip</c:v>
                </c:pt>
              </c:strCache>
            </c:strRef>
          </c:tx>
          <c:spPr>
            <a:solidFill>
              <a:srgbClr val="9BBB59">
                <a:lumMod val="50000"/>
              </a:srgbClr>
            </a:solidFill>
          </c:spPr>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0.0</c:formatCode>
                <c:ptCount val="2"/>
                <c:pt idx="0">
                  <c:v>8</c:v>
                </c:pt>
                <c:pt idx="1">
                  <c:v>5.9</c:v>
                </c:pt>
              </c:numCache>
            </c:numRef>
          </c:val>
          <c:extLst>
            <c:ext xmlns:c16="http://schemas.microsoft.com/office/drawing/2014/chart" uri="{C3380CC4-5D6E-409C-BE32-E72D297353CC}">
              <c16:uniqueId val="{00000002-912F-4E58-B76E-849480B1D8F7}"/>
            </c:ext>
          </c:extLst>
        </c:ser>
        <c:dLbls>
          <c:showLegendKey val="0"/>
          <c:showVal val="0"/>
          <c:showCatName val="0"/>
          <c:showSerName val="0"/>
          <c:showPercent val="0"/>
          <c:showBubbleSize val="0"/>
        </c:dLbls>
        <c:gapWidth val="150"/>
        <c:axId val="180855936"/>
        <c:axId val="180857856"/>
      </c:barChart>
      <c:catAx>
        <c:axId val="180855936"/>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0857856"/>
        <c:crosses val="autoZero"/>
        <c:auto val="1"/>
        <c:lblAlgn val="ctr"/>
        <c:lblOffset val="100"/>
        <c:noMultiLvlLbl val="0"/>
      </c:catAx>
      <c:valAx>
        <c:axId val="180857856"/>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0855936"/>
        <c:crosses val="autoZero"/>
        <c:crossBetween val="between"/>
      </c:valAx>
    </c:plotArea>
    <c:legend>
      <c:legendPos val="r"/>
      <c:layout>
        <c:manualLayout>
          <c:xMode val="edge"/>
          <c:yMode val="edge"/>
          <c:x val="0.47128589904522838"/>
          <c:y val="3.9189083265044361E-2"/>
          <c:w val="0.4523251169690764"/>
          <c:h val="8.828873766344803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31238019069063"/>
          <c:y val="0.18157457392061779"/>
          <c:w val="0.86763637863417931"/>
          <c:h val="0.6306135313871799"/>
        </c:manualLayout>
      </c:layout>
      <c:barChart>
        <c:barDir val="col"/>
        <c:grouping val="clustered"/>
        <c:varyColors val="0"/>
        <c:ser>
          <c:idx val="0"/>
          <c:order val="0"/>
          <c:tx>
            <c:strRef>
              <c:f>Sheet1!$A$2</c:f>
              <c:strCache>
                <c:ptCount val="1"/>
                <c:pt idx="0">
                  <c:v>Palestine</c:v>
                </c:pt>
              </c:strCache>
            </c:strRef>
          </c:tx>
          <c:invertIfNegative val="0"/>
          <c:dLbls>
            <c:numFmt formatCode="#,##0.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Sheet1!$B$2:$D$2</c:f>
              <c:numCache>
                <c:formatCode>General</c:formatCode>
                <c:ptCount val="3"/>
                <c:pt idx="0">
                  <c:v>87.2</c:v>
                </c:pt>
                <c:pt idx="1">
                  <c:v>92</c:v>
                </c:pt>
                <c:pt idx="2">
                  <c:v>89.5</c:v>
                </c:pt>
              </c:numCache>
            </c:numRef>
          </c:val>
          <c:extLst>
            <c:ext xmlns:c16="http://schemas.microsoft.com/office/drawing/2014/chart" uri="{C3380CC4-5D6E-409C-BE32-E72D297353CC}">
              <c16:uniqueId val="{00000000-F023-4D7F-9337-455BE7B921D2}"/>
            </c:ext>
          </c:extLst>
        </c:ser>
        <c:ser>
          <c:idx val="1"/>
          <c:order val="1"/>
          <c:tx>
            <c:strRef>
              <c:f>Sheet1!$A$3</c:f>
              <c:strCache>
                <c:ptCount val="1"/>
                <c:pt idx="0">
                  <c:v>West Bank</c:v>
                </c:pt>
              </c:strCache>
            </c:strRef>
          </c:tx>
          <c:spPr>
            <a:solidFill>
              <a:srgbClr val="4F81BD">
                <a:lumMod val="20000"/>
                <a:lumOff val="80000"/>
              </a:srgbClr>
            </a:solidFill>
          </c:spPr>
          <c:invertIfNegative val="0"/>
          <c:dLbls>
            <c:numFmt formatCode="#,##0.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Sheet1!$B$3:$D$3</c:f>
              <c:numCache>
                <c:formatCode>General</c:formatCode>
                <c:ptCount val="3"/>
                <c:pt idx="0">
                  <c:v>84.7</c:v>
                </c:pt>
                <c:pt idx="1">
                  <c:v>90.8</c:v>
                </c:pt>
                <c:pt idx="2">
                  <c:v>88</c:v>
                </c:pt>
              </c:numCache>
            </c:numRef>
          </c:val>
          <c:extLst>
            <c:ext xmlns:c16="http://schemas.microsoft.com/office/drawing/2014/chart" uri="{C3380CC4-5D6E-409C-BE32-E72D297353CC}">
              <c16:uniqueId val="{00000001-F023-4D7F-9337-455BE7B921D2}"/>
            </c:ext>
          </c:extLst>
        </c:ser>
        <c:ser>
          <c:idx val="2"/>
          <c:order val="2"/>
          <c:tx>
            <c:strRef>
              <c:f>Sheet1!$A$4</c:f>
              <c:strCache>
                <c:ptCount val="1"/>
                <c:pt idx="0">
                  <c:v>Gaza Strip</c:v>
                </c:pt>
              </c:strCache>
            </c:strRef>
          </c:tx>
          <c:spPr>
            <a:solidFill>
              <a:srgbClr val="9BBB59">
                <a:lumMod val="50000"/>
              </a:srgbClr>
            </a:solidFill>
          </c:spPr>
          <c:invertIfNegative val="0"/>
          <c:dLbls>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Sheet1!$B$4:$D$4</c:f>
              <c:numCache>
                <c:formatCode>General</c:formatCode>
                <c:ptCount val="3"/>
                <c:pt idx="0">
                  <c:v>91.3</c:v>
                </c:pt>
                <c:pt idx="1">
                  <c:v>93.9</c:v>
                </c:pt>
                <c:pt idx="2">
                  <c:v>92</c:v>
                </c:pt>
              </c:numCache>
            </c:numRef>
          </c:val>
          <c:extLst>
            <c:ext xmlns:c16="http://schemas.microsoft.com/office/drawing/2014/chart" uri="{C3380CC4-5D6E-409C-BE32-E72D297353CC}">
              <c16:uniqueId val="{00000002-F023-4D7F-9337-455BE7B921D2}"/>
            </c:ext>
          </c:extLst>
        </c:ser>
        <c:dLbls>
          <c:showLegendKey val="0"/>
          <c:showVal val="0"/>
          <c:showCatName val="0"/>
          <c:showSerName val="0"/>
          <c:showPercent val="0"/>
          <c:showBubbleSize val="0"/>
        </c:dLbls>
        <c:gapWidth val="150"/>
        <c:axId val="181066368"/>
        <c:axId val="181072640"/>
      </c:barChart>
      <c:catAx>
        <c:axId val="181066368"/>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a:t>
                </a:r>
              </a:p>
            </c:rich>
          </c:tx>
          <c:overlay val="0"/>
        </c:title>
        <c:numFmt formatCode="General" sourceLinked="0"/>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1072640"/>
        <c:crosses val="autoZero"/>
        <c:auto val="1"/>
        <c:lblAlgn val="ctr"/>
        <c:lblOffset val="100"/>
        <c:noMultiLvlLbl val="0"/>
      </c:catAx>
      <c:valAx>
        <c:axId val="181072640"/>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81066368"/>
        <c:crosses val="autoZero"/>
        <c:crossBetween val="between"/>
      </c:valAx>
    </c:plotArea>
    <c:legend>
      <c:legendPos val="t"/>
      <c:layout>
        <c:manualLayout>
          <c:xMode val="edge"/>
          <c:yMode val="edge"/>
          <c:x val="0.47791829818741255"/>
          <c:y val="2.8777184101987187E-2"/>
          <c:w val="0.47164414574760288"/>
          <c:h val="0.11001799447558137"/>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304D73"/>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Palestine</c:v>
                  </c:pt>
                  <c:pt idx="1">
                    <c:v>West Bank</c:v>
                  </c:pt>
                  <c:pt idx="2">
                    <c:v>Gaza Strip</c:v>
                  </c:pt>
                  <c:pt idx="3">
                    <c:v>Male </c:v>
                  </c:pt>
                  <c:pt idx="4">
                    <c:v>Female</c:v>
                  </c:pt>
                </c:lvl>
                <c:lvl>
                  <c:pt idx="0">
                    <c:v>Region</c:v>
                  </c:pt>
                  <c:pt idx="3">
                    <c:v>Sex</c:v>
                  </c:pt>
                </c:lvl>
              </c:multiLvlStrCache>
            </c:multiLvlStrRef>
          </c:cat>
          <c:val>
            <c:numRef>
              <c:f>Sheet1!$C$2:$C$6</c:f>
              <c:numCache>
                <c:formatCode>General</c:formatCode>
                <c:ptCount val="5"/>
                <c:pt idx="0">
                  <c:v>89.5</c:v>
                </c:pt>
                <c:pt idx="1">
                  <c:v>88</c:v>
                </c:pt>
                <c:pt idx="2">
                  <c:v>92</c:v>
                </c:pt>
                <c:pt idx="3">
                  <c:v>91.4</c:v>
                </c:pt>
                <c:pt idx="4">
                  <c:v>87.6</c:v>
                </c:pt>
              </c:numCache>
            </c:numRef>
          </c:val>
          <c:extLst>
            <c:ext xmlns:c16="http://schemas.microsoft.com/office/drawing/2014/chart" uri="{C3380CC4-5D6E-409C-BE32-E72D297353CC}">
              <c16:uniqueId val="{00000000-20B0-42F3-912D-D4810679D384}"/>
            </c:ext>
          </c:extLst>
        </c:ser>
        <c:dLbls>
          <c:showLegendKey val="0"/>
          <c:showVal val="1"/>
          <c:showCatName val="0"/>
          <c:showSerName val="0"/>
          <c:showPercent val="0"/>
          <c:showBubbleSize val="0"/>
        </c:dLbls>
        <c:gapWidth val="150"/>
        <c:axId val="181228672"/>
        <c:axId val="181230208"/>
      </c:barChart>
      <c:catAx>
        <c:axId val="181228672"/>
        <c:scaling>
          <c:orientation val="minMax"/>
        </c:scaling>
        <c:delete val="0"/>
        <c:axPos val="b"/>
        <c:numFmt formatCode="General" sourceLinked="0"/>
        <c:majorTickMark val="out"/>
        <c:minorTickMark val="none"/>
        <c:tickLblPos val="nextTo"/>
        <c:spPr>
          <a:ln>
            <a:solidFill>
              <a:sysClr val="windowText" lastClr="000000"/>
            </a:solidFill>
          </a:ln>
        </c:spPr>
        <c:txPr>
          <a:bodyPr/>
          <a:lstStyle/>
          <a:p>
            <a:pPr>
              <a:defRPr lang="en-GB"/>
            </a:pPr>
            <a:endParaRPr lang="ar-SA"/>
          </a:p>
        </c:txPr>
        <c:crossAx val="181230208"/>
        <c:crosses val="autoZero"/>
        <c:auto val="1"/>
        <c:lblAlgn val="ctr"/>
        <c:lblOffset val="100"/>
        <c:noMultiLvlLbl val="0"/>
      </c:catAx>
      <c:valAx>
        <c:axId val="181230208"/>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1228672"/>
        <c:crosses val="autoZero"/>
        <c:crossBetween val="between"/>
      </c:valAx>
    </c:plotArea>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260869565217397E-2"/>
          <c:y val="3.8135593220338986E-2"/>
          <c:w val="0.88695652173912642"/>
          <c:h val="0.78813559322033899"/>
        </c:manualLayout>
      </c:layout>
      <c:barChart>
        <c:barDir val="col"/>
        <c:grouping val="clustered"/>
        <c:varyColors val="0"/>
        <c:ser>
          <c:idx val="0"/>
          <c:order val="0"/>
          <c:tx>
            <c:strRef>
              <c:f>Sheet1!$B$1</c:f>
              <c:strCache>
                <c:ptCount val="1"/>
                <c:pt idx="0">
                  <c:v>Males</c:v>
                </c:pt>
              </c:strCache>
            </c:strRef>
          </c:tx>
          <c:spPr>
            <a:solidFill>
              <a:srgbClr val="4F81BD">
                <a:lumMod val="60000"/>
                <a:lumOff val="40000"/>
              </a:srgbClr>
            </a:solidFill>
          </c:spPr>
          <c:invertIfNegative val="0"/>
          <c:dLbls>
            <c:spPr>
              <a:noFill/>
              <a:ln w="2540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1.6</c:v>
                </c:pt>
                <c:pt idx="1">
                  <c:v>1.4</c:v>
                </c:pt>
                <c:pt idx="2">
                  <c:v>1.2</c:v>
                </c:pt>
                <c:pt idx="3">
                  <c:v>1.3</c:v>
                </c:pt>
              </c:numCache>
            </c:numRef>
          </c:val>
          <c:extLst>
            <c:ext xmlns:c16="http://schemas.microsoft.com/office/drawing/2014/chart" uri="{C3380CC4-5D6E-409C-BE32-E72D297353CC}">
              <c16:uniqueId val="{00000000-8E9C-45DD-9E2D-C9AFAB114000}"/>
            </c:ext>
          </c:extLst>
        </c:ser>
        <c:ser>
          <c:idx val="1"/>
          <c:order val="1"/>
          <c:tx>
            <c:strRef>
              <c:f>Sheet1!$C$1</c:f>
              <c:strCache>
                <c:ptCount val="1"/>
                <c:pt idx="0">
                  <c:v>Female</c:v>
                </c:pt>
              </c:strCache>
            </c:strRef>
          </c:tx>
          <c:spPr>
            <a:solidFill>
              <a:srgbClr val="C0504D">
                <a:lumMod val="75000"/>
              </a:srgbClr>
            </a:solidFill>
          </c:spPr>
          <c:invertIfNegative val="0"/>
          <c:dLbls>
            <c:spPr>
              <a:noFill/>
              <a:ln w="2540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1.3</c:v>
                </c:pt>
                <c:pt idx="1">
                  <c:v>1.5</c:v>
                </c:pt>
                <c:pt idx="2">
                  <c:v>1.2</c:v>
                </c:pt>
                <c:pt idx="3">
                  <c:v>1.3</c:v>
                </c:pt>
              </c:numCache>
            </c:numRef>
          </c:val>
          <c:extLst>
            <c:ext xmlns:c16="http://schemas.microsoft.com/office/drawing/2014/chart" uri="{C3380CC4-5D6E-409C-BE32-E72D297353CC}">
              <c16:uniqueId val="{00000001-8E9C-45DD-9E2D-C9AFAB114000}"/>
            </c:ext>
          </c:extLst>
        </c:ser>
        <c:dLbls>
          <c:showLegendKey val="0"/>
          <c:showVal val="0"/>
          <c:showCatName val="0"/>
          <c:showSerName val="0"/>
          <c:showPercent val="0"/>
          <c:showBubbleSize val="0"/>
        </c:dLbls>
        <c:gapWidth val="150"/>
        <c:axId val="109787776"/>
        <c:axId val="109802240"/>
      </c:barChart>
      <c:catAx>
        <c:axId val="1097877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09802240"/>
        <c:crosses val="autoZero"/>
        <c:auto val="1"/>
        <c:lblAlgn val="ctr"/>
        <c:lblOffset val="100"/>
        <c:noMultiLvlLbl val="0"/>
      </c:catAx>
      <c:valAx>
        <c:axId val="109802240"/>
        <c:scaling>
          <c:orientation val="minMax"/>
          <c:max val="3"/>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109787776"/>
        <c:crosses val="autoZero"/>
        <c:crossBetween val="between"/>
        <c:majorUnit val="1"/>
        <c:minorUnit val="1"/>
      </c:valAx>
      <c:spPr>
        <a:ln>
          <a:noFill/>
        </a:ln>
      </c:spPr>
    </c:plotArea>
    <c:legend>
      <c:legendPos val="t"/>
      <c:overlay val="1"/>
      <c:spPr>
        <a:noFill/>
        <a:ln>
          <a:solidFill>
            <a:sysClr val="window" lastClr="FFFFFF">
              <a:lumMod val="75000"/>
            </a:sysClr>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08416303333983"/>
          <c:y val="6.4927015701984614E-2"/>
          <c:w val="0.85878966196842066"/>
          <c:h val="0.69316774039608686"/>
        </c:manualLayout>
      </c:layout>
      <c:barChart>
        <c:barDir val="col"/>
        <c:grouping val="stacked"/>
        <c:varyColors val="0"/>
        <c:ser>
          <c:idx val="0"/>
          <c:order val="0"/>
          <c:spPr>
            <a:solidFill>
              <a:srgbClr val="304D73"/>
            </a:solidFill>
          </c:spPr>
          <c:invertIfNegative val="0"/>
          <c:dLbls>
            <c:dLbl>
              <c:idx val="0"/>
              <c:layout>
                <c:manualLayout>
                  <c:x val="2.372479240806621E-3"/>
                  <c:y val="-0.2882334212972361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FB-4D52-B8C5-2607406BBD13}"/>
                </c:ext>
              </c:extLst>
            </c:dLbl>
            <c:dLbl>
              <c:idx val="1"/>
              <c:layout>
                <c:manualLayout>
                  <c:x val="-4.3494950290744654E-17"/>
                  <c:y val="-0.1885421852797574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BFB-4D52-B8C5-2607406BBD13}"/>
                </c:ext>
              </c:extLst>
            </c:dLbl>
            <c:dLbl>
              <c:idx val="2"/>
              <c:layout>
                <c:manualLayout>
                  <c:x val="-2.3724792408066431E-3"/>
                  <c:y val="-0.3672616160429064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BFB-4D52-B8C5-2607406BBD13}"/>
                </c:ext>
              </c:extLst>
            </c:dLbl>
            <c:dLbl>
              <c:idx val="3"/>
              <c:layout>
                <c:manualLayout>
                  <c:x val="0"/>
                  <c:y val="-0.356406799217941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FB-4D52-B8C5-2607406BBD13}"/>
                </c:ext>
              </c:extLst>
            </c:dLbl>
            <c:dLbl>
              <c:idx val="4"/>
              <c:layout>
                <c:manualLayout>
                  <c:x val="-2.3724792408068192E-3"/>
                  <c:y val="-0.182067757134157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FB-4D52-B8C5-2607406BBD13}"/>
                </c:ext>
              </c:extLst>
            </c:dLbl>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Palestine</c:v>
                  </c:pt>
                  <c:pt idx="1">
                    <c:v>West Bank</c:v>
                  </c:pt>
                  <c:pt idx="2">
                    <c:v>Gaza Strip</c:v>
                  </c:pt>
                  <c:pt idx="3">
                    <c:v>Males</c:v>
                  </c:pt>
                  <c:pt idx="4">
                    <c:v>Females</c:v>
                  </c:pt>
                </c:lvl>
                <c:lvl>
                  <c:pt idx="0">
                    <c:v>Region</c:v>
                  </c:pt>
                  <c:pt idx="3">
                    <c:v>Sex</c:v>
                  </c:pt>
                </c:lvl>
              </c:multiLvlStrCache>
            </c:multiLvlStrRef>
          </c:cat>
          <c:val>
            <c:numRef>
              <c:f>Sheet1!$C$2:$C$6</c:f>
              <c:numCache>
                <c:formatCode>General</c:formatCode>
                <c:ptCount val="5"/>
                <c:pt idx="0">
                  <c:v>90.1</c:v>
                </c:pt>
                <c:pt idx="1">
                  <c:v>88.3</c:v>
                </c:pt>
                <c:pt idx="2">
                  <c:v>92.3</c:v>
                </c:pt>
                <c:pt idx="3">
                  <c:v>92.3</c:v>
                </c:pt>
                <c:pt idx="4">
                  <c:v>87.9</c:v>
                </c:pt>
              </c:numCache>
            </c:numRef>
          </c:val>
          <c:extLst>
            <c:ext xmlns:c16="http://schemas.microsoft.com/office/drawing/2014/chart" uri="{C3380CC4-5D6E-409C-BE32-E72D297353CC}">
              <c16:uniqueId val="{00000005-EBFB-4D52-B8C5-2607406BBD13}"/>
            </c:ext>
          </c:extLst>
        </c:ser>
        <c:dLbls>
          <c:showLegendKey val="0"/>
          <c:showVal val="0"/>
          <c:showCatName val="0"/>
          <c:showSerName val="0"/>
          <c:showPercent val="0"/>
          <c:showBubbleSize val="0"/>
        </c:dLbls>
        <c:gapWidth val="150"/>
        <c:overlap val="100"/>
        <c:axId val="181046656"/>
        <c:axId val="181253248"/>
      </c:barChart>
      <c:catAx>
        <c:axId val="181046656"/>
        <c:scaling>
          <c:orientation val="minMax"/>
        </c:scaling>
        <c:delete val="0"/>
        <c:axPos val="b"/>
        <c:numFmt formatCode="General" sourceLinked="0"/>
        <c:majorTickMark val="out"/>
        <c:minorTickMark val="none"/>
        <c:tickLblPos val="nextTo"/>
        <c:spPr>
          <a:ln>
            <a:solidFill>
              <a:sysClr val="windowText" lastClr="000000"/>
            </a:solidFill>
          </a:ln>
        </c:spPr>
        <c:crossAx val="181253248"/>
        <c:crosses val="autoZero"/>
        <c:auto val="1"/>
        <c:lblAlgn val="ctr"/>
        <c:lblOffset val="100"/>
        <c:noMultiLvlLbl val="0"/>
      </c:catAx>
      <c:valAx>
        <c:axId val="181253248"/>
        <c:scaling>
          <c:orientation val="minMax"/>
          <c:max val="93"/>
          <c:min val="85"/>
        </c:scaling>
        <c:delete val="0"/>
        <c:axPos val="l"/>
        <c:title>
          <c:tx>
            <c:rich>
              <a:bodyPr/>
              <a:lstStyle/>
              <a:p>
                <a:pPr>
                  <a:defRPr/>
                </a:pPr>
                <a:r>
                  <a:rPr lang="en-US"/>
                  <a:t>Percentage</a:t>
                </a:r>
              </a:p>
            </c:rich>
          </c:tx>
          <c:layout>
            <c:manualLayout>
              <c:xMode val="edge"/>
              <c:yMode val="edge"/>
              <c:x val="2.5780816543839492E-2"/>
              <c:y val="0.26315281146166092"/>
            </c:manualLayout>
          </c:layout>
          <c:overlay val="0"/>
        </c:title>
        <c:numFmt formatCode="General" sourceLinked="1"/>
        <c:majorTickMark val="out"/>
        <c:minorTickMark val="none"/>
        <c:tickLblPos val="nextTo"/>
        <c:spPr>
          <a:ln>
            <a:solidFill>
              <a:sysClr val="windowText" lastClr="000000"/>
            </a:solidFill>
          </a:ln>
        </c:spPr>
        <c:crossAx val="181046656"/>
        <c:crosses val="autoZero"/>
        <c:crossBetween val="between"/>
      </c:valAx>
    </c:plotArea>
    <c:plotVisOnly val="1"/>
    <c:dispBlanksAs val="gap"/>
    <c:showDLblsOverMax val="0"/>
  </c:chart>
  <c:spPr>
    <a:ln>
      <a:noFill/>
    </a:ln>
  </c:spPr>
  <c:externalData r:id="rId1">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08416303333983"/>
          <c:y val="0.14633831558029498"/>
          <c:w val="0.85878966196842066"/>
          <c:h val="0.61175653586042578"/>
        </c:manualLayout>
      </c:layout>
      <c:barChart>
        <c:barDir val="col"/>
        <c:grouping val="stacked"/>
        <c:varyColors val="0"/>
        <c:ser>
          <c:idx val="0"/>
          <c:order val="0"/>
          <c:spPr>
            <a:solidFill>
              <a:srgbClr val="304D73"/>
            </a:solidFill>
          </c:spPr>
          <c:invertIfNegative val="0"/>
          <c:dLbls>
            <c:dLbl>
              <c:idx val="0"/>
              <c:layout>
                <c:manualLayout>
                  <c:x val="-4.3494950290744654E-17"/>
                  <c:y val="-0.2291033023857092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592-4DF7-9DD0-AD36631AD7D1}"/>
                </c:ext>
              </c:extLst>
            </c:dLbl>
            <c:dLbl>
              <c:idx val="1"/>
              <c:layout>
                <c:manualLayout>
                  <c:x val="-4.3494950290744654E-17"/>
                  <c:y val="-0.28551074263613929"/>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92-4DF7-9DD0-AD36631AD7D1}"/>
                </c:ext>
              </c:extLst>
            </c:dLbl>
            <c:dLbl>
              <c:idx val="2"/>
              <c:layout>
                <c:manualLayout>
                  <c:x val="0"/>
                  <c:y val="-0.1465400271370423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592-4DF7-9DD0-AD36631AD7D1}"/>
                </c:ext>
              </c:extLst>
            </c:dLbl>
            <c:dLbl>
              <c:idx val="3"/>
              <c:layout>
                <c:manualLayout>
                  <c:x val="8.6989900581489381E-17"/>
                  <c:y val="-0.2848517612367657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92-4DF7-9DD0-AD36631AD7D1}"/>
                </c:ext>
              </c:extLst>
            </c:dLbl>
            <c:dLbl>
              <c:idx val="4"/>
              <c:layout>
                <c:manualLayout>
                  <c:x val="-1.7397980116297852E-16"/>
                  <c:y val="-0.1319125204329107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592-4DF7-9DD0-AD36631AD7D1}"/>
                </c:ext>
              </c:extLst>
            </c:dLbl>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Palestine</c:v>
                  </c:pt>
                  <c:pt idx="1">
                    <c:v>West Bank</c:v>
                  </c:pt>
                  <c:pt idx="2">
                    <c:v>Gaza Strip</c:v>
                  </c:pt>
                  <c:pt idx="3">
                    <c:v>Males</c:v>
                  </c:pt>
                  <c:pt idx="4">
                    <c:v>Females</c:v>
                  </c:pt>
                </c:lvl>
                <c:lvl>
                  <c:pt idx="0">
                    <c:v>Region</c:v>
                  </c:pt>
                  <c:pt idx="3">
                    <c:v>Sex</c:v>
                  </c:pt>
                </c:lvl>
              </c:multiLvlStrCache>
            </c:multiLvlStrRef>
          </c:cat>
          <c:val>
            <c:numRef>
              <c:f>Sheet1!$C$2:$C$6</c:f>
              <c:numCache>
                <c:formatCode>0.0</c:formatCode>
                <c:ptCount val="5"/>
                <c:pt idx="0">
                  <c:v>2.8</c:v>
                </c:pt>
                <c:pt idx="1">
                  <c:v>3.3</c:v>
                </c:pt>
                <c:pt idx="2">
                  <c:v>2</c:v>
                </c:pt>
                <c:pt idx="3">
                  <c:v>3.4</c:v>
                </c:pt>
                <c:pt idx="4">
                  <c:v>1.9000000000000001</c:v>
                </c:pt>
              </c:numCache>
            </c:numRef>
          </c:val>
          <c:extLst>
            <c:ext xmlns:c16="http://schemas.microsoft.com/office/drawing/2014/chart" uri="{C3380CC4-5D6E-409C-BE32-E72D297353CC}">
              <c16:uniqueId val="{00000005-A592-4DF7-9DD0-AD36631AD7D1}"/>
            </c:ext>
          </c:extLst>
        </c:ser>
        <c:dLbls>
          <c:showLegendKey val="0"/>
          <c:showVal val="1"/>
          <c:showCatName val="0"/>
          <c:showSerName val="0"/>
          <c:showPercent val="0"/>
          <c:showBubbleSize val="0"/>
        </c:dLbls>
        <c:gapWidth val="150"/>
        <c:overlap val="100"/>
        <c:axId val="181275648"/>
        <c:axId val="181277440"/>
      </c:barChart>
      <c:catAx>
        <c:axId val="181275648"/>
        <c:scaling>
          <c:orientation val="minMax"/>
        </c:scaling>
        <c:delete val="0"/>
        <c:axPos val="b"/>
        <c:numFmt formatCode="General" sourceLinked="0"/>
        <c:majorTickMark val="out"/>
        <c:minorTickMark val="none"/>
        <c:tickLblPos val="nextTo"/>
        <c:spPr>
          <a:ln>
            <a:solidFill>
              <a:sysClr val="windowText" lastClr="000000"/>
            </a:solidFill>
          </a:ln>
        </c:spPr>
        <c:crossAx val="181277440"/>
        <c:crosses val="autoZero"/>
        <c:auto val="1"/>
        <c:lblAlgn val="ctr"/>
        <c:lblOffset val="100"/>
        <c:noMultiLvlLbl val="0"/>
      </c:catAx>
      <c:valAx>
        <c:axId val="181277440"/>
        <c:scaling>
          <c:orientation val="minMax"/>
          <c:max val="4"/>
          <c:min val="1"/>
        </c:scaling>
        <c:delete val="0"/>
        <c:axPos val="l"/>
        <c:title>
          <c:tx>
            <c:rich>
              <a:bodyPr/>
              <a:lstStyle/>
              <a:p>
                <a:pPr>
                  <a:defRPr/>
                </a:pPr>
                <a:r>
                  <a:rPr lang="en-US"/>
                  <a:t>Percentage</a:t>
                </a:r>
              </a:p>
            </c:rich>
          </c:tx>
          <c:layout>
            <c:manualLayout>
              <c:xMode val="edge"/>
              <c:yMode val="edge"/>
              <c:x val="1.4750230756025939E-2"/>
              <c:y val="0.31471319138025039"/>
            </c:manualLayout>
          </c:layout>
          <c:overlay val="0"/>
        </c:title>
        <c:numFmt formatCode="0.0" sourceLinked="1"/>
        <c:majorTickMark val="out"/>
        <c:minorTickMark val="none"/>
        <c:tickLblPos val="nextTo"/>
        <c:spPr>
          <a:ln>
            <a:solidFill>
              <a:sysClr val="windowText" lastClr="000000"/>
            </a:solidFill>
          </a:ln>
        </c:spPr>
        <c:crossAx val="181275648"/>
        <c:crosses val="autoZero"/>
        <c:crossBetween val="between"/>
      </c:valAx>
    </c:plotArea>
    <c:plotVisOnly val="1"/>
    <c:dispBlanksAs val="gap"/>
    <c:showDLblsOverMax val="0"/>
  </c:chart>
  <c:spPr>
    <a:ln>
      <a:noFill/>
    </a:ln>
  </c:spPr>
  <c:externalData r:id="rId1">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87328369668079"/>
          <c:y val="0.10834645669291339"/>
          <c:w val="0.88600049993750751"/>
          <c:h val="0.64974839474780766"/>
        </c:manualLayout>
      </c:layout>
      <c:barChart>
        <c:barDir val="col"/>
        <c:grouping val="stacked"/>
        <c:varyColors val="0"/>
        <c:ser>
          <c:idx val="0"/>
          <c:order val="0"/>
          <c:spPr>
            <a:solidFill>
              <a:srgbClr val="304D73"/>
            </a:solidFill>
          </c:spPr>
          <c:invertIfNegative val="0"/>
          <c:dLbls>
            <c:dLbl>
              <c:idx val="0"/>
              <c:layout>
                <c:manualLayout>
                  <c:x val="-2.3724792408066431E-3"/>
                  <c:y val="-0.3636363636363638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715-4D9B-B29B-08A7445E4194}"/>
                </c:ext>
              </c:extLst>
            </c:dLbl>
            <c:dLbl>
              <c:idx val="1"/>
              <c:layout>
                <c:manualLayout>
                  <c:x val="0"/>
                  <c:y val="-0.227951153324287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715-4D9B-B29B-08A7445E4194}"/>
                </c:ext>
              </c:extLst>
            </c:dLbl>
            <c:dLbl>
              <c:idx val="2"/>
              <c:layout>
                <c:manualLayout>
                  <c:x val="0"/>
                  <c:y val="-0.33107191316146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715-4D9B-B29B-08A7445E4194}"/>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Rural</c:v>
                </c:pt>
                <c:pt idx="1">
                  <c:v>Urban</c:v>
                </c:pt>
                <c:pt idx="2">
                  <c:v>Camp</c:v>
                </c:pt>
              </c:strCache>
            </c:strRef>
          </c:cat>
          <c:val>
            <c:numRef>
              <c:f>Sheet1!$B$2:$B$4</c:f>
              <c:numCache>
                <c:formatCode>General</c:formatCode>
                <c:ptCount val="3"/>
                <c:pt idx="0">
                  <c:v>3.9</c:v>
                </c:pt>
                <c:pt idx="1">
                  <c:v>2.5</c:v>
                </c:pt>
                <c:pt idx="2">
                  <c:v>3.6</c:v>
                </c:pt>
              </c:numCache>
            </c:numRef>
          </c:val>
          <c:extLst>
            <c:ext xmlns:c16="http://schemas.microsoft.com/office/drawing/2014/chart" uri="{C3380CC4-5D6E-409C-BE32-E72D297353CC}">
              <c16:uniqueId val="{00000003-6715-4D9B-B29B-08A7445E4194}"/>
            </c:ext>
          </c:extLst>
        </c:ser>
        <c:dLbls>
          <c:showLegendKey val="0"/>
          <c:showVal val="0"/>
          <c:showCatName val="0"/>
          <c:showSerName val="0"/>
          <c:showPercent val="0"/>
          <c:showBubbleSize val="0"/>
        </c:dLbls>
        <c:gapWidth val="150"/>
        <c:overlap val="100"/>
        <c:axId val="181348224"/>
        <c:axId val="181358592"/>
      </c:barChart>
      <c:catAx>
        <c:axId val="181348224"/>
        <c:scaling>
          <c:orientation val="minMax"/>
        </c:scaling>
        <c:delete val="0"/>
        <c:axPos val="b"/>
        <c:title>
          <c:tx>
            <c:rich>
              <a:bodyPr/>
              <a:lstStyle/>
              <a:p>
                <a:pPr>
                  <a:defRPr/>
                </a:pPr>
                <a:r>
                  <a:rPr lang="en-US"/>
                  <a:t>Locality</a:t>
                </a:r>
                <a:r>
                  <a:rPr lang="en-US" baseline="0"/>
                  <a:t> Type</a:t>
                </a:r>
                <a:endParaRPr lang="en-US"/>
              </a:p>
            </c:rich>
          </c:tx>
          <c:overlay val="0"/>
        </c:title>
        <c:numFmt formatCode="General" sourceLinked="0"/>
        <c:majorTickMark val="out"/>
        <c:minorTickMark val="none"/>
        <c:tickLblPos val="nextTo"/>
        <c:spPr>
          <a:ln>
            <a:solidFill>
              <a:sysClr val="windowText" lastClr="000000"/>
            </a:solidFill>
          </a:ln>
        </c:spPr>
        <c:crossAx val="181358592"/>
        <c:crosses val="autoZero"/>
        <c:auto val="1"/>
        <c:lblAlgn val="ctr"/>
        <c:lblOffset val="100"/>
        <c:noMultiLvlLbl val="0"/>
      </c:catAx>
      <c:valAx>
        <c:axId val="181358592"/>
        <c:scaling>
          <c:orientation val="minMax"/>
          <c:max val="4"/>
          <c:min val="1"/>
        </c:scaling>
        <c:delete val="0"/>
        <c:axPos val="l"/>
        <c:title>
          <c:tx>
            <c:rich>
              <a:bodyPr/>
              <a:lstStyle/>
              <a:p>
                <a:pPr>
                  <a:defRPr/>
                </a:pPr>
                <a:r>
                  <a:rPr lang="en-US"/>
                  <a:t>Percentage</a:t>
                </a:r>
              </a:p>
            </c:rich>
          </c:tx>
          <c:layout>
            <c:manualLayout>
              <c:xMode val="edge"/>
              <c:yMode val="edge"/>
              <c:x val="1.5508418590533323E-2"/>
              <c:y val="0.29028985352407632"/>
            </c:manualLayout>
          </c:layout>
          <c:overlay val="0"/>
        </c:title>
        <c:numFmt formatCode="#,##0.0" sourceLinked="0"/>
        <c:majorTickMark val="out"/>
        <c:minorTickMark val="none"/>
        <c:tickLblPos val="nextTo"/>
        <c:spPr>
          <a:ln>
            <a:solidFill>
              <a:sysClr val="windowText" lastClr="000000"/>
            </a:solidFill>
          </a:ln>
        </c:spPr>
        <c:crossAx val="181348224"/>
        <c:crosses val="autoZero"/>
        <c:crossBetween val="between"/>
      </c:valAx>
    </c:plotArea>
    <c:plotVisOnly val="1"/>
    <c:dispBlanksAs val="gap"/>
    <c:showDLblsOverMax val="0"/>
  </c:chart>
  <c:spPr>
    <a:ln>
      <a:noFill/>
    </a:ln>
  </c:spPr>
  <c:externalData r:id="rId1">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2047717993584135"/>
          <c:w val="0.8113301983085448"/>
          <c:h val="0.61446759259259265"/>
        </c:manualLayout>
      </c:layout>
      <c:barChart>
        <c:barDir val="col"/>
        <c:grouping val="clustered"/>
        <c:varyColors val="0"/>
        <c:ser>
          <c:idx val="0"/>
          <c:order val="0"/>
          <c:tx>
            <c:strRef>
              <c:f>Sheet1!$B$1</c:f>
              <c:strCache>
                <c:ptCount val="1"/>
                <c:pt idx="0">
                  <c:v>Palestine</c:v>
                </c:pt>
              </c:strCache>
            </c:strRef>
          </c:tx>
          <c:invertIfNegative val="0"/>
          <c:dLbls>
            <c:spPr>
              <a:noFill/>
              <a:ln w="25383">
                <a:noFill/>
              </a:ln>
            </c:spPr>
            <c:txPr>
              <a:bodyPr/>
              <a:lstStyle/>
              <a:p>
                <a:pPr>
                  <a:defRPr lang="en-GB"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General</c:formatCode>
                <c:ptCount val="2"/>
                <c:pt idx="0" formatCode="0.0">
                  <c:v>43</c:v>
                </c:pt>
                <c:pt idx="1">
                  <c:v>52.4</c:v>
                </c:pt>
              </c:numCache>
            </c:numRef>
          </c:val>
          <c:extLst>
            <c:ext xmlns:c16="http://schemas.microsoft.com/office/drawing/2014/chart" uri="{C3380CC4-5D6E-409C-BE32-E72D297353CC}">
              <c16:uniqueId val="{00000000-4F4D-4CD9-9E70-5108778D07D8}"/>
            </c:ext>
          </c:extLst>
        </c:ser>
        <c:ser>
          <c:idx val="1"/>
          <c:order val="1"/>
          <c:tx>
            <c:strRef>
              <c:f>Sheet1!$C$1</c:f>
              <c:strCache>
                <c:ptCount val="1"/>
                <c:pt idx="0">
                  <c:v>West Bank</c:v>
                </c:pt>
              </c:strCache>
            </c:strRef>
          </c:tx>
          <c:spPr>
            <a:solidFill>
              <a:srgbClr val="4F81BD">
                <a:lumMod val="20000"/>
                <a:lumOff val="80000"/>
              </a:srgbClr>
            </a:solidFill>
          </c:spPr>
          <c:invertIfNegative val="0"/>
          <c:dLbls>
            <c:spPr>
              <a:noFill/>
              <a:ln w="25383">
                <a:noFill/>
              </a:ln>
            </c:spPr>
            <c:txPr>
              <a:bodyPr/>
              <a:lstStyle/>
              <a:p>
                <a:pPr>
                  <a:defRPr lang="en-GB"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0.0</c:formatCode>
                <c:ptCount val="2"/>
                <c:pt idx="0" formatCode="General">
                  <c:v>38.300000000000004</c:v>
                </c:pt>
                <c:pt idx="1">
                  <c:v>47</c:v>
                </c:pt>
              </c:numCache>
            </c:numRef>
          </c:val>
          <c:extLst>
            <c:ext xmlns:c16="http://schemas.microsoft.com/office/drawing/2014/chart" uri="{C3380CC4-5D6E-409C-BE32-E72D297353CC}">
              <c16:uniqueId val="{00000001-4F4D-4CD9-9E70-5108778D07D8}"/>
            </c:ext>
          </c:extLst>
        </c:ser>
        <c:ser>
          <c:idx val="2"/>
          <c:order val="2"/>
          <c:tx>
            <c:strRef>
              <c:f>Sheet1!$D$1</c:f>
              <c:strCache>
                <c:ptCount val="1"/>
                <c:pt idx="0">
                  <c:v>Gaza Strip</c:v>
                </c:pt>
              </c:strCache>
            </c:strRef>
          </c:tx>
          <c:spPr>
            <a:solidFill>
              <a:srgbClr val="9BBB59">
                <a:lumMod val="50000"/>
              </a:srgbClr>
            </a:solidFill>
          </c:spPr>
          <c:invertIfNegative val="0"/>
          <c:dLbls>
            <c:spPr>
              <a:noFill/>
              <a:ln w="25383">
                <a:noFill/>
              </a:ln>
            </c:spPr>
            <c:txPr>
              <a:bodyPr/>
              <a:lstStyle/>
              <a:p>
                <a:pPr>
                  <a:defRPr lang="en-GB"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General</c:formatCode>
                <c:ptCount val="2"/>
                <c:pt idx="0">
                  <c:v>45.9</c:v>
                </c:pt>
                <c:pt idx="1">
                  <c:v>56.2</c:v>
                </c:pt>
              </c:numCache>
            </c:numRef>
          </c:val>
          <c:extLst>
            <c:ext xmlns:c16="http://schemas.microsoft.com/office/drawing/2014/chart" uri="{C3380CC4-5D6E-409C-BE32-E72D297353CC}">
              <c16:uniqueId val="{00000002-4F4D-4CD9-9E70-5108778D07D8}"/>
            </c:ext>
          </c:extLst>
        </c:ser>
        <c:dLbls>
          <c:showLegendKey val="0"/>
          <c:showVal val="0"/>
          <c:showCatName val="0"/>
          <c:showSerName val="0"/>
          <c:showPercent val="0"/>
          <c:showBubbleSize val="0"/>
        </c:dLbls>
        <c:gapWidth val="150"/>
        <c:axId val="181522816"/>
        <c:axId val="181524736"/>
      </c:barChart>
      <c:catAx>
        <c:axId val="181522816"/>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1524736"/>
        <c:crosses val="autoZero"/>
        <c:auto val="1"/>
        <c:lblAlgn val="ctr"/>
        <c:lblOffset val="100"/>
        <c:noMultiLvlLbl val="0"/>
      </c:catAx>
      <c:valAx>
        <c:axId val="181524736"/>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81522816"/>
        <c:crosses val="autoZero"/>
        <c:crossBetween val="between"/>
      </c:valAx>
    </c:plotArea>
    <c:legend>
      <c:legendPos val="r"/>
      <c:layout>
        <c:manualLayout>
          <c:xMode val="edge"/>
          <c:yMode val="edge"/>
          <c:x val="0.47128589904522838"/>
          <c:y val="3.9189083265044361E-2"/>
          <c:w val="0.4523251169690764"/>
          <c:h val="8.828873766344803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West Bank</c:v>
                </c:pt>
              </c:strCache>
            </c:strRef>
          </c:tx>
          <c:spPr>
            <a:ln>
              <a:solidFill>
                <a:srgbClr val="304D73"/>
              </a:solidFill>
            </a:ln>
          </c:spPr>
          <c:marker>
            <c:symbol val="none"/>
          </c:marker>
          <c:dLbls>
            <c:spPr>
              <a:noFill/>
              <a:ln w="25367">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55.1</c:v>
                </c:pt>
                <c:pt idx="1">
                  <c:v>54.1</c:v>
                </c:pt>
                <c:pt idx="2">
                  <c:v>52.3</c:v>
                </c:pt>
                <c:pt idx="3">
                  <c:v>56.1</c:v>
                </c:pt>
                <c:pt idx="4">
                  <c:v>54.5</c:v>
                </c:pt>
                <c:pt idx="5">
                  <c:v>57.6</c:v>
                </c:pt>
                <c:pt idx="6">
                  <c:v>53.6</c:v>
                </c:pt>
              </c:numCache>
            </c:numRef>
          </c:val>
          <c:smooth val="0"/>
          <c:extLst>
            <c:ext xmlns:c16="http://schemas.microsoft.com/office/drawing/2014/chart" uri="{C3380CC4-5D6E-409C-BE32-E72D297353CC}">
              <c16:uniqueId val="{00000000-E918-4848-BA97-2441CDB4FCD8}"/>
            </c:ext>
          </c:extLst>
        </c:ser>
        <c:dLbls>
          <c:showLegendKey val="0"/>
          <c:showVal val="0"/>
          <c:showCatName val="0"/>
          <c:showSerName val="0"/>
          <c:showPercent val="0"/>
          <c:showBubbleSize val="0"/>
        </c:dLbls>
        <c:smooth val="0"/>
        <c:axId val="181475968"/>
        <c:axId val="181621504"/>
      </c:lineChart>
      <c:catAx>
        <c:axId val="181475968"/>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sz="800"/>
            </a:pPr>
            <a:endParaRPr lang="ar-SA"/>
          </a:p>
        </c:txPr>
        <c:crossAx val="181621504"/>
        <c:crosses val="autoZero"/>
        <c:auto val="1"/>
        <c:lblAlgn val="ctr"/>
        <c:lblOffset val="100"/>
        <c:noMultiLvlLbl val="0"/>
      </c:catAx>
      <c:valAx>
        <c:axId val="181621504"/>
        <c:scaling>
          <c:orientation val="minMax"/>
          <c:min val="50"/>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1475968"/>
        <c:crosses val="autoZero"/>
        <c:crossBetween val="between"/>
      </c:valAx>
    </c:plotArea>
    <c:plotVisOnly val="1"/>
    <c:dispBlanksAs val="gap"/>
    <c:showDLblsOverMax val="0"/>
  </c:chart>
  <c:spPr>
    <a:noFill/>
    <a:ln>
      <a:noFill/>
    </a:ln>
  </c:spPr>
  <c:externalData r:id="rId2">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1332932341790643E-2"/>
          <c:y val="7.1465965238373369E-2"/>
          <c:w val="0.89127241907261556"/>
          <c:h val="0.7565236668101929"/>
        </c:manualLayout>
      </c:layout>
      <c:barChart>
        <c:barDir val="col"/>
        <c:grouping val="clustered"/>
        <c:varyColors val="0"/>
        <c:ser>
          <c:idx val="0"/>
          <c:order val="0"/>
          <c:tx>
            <c:strRef>
              <c:f>Sheet1!$B$1</c:f>
              <c:strCache>
                <c:ptCount val="1"/>
                <c:pt idx="0">
                  <c:v>Males</c:v>
                </c:pt>
              </c:strCache>
            </c:strRef>
          </c:tx>
          <c:invertIfNegative val="0"/>
          <c:dLbls>
            <c:dLbl>
              <c:idx val="1"/>
              <c:layout>
                <c:manualLayout>
                  <c:x val="-7.155635062611809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AC2-4257-9268-B9D49E6015D3}"/>
                </c:ext>
              </c:extLst>
            </c:dLbl>
            <c:dLbl>
              <c:idx val="2"/>
              <c:layout>
                <c:manualLayout>
                  <c:x val="-4.770423375074717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AC2-4257-9268-B9D49E6015D3}"/>
                </c:ext>
              </c:extLst>
            </c:dLbl>
            <c:dLbl>
              <c:idx val="3"/>
              <c:layout>
                <c:manualLayout>
                  <c:x val="-9.540846750149104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C2-4257-9268-B9D49E6015D3}"/>
                </c:ext>
              </c:extLst>
            </c:dLbl>
            <c:dLbl>
              <c:idx val="6"/>
              <c:layout>
                <c:manualLayout>
                  <c:x val="-7.155635062611809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C2-4257-9268-B9D49E6015D3}"/>
                </c:ext>
              </c:extLst>
            </c:dLbl>
            <c:dLbl>
              <c:idx val="8"/>
              <c:layout>
                <c:manualLayout>
                  <c:x val="-9.5408467501491047E-3"/>
                  <c:y val="2.17094017094017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C2-4257-9268-B9D49E6015D3}"/>
                </c:ext>
              </c:extLst>
            </c:dLbl>
            <c:dLbl>
              <c:idx val="9"/>
              <c:layout>
                <c:manualLayout>
                  <c:x val="-9.5408467501490266E-3"/>
                  <c:y val="5.427350427350429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C2-4257-9268-B9D49E6015D3}"/>
                </c:ext>
              </c:extLst>
            </c:dLbl>
            <c:dLbl>
              <c:idx val="10"/>
              <c:layout>
                <c:manualLayout>
                  <c:x val="-1.192605843768663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AC2-4257-9268-B9D49E6015D3}"/>
                </c:ext>
              </c:extLst>
            </c:dLbl>
            <c:dLbl>
              <c:idx val="11"/>
              <c:layout>
                <c:manualLayout>
                  <c:x val="-1.3888888888889365E-2"/>
                  <c:y val="3.968253968253980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AC2-4257-9268-B9D49E6015D3}"/>
                </c:ext>
              </c:extLst>
            </c:dLbl>
            <c:spPr>
              <a:noFill/>
              <a:ln w="2541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54.9</c:v>
                </c:pt>
                <c:pt idx="1">
                  <c:v>53.9</c:v>
                </c:pt>
                <c:pt idx="2">
                  <c:v>51.7</c:v>
                </c:pt>
                <c:pt idx="3">
                  <c:v>55.9</c:v>
                </c:pt>
                <c:pt idx="4">
                  <c:v>54.997</c:v>
                </c:pt>
                <c:pt idx="5">
                  <c:v>56.5</c:v>
                </c:pt>
                <c:pt idx="6">
                  <c:v>51.3</c:v>
                </c:pt>
              </c:numCache>
            </c:numRef>
          </c:val>
          <c:extLst>
            <c:ext xmlns:c16="http://schemas.microsoft.com/office/drawing/2014/chart" uri="{C3380CC4-5D6E-409C-BE32-E72D297353CC}">
              <c16:uniqueId val="{00000008-5AC2-4257-9268-B9D49E6015D3}"/>
            </c:ext>
          </c:extLst>
        </c:ser>
        <c:ser>
          <c:idx val="1"/>
          <c:order val="1"/>
          <c:tx>
            <c:strRef>
              <c:f>Sheet1!$C$1</c:f>
              <c:strCache>
                <c:ptCount val="1"/>
                <c:pt idx="0">
                  <c:v>Females</c:v>
                </c:pt>
              </c:strCache>
            </c:strRef>
          </c:tx>
          <c:spPr>
            <a:solidFill>
              <a:srgbClr val="4F81BD">
                <a:lumMod val="20000"/>
                <a:lumOff val="80000"/>
              </a:srgbClr>
            </a:solidFill>
          </c:spPr>
          <c:invertIfNegative val="0"/>
          <c:dLbls>
            <c:dLbl>
              <c:idx val="0"/>
              <c:layout>
                <c:manualLayout>
                  <c:x val="1.431127012522361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AC2-4257-9268-B9D49E6015D3}"/>
                </c:ext>
              </c:extLst>
            </c:dLbl>
            <c:spPr>
              <a:noFill/>
              <a:ln w="2541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65.900000000000006</c:v>
                </c:pt>
                <c:pt idx="1">
                  <c:v>59.7</c:v>
                </c:pt>
                <c:pt idx="2">
                  <c:v>64.400000000000006</c:v>
                </c:pt>
                <c:pt idx="3">
                  <c:v>63.2</c:v>
                </c:pt>
                <c:pt idx="4">
                  <c:v>49.7</c:v>
                </c:pt>
                <c:pt idx="5">
                  <c:v>70.7</c:v>
                </c:pt>
                <c:pt idx="6">
                  <c:v>72.900000000000006</c:v>
                </c:pt>
              </c:numCache>
            </c:numRef>
          </c:val>
          <c:extLst>
            <c:ext xmlns:c16="http://schemas.microsoft.com/office/drawing/2014/chart" uri="{C3380CC4-5D6E-409C-BE32-E72D297353CC}">
              <c16:uniqueId val="{0000000A-5AC2-4257-9268-B9D49E6015D3}"/>
            </c:ext>
          </c:extLst>
        </c:ser>
        <c:dLbls>
          <c:showLegendKey val="0"/>
          <c:showVal val="0"/>
          <c:showCatName val="0"/>
          <c:showSerName val="0"/>
          <c:showPercent val="0"/>
          <c:showBubbleSize val="0"/>
        </c:dLbls>
        <c:gapWidth val="150"/>
        <c:axId val="181634944"/>
        <c:axId val="181559296"/>
      </c:barChart>
      <c:catAx>
        <c:axId val="1816349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1559296"/>
        <c:crosses val="autoZero"/>
        <c:auto val="1"/>
        <c:lblAlgn val="ctr"/>
        <c:lblOffset val="100"/>
        <c:noMultiLvlLbl val="0"/>
      </c:catAx>
      <c:valAx>
        <c:axId val="181559296"/>
        <c:scaling>
          <c:orientation val="minMax"/>
          <c:min val="3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1634944"/>
        <c:crosses val="autoZero"/>
        <c:crossBetween val="between"/>
      </c:valAx>
    </c:plotArea>
    <c:legend>
      <c:legendPos val="r"/>
      <c:layout>
        <c:manualLayout>
          <c:xMode val="edge"/>
          <c:yMode val="edge"/>
          <c:x val="0.57260387677670965"/>
          <c:y val="3.141676862671542E-2"/>
          <c:w val="0.33452419466242678"/>
          <c:h val="9.1928021709150751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141277284159681E-2"/>
          <c:y val="0.16083474859760191"/>
          <c:w val="0.91016833168727107"/>
          <c:h val="0.63870619113787264"/>
        </c:manualLayout>
      </c:layout>
      <c:barChart>
        <c:barDir val="col"/>
        <c:grouping val="clustered"/>
        <c:varyColors val="0"/>
        <c:ser>
          <c:idx val="0"/>
          <c:order val="0"/>
          <c:tx>
            <c:strRef>
              <c:f>Sheet1!$B$1</c:f>
              <c:strCache>
                <c:ptCount val="1"/>
                <c:pt idx="0">
                  <c:v>Palestine</c:v>
                </c:pt>
              </c:strCache>
            </c:strRef>
          </c:tx>
          <c:invertIfNegative val="0"/>
          <c:dLbls>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Sheet1!$B$2:$B$3</c:f>
              <c:numCache>
                <c:formatCode>0.0</c:formatCode>
                <c:ptCount val="2"/>
                <c:pt idx="0">
                  <c:v>2.1</c:v>
                </c:pt>
                <c:pt idx="1">
                  <c:v>3.9</c:v>
                </c:pt>
              </c:numCache>
            </c:numRef>
          </c:val>
          <c:extLst>
            <c:ext xmlns:c16="http://schemas.microsoft.com/office/drawing/2014/chart" uri="{C3380CC4-5D6E-409C-BE32-E72D297353CC}">
              <c16:uniqueId val="{00000000-289D-4FD9-91E3-A063859F012A}"/>
            </c:ext>
          </c:extLst>
        </c:ser>
        <c:ser>
          <c:idx val="1"/>
          <c:order val="1"/>
          <c:tx>
            <c:strRef>
              <c:f>Sheet1!$C$1</c:f>
              <c:strCache>
                <c:ptCount val="1"/>
                <c:pt idx="0">
                  <c:v>West Bank</c:v>
                </c:pt>
              </c:strCache>
            </c:strRef>
          </c:tx>
          <c:spPr>
            <a:solidFill>
              <a:srgbClr val="4F81BD">
                <a:lumMod val="20000"/>
                <a:lumOff val="80000"/>
              </a:srgbClr>
            </a:solidFill>
          </c:spPr>
          <c:invertIfNegative val="0"/>
          <c:dLbls>
            <c:dLbl>
              <c:idx val="1"/>
              <c:layout>
                <c:manualLayout>
                  <c:x val="0"/>
                  <c:y val="2.564102564102629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89D-4FD9-91E3-A063859F012A}"/>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Sheet1!$C$2:$C$3</c:f>
              <c:numCache>
                <c:formatCode>0.0</c:formatCode>
                <c:ptCount val="2"/>
                <c:pt idx="0">
                  <c:v>1.9000000000000001</c:v>
                </c:pt>
                <c:pt idx="1">
                  <c:v>4.4000000000000004</c:v>
                </c:pt>
              </c:numCache>
            </c:numRef>
          </c:val>
          <c:extLst>
            <c:ext xmlns:c16="http://schemas.microsoft.com/office/drawing/2014/chart" uri="{C3380CC4-5D6E-409C-BE32-E72D297353CC}">
              <c16:uniqueId val="{00000002-289D-4FD9-91E3-A063859F012A}"/>
            </c:ext>
          </c:extLst>
        </c:ser>
        <c:ser>
          <c:idx val="2"/>
          <c:order val="2"/>
          <c:tx>
            <c:strRef>
              <c:f>Sheet1!$D$1</c:f>
              <c:strCache>
                <c:ptCount val="1"/>
                <c:pt idx="0">
                  <c:v>Gaza Strip</c:v>
                </c:pt>
              </c:strCache>
            </c:strRef>
          </c:tx>
          <c:spPr>
            <a:solidFill>
              <a:srgbClr val="9BBB59">
                <a:lumMod val="50000"/>
              </a:srgbClr>
            </a:solidFill>
          </c:spPr>
          <c:invertIfNegative val="0"/>
          <c:dLbls>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Sheet1!$D$2:$D$3</c:f>
              <c:numCache>
                <c:formatCode>0.0</c:formatCode>
                <c:ptCount val="2"/>
                <c:pt idx="0">
                  <c:v>2.4</c:v>
                </c:pt>
                <c:pt idx="1">
                  <c:v>3.3</c:v>
                </c:pt>
              </c:numCache>
            </c:numRef>
          </c:val>
          <c:extLst>
            <c:ext xmlns:c16="http://schemas.microsoft.com/office/drawing/2014/chart" uri="{C3380CC4-5D6E-409C-BE32-E72D297353CC}">
              <c16:uniqueId val="{00000003-289D-4FD9-91E3-A063859F012A}"/>
            </c:ext>
          </c:extLst>
        </c:ser>
        <c:dLbls>
          <c:showLegendKey val="0"/>
          <c:showVal val="0"/>
          <c:showCatName val="0"/>
          <c:showSerName val="0"/>
          <c:showPercent val="0"/>
          <c:showBubbleSize val="0"/>
        </c:dLbls>
        <c:gapWidth val="150"/>
        <c:axId val="181723136"/>
        <c:axId val="181725056"/>
      </c:barChart>
      <c:catAx>
        <c:axId val="181723136"/>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1725056"/>
        <c:crosses val="autoZero"/>
        <c:auto val="1"/>
        <c:lblAlgn val="ctr"/>
        <c:lblOffset val="100"/>
        <c:noMultiLvlLbl val="0"/>
      </c:catAx>
      <c:valAx>
        <c:axId val="181725056"/>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layout>
            <c:manualLayout>
              <c:xMode val="edge"/>
              <c:yMode val="edge"/>
              <c:x val="1.0962955473262485E-2"/>
              <c:y val="0.30865936412446537"/>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81723136"/>
        <c:crosses val="autoZero"/>
        <c:crossBetween val="between"/>
      </c:valAx>
    </c:plotArea>
    <c:legend>
      <c:legendPos val="r"/>
      <c:layout>
        <c:manualLayout>
          <c:xMode val="edge"/>
          <c:yMode val="edge"/>
          <c:x val="0.53318985207105962"/>
          <c:y val="2.7017524048085901E-2"/>
          <c:w val="0.44881624453982932"/>
          <c:h val="0.12443408719933467"/>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405766174596956"/>
          <c:y val="6.3898887639045124E-2"/>
          <c:w val="0.82067737244679828"/>
          <c:h val="0.76188267007164645"/>
        </c:manualLayout>
      </c:layout>
      <c:barChart>
        <c:barDir val="col"/>
        <c:grouping val="clustered"/>
        <c:varyColors val="0"/>
        <c:ser>
          <c:idx val="0"/>
          <c:order val="0"/>
          <c:tx>
            <c:strRef>
              <c:f>Sheet1!$A$2</c:f>
              <c:strCache>
                <c:ptCount val="1"/>
                <c:pt idx="0">
                  <c:v>Males</c:v>
                </c:pt>
              </c:strCache>
            </c:strRef>
          </c:tx>
          <c:spPr>
            <a:solidFill>
              <a:srgbClr val="1F497D">
                <a:lumMod val="20000"/>
                <a:lumOff val="80000"/>
              </a:srgbClr>
            </a:solidFill>
          </c:spPr>
          <c:invertIfNegative val="0"/>
          <c:dLbls>
            <c:spPr>
              <a:noFill/>
              <a:ln w="2539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2018</c:v>
                </c:pt>
                <c:pt idx="1">
                  <c:v>2021</c:v>
                </c:pt>
              </c:strCache>
            </c:strRef>
          </c:cat>
          <c:val>
            <c:numRef>
              <c:f>Sheet1!$B$2:$C$2</c:f>
              <c:numCache>
                <c:formatCode>General</c:formatCode>
                <c:ptCount val="2"/>
                <c:pt idx="0" formatCode="0.0">
                  <c:v>2.7</c:v>
                </c:pt>
                <c:pt idx="1">
                  <c:v>4.8</c:v>
                </c:pt>
              </c:numCache>
            </c:numRef>
          </c:val>
          <c:extLst>
            <c:ext xmlns:c16="http://schemas.microsoft.com/office/drawing/2014/chart" uri="{C3380CC4-5D6E-409C-BE32-E72D297353CC}">
              <c16:uniqueId val="{00000000-6847-476F-92FC-5A5B5AC95D92}"/>
            </c:ext>
          </c:extLst>
        </c:ser>
        <c:ser>
          <c:idx val="1"/>
          <c:order val="1"/>
          <c:tx>
            <c:strRef>
              <c:f>Sheet1!$A$3</c:f>
              <c:strCache>
                <c:ptCount val="1"/>
                <c:pt idx="0">
                  <c:v>Females</c:v>
                </c:pt>
              </c:strCache>
            </c:strRef>
          </c:tx>
          <c:invertIfNegative val="0"/>
          <c:dLbls>
            <c:spPr>
              <a:noFill/>
              <a:ln w="2539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2018</c:v>
                </c:pt>
                <c:pt idx="1">
                  <c:v>2021</c:v>
                </c:pt>
              </c:strCache>
            </c:strRef>
          </c:cat>
          <c:val>
            <c:numRef>
              <c:f>Sheet1!$B$3:$C$3</c:f>
              <c:numCache>
                <c:formatCode>General</c:formatCode>
                <c:ptCount val="2"/>
                <c:pt idx="0" formatCode="0.0">
                  <c:v>1.4</c:v>
                </c:pt>
                <c:pt idx="1">
                  <c:v>2.5</c:v>
                </c:pt>
              </c:numCache>
            </c:numRef>
          </c:val>
          <c:extLst>
            <c:ext xmlns:c16="http://schemas.microsoft.com/office/drawing/2014/chart" uri="{C3380CC4-5D6E-409C-BE32-E72D297353CC}">
              <c16:uniqueId val="{00000001-6847-476F-92FC-5A5B5AC95D92}"/>
            </c:ext>
          </c:extLst>
        </c:ser>
        <c:dLbls>
          <c:showLegendKey val="0"/>
          <c:showVal val="0"/>
          <c:showCatName val="0"/>
          <c:showSerName val="0"/>
          <c:showPercent val="0"/>
          <c:showBubbleSize val="0"/>
        </c:dLbls>
        <c:gapWidth val="150"/>
        <c:axId val="181784576"/>
        <c:axId val="181786496"/>
      </c:barChart>
      <c:catAx>
        <c:axId val="1817845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0"/>
        <c:majorTickMark val="out"/>
        <c:minorTickMark val="none"/>
        <c:tickLblPos val="nextTo"/>
        <c:spPr>
          <a:ln>
            <a:solidFill>
              <a:sysClr val="windowText" lastClr="000000"/>
            </a:solidFill>
          </a:ln>
        </c:spPr>
        <c:txPr>
          <a:bodyPr/>
          <a:lstStyle/>
          <a:p>
            <a:pPr>
              <a:defRPr lang="en-GB"/>
            </a:pPr>
            <a:endParaRPr lang="ar-SA"/>
          </a:p>
        </c:txPr>
        <c:crossAx val="181786496"/>
        <c:crosses val="autoZero"/>
        <c:auto val="1"/>
        <c:lblAlgn val="ctr"/>
        <c:lblOffset val="100"/>
        <c:noMultiLvlLbl val="0"/>
      </c:catAx>
      <c:valAx>
        <c:axId val="18178649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manualLayout>
              <c:xMode val="edge"/>
              <c:yMode val="edge"/>
              <c:x val="1.9220341882650607E-2"/>
              <c:y val="0.28115082132295804"/>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81784576"/>
        <c:crosses val="autoZero"/>
        <c:crossBetween val="between"/>
      </c:valAx>
    </c:plotArea>
    <c:legend>
      <c:legendPos val="r"/>
      <c:layout>
        <c:manualLayout>
          <c:xMode val="edge"/>
          <c:yMode val="edge"/>
          <c:x val="0.55667939828417512"/>
          <c:y val="2.3480414004853182E-2"/>
          <c:w val="0.37387609198104005"/>
          <c:h val="8.795968900113899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726968174204354E-2"/>
          <c:y val="3.8626609442060089E-2"/>
          <c:w val="0.83082077051926295"/>
          <c:h val="0.81545064377682408"/>
        </c:manualLayout>
      </c:layout>
      <c:lineChart>
        <c:grouping val="standard"/>
        <c:varyColors val="0"/>
        <c:ser>
          <c:idx val="0"/>
          <c:order val="0"/>
          <c:tx>
            <c:strRef>
              <c:f>Sheet1!$B$1</c:f>
              <c:strCache>
                <c:ptCount val="1"/>
                <c:pt idx="0">
                  <c:v>Column1</c:v>
                </c:pt>
              </c:strCache>
            </c:strRef>
          </c:tx>
          <c:spPr>
            <a:ln>
              <a:solidFill>
                <a:srgbClr val="333352"/>
              </a:solidFill>
            </a:ln>
          </c:spPr>
          <c:marker>
            <c:symbol val="none"/>
          </c:marker>
          <c:dLbls>
            <c:dLbl>
              <c:idx val="0"/>
              <c:layout>
                <c:manualLayout>
                  <c:x val="-5.0532791387454701E-2"/>
                  <c:y val="-5.4884742041712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C4B-4913-8B6A-A0D01C1540C2}"/>
                </c:ext>
              </c:extLst>
            </c:dLbl>
            <c:dLbl>
              <c:idx val="1"/>
              <c:layout>
                <c:manualLayout>
                  <c:x val="-6.4814814814817975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013-4430-8C87-006A35F72521}"/>
                </c:ext>
              </c:extLst>
            </c:dLbl>
            <c:dLbl>
              <c:idx val="2"/>
              <c:layout>
                <c:manualLayout>
                  <c:x val="-2.7777777777779657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13-4430-8C87-006A35F72521}"/>
                </c:ext>
              </c:extLst>
            </c:dLbl>
            <c:dLbl>
              <c:idx val="3"/>
              <c:layout>
                <c:manualLayout>
                  <c:x val="-3.7037037037037056E-2"/>
                  <c:y val="-5.55555555555554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013-4430-8C87-006A35F72521}"/>
                </c:ext>
              </c:extLst>
            </c:dLbl>
            <c:dLbl>
              <c:idx val="4"/>
              <c:layout>
                <c:manualLayout>
                  <c:x val="1.6083648118080083E-3"/>
                  <c:y val="-6.34921389491516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13-4430-8C87-006A35F72521}"/>
                </c:ext>
              </c:extLst>
            </c:dLbl>
            <c:dLbl>
              <c:idx val="8"/>
              <c:layout>
                <c:manualLayout>
                  <c:x val="-5.5555555555555455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013-4430-8C87-006A35F72521}"/>
                </c:ext>
              </c:extLst>
            </c:dLbl>
            <c:numFmt formatCode="#,##0.0" sourceLinked="0"/>
            <c:spPr>
              <a:noFill/>
              <a:ln w="2537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0.00</c:formatCode>
                <c:ptCount val="8"/>
                <c:pt idx="0">
                  <c:v>28.000000000000004</c:v>
                </c:pt>
                <c:pt idx="1">
                  <c:v>26.700000000000003</c:v>
                </c:pt>
                <c:pt idx="2">
                  <c:v>27.900000000000002</c:v>
                </c:pt>
                <c:pt idx="3">
                  <c:v>25.7</c:v>
                </c:pt>
                <c:pt idx="4">
                  <c:v>25.5</c:v>
                </c:pt>
                <c:pt idx="5">
                  <c:v>36</c:v>
                </c:pt>
                <c:pt idx="6">
                  <c:v>29.1</c:v>
                </c:pt>
                <c:pt idx="7">
                  <c:v>30.2</c:v>
                </c:pt>
              </c:numCache>
            </c:numRef>
          </c:val>
          <c:smooth val="0"/>
          <c:extLst>
            <c:ext xmlns:c16="http://schemas.microsoft.com/office/drawing/2014/chart" uri="{C3380CC4-5D6E-409C-BE32-E72D297353CC}">
              <c16:uniqueId val="{00000005-6013-4430-8C87-006A35F72521}"/>
            </c:ext>
          </c:extLst>
        </c:ser>
        <c:dLbls>
          <c:showLegendKey val="0"/>
          <c:showVal val="0"/>
          <c:showCatName val="0"/>
          <c:showSerName val="0"/>
          <c:showPercent val="0"/>
          <c:showBubbleSize val="0"/>
        </c:dLbls>
        <c:smooth val="0"/>
        <c:axId val="181945088"/>
        <c:axId val="181947008"/>
      </c:lineChart>
      <c:catAx>
        <c:axId val="18194508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1947008"/>
        <c:crosses val="autoZero"/>
        <c:auto val="1"/>
        <c:lblAlgn val="ctr"/>
        <c:lblOffset val="100"/>
        <c:noMultiLvlLbl val="0"/>
      </c:catAx>
      <c:valAx>
        <c:axId val="181947008"/>
        <c:scaling>
          <c:orientation val="minMax"/>
          <c:min val="24"/>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81945088"/>
        <c:crosses val="autoZero"/>
        <c:crossBetween val="between"/>
        <c:majorUnit val="2"/>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813342681479883"/>
          <c:y val="9.719352154151463E-2"/>
          <c:w val="0.88019516310461188"/>
          <c:h val="0.64494121161686635"/>
        </c:manualLayout>
      </c:layout>
      <c:barChart>
        <c:barDir val="col"/>
        <c:grouping val="clustered"/>
        <c:varyColors val="0"/>
        <c:ser>
          <c:idx val="0"/>
          <c:order val="0"/>
          <c:tx>
            <c:strRef>
              <c:f>Sheet1!$B$1</c:f>
              <c:strCache>
                <c:ptCount val="1"/>
                <c:pt idx="0">
                  <c:v>Palestine</c:v>
                </c:pt>
              </c:strCache>
            </c:strRef>
          </c:tx>
          <c:invertIfNegative val="0"/>
          <c:dLbls>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administrative services</c:v>
                </c:pt>
                <c:pt idx="1">
                  <c:v>secondary public schools</c:v>
                </c:pt>
                <c:pt idx="2">
                  <c:v>primary public schools</c:v>
                </c:pt>
                <c:pt idx="3">
                  <c:v>healthcare services</c:v>
                </c:pt>
              </c:strCache>
            </c:strRef>
          </c:cat>
          <c:val>
            <c:numRef>
              <c:f>Sheet1!$B$2:$B$5</c:f>
              <c:numCache>
                <c:formatCode>0.0</c:formatCode>
                <c:ptCount val="4"/>
                <c:pt idx="0">
                  <c:v>92.4</c:v>
                </c:pt>
                <c:pt idx="1">
                  <c:v>90.6</c:v>
                </c:pt>
                <c:pt idx="2">
                  <c:v>89</c:v>
                </c:pt>
                <c:pt idx="3">
                  <c:v>92.4</c:v>
                </c:pt>
              </c:numCache>
            </c:numRef>
          </c:val>
          <c:extLst>
            <c:ext xmlns:c16="http://schemas.microsoft.com/office/drawing/2014/chart" uri="{C3380CC4-5D6E-409C-BE32-E72D297353CC}">
              <c16:uniqueId val="{00000000-7D31-431D-A15F-52328FBCD16A}"/>
            </c:ext>
          </c:extLst>
        </c:ser>
        <c:ser>
          <c:idx val="1"/>
          <c:order val="1"/>
          <c:tx>
            <c:strRef>
              <c:f>Sheet1!$C$1</c:f>
              <c:strCache>
                <c:ptCount val="1"/>
                <c:pt idx="0">
                  <c:v>West Bank</c:v>
                </c:pt>
              </c:strCache>
            </c:strRef>
          </c:tx>
          <c:spPr>
            <a:solidFill>
              <a:srgbClr val="1F497D">
                <a:lumMod val="20000"/>
                <a:lumOff val="80000"/>
              </a:srgbClr>
            </a:solidFill>
          </c:spPr>
          <c:invertIfNegative val="0"/>
          <c:dLbls>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administrative services</c:v>
                </c:pt>
                <c:pt idx="1">
                  <c:v>secondary public schools</c:v>
                </c:pt>
                <c:pt idx="2">
                  <c:v>primary public schools</c:v>
                </c:pt>
                <c:pt idx="3">
                  <c:v>healthcare services</c:v>
                </c:pt>
              </c:strCache>
            </c:strRef>
          </c:cat>
          <c:val>
            <c:numRef>
              <c:f>Sheet1!$C$2:$C$5</c:f>
              <c:numCache>
                <c:formatCode>0.0</c:formatCode>
                <c:ptCount val="4"/>
                <c:pt idx="0">
                  <c:v>95.9</c:v>
                </c:pt>
                <c:pt idx="1">
                  <c:v>90.3</c:v>
                </c:pt>
                <c:pt idx="2">
                  <c:v>87.3</c:v>
                </c:pt>
                <c:pt idx="3">
                  <c:v>93.6</c:v>
                </c:pt>
              </c:numCache>
            </c:numRef>
          </c:val>
          <c:extLst>
            <c:ext xmlns:c16="http://schemas.microsoft.com/office/drawing/2014/chart" uri="{C3380CC4-5D6E-409C-BE32-E72D297353CC}">
              <c16:uniqueId val="{00000001-7D31-431D-A15F-52328FBCD16A}"/>
            </c:ext>
          </c:extLst>
        </c:ser>
        <c:ser>
          <c:idx val="2"/>
          <c:order val="2"/>
          <c:tx>
            <c:strRef>
              <c:f>Sheet1!$D$1</c:f>
              <c:strCache>
                <c:ptCount val="1"/>
                <c:pt idx="0">
                  <c:v>Gaza Strip</c:v>
                </c:pt>
              </c:strCache>
            </c:strRef>
          </c:tx>
          <c:spPr>
            <a:solidFill>
              <a:srgbClr val="9BBB59">
                <a:lumMod val="50000"/>
              </a:srgbClr>
            </a:solidFill>
          </c:spPr>
          <c:invertIfNegative val="0"/>
          <c:dLbls>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administrative services</c:v>
                </c:pt>
                <c:pt idx="1">
                  <c:v>secondary public schools</c:v>
                </c:pt>
                <c:pt idx="2">
                  <c:v>primary public schools</c:v>
                </c:pt>
                <c:pt idx="3">
                  <c:v>healthcare services</c:v>
                </c:pt>
              </c:strCache>
            </c:strRef>
          </c:cat>
          <c:val>
            <c:numRef>
              <c:f>Sheet1!$D$2:$D$5</c:f>
              <c:numCache>
                <c:formatCode>0.0</c:formatCode>
                <c:ptCount val="4"/>
                <c:pt idx="0">
                  <c:v>87.4</c:v>
                </c:pt>
                <c:pt idx="1">
                  <c:v>91</c:v>
                </c:pt>
                <c:pt idx="2">
                  <c:v>91.3</c:v>
                </c:pt>
                <c:pt idx="3">
                  <c:v>90.3</c:v>
                </c:pt>
              </c:numCache>
            </c:numRef>
          </c:val>
          <c:extLst>
            <c:ext xmlns:c16="http://schemas.microsoft.com/office/drawing/2014/chart" uri="{C3380CC4-5D6E-409C-BE32-E72D297353CC}">
              <c16:uniqueId val="{00000002-7D31-431D-A15F-52328FBCD16A}"/>
            </c:ext>
          </c:extLst>
        </c:ser>
        <c:dLbls>
          <c:showLegendKey val="0"/>
          <c:showVal val="0"/>
          <c:showCatName val="0"/>
          <c:showSerName val="0"/>
          <c:showPercent val="0"/>
          <c:showBubbleSize val="0"/>
        </c:dLbls>
        <c:gapWidth val="150"/>
        <c:axId val="181880704"/>
        <c:axId val="181882880"/>
      </c:barChart>
      <c:catAx>
        <c:axId val="18188070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Public Services</a:t>
                </a:r>
              </a:p>
            </c:rich>
          </c:tx>
          <c:overlay val="0"/>
        </c:title>
        <c:numFmt formatCode="General" sourceLinked="0"/>
        <c:majorTickMark val="out"/>
        <c:minorTickMark val="none"/>
        <c:tickLblPos val="nextTo"/>
        <c:spPr>
          <a:ln>
            <a:solidFill>
              <a:sysClr val="windowText" lastClr="000000"/>
            </a:solidFill>
          </a:ln>
        </c:spPr>
        <c:txPr>
          <a:bodyPr/>
          <a:lstStyle/>
          <a:p>
            <a:pPr>
              <a:defRPr lang="en-GB"/>
            </a:pPr>
            <a:endParaRPr lang="ar-SA"/>
          </a:p>
        </c:txPr>
        <c:crossAx val="181882880"/>
        <c:crosses val="autoZero"/>
        <c:auto val="1"/>
        <c:lblAlgn val="ctr"/>
        <c:lblOffset val="100"/>
        <c:noMultiLvlLbl val="0"/>
      </c:catAx>
      <c:valAx>
        <c:axId val="18188288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81880704"/>
        <c:crosses val="autoZero"/>
        <c:crossBetween val="between"/>
      </c:valAx>
    </c:plotArea>
    <c:legend>
      <c:legendPos val="r"/>
      <c:layout>
        <c:manualLayout>
          <c:xMode val="edge"/>
          <c:yMode val="edge"/>
          <c:x val="0.36351112502272631"/>
          <c:y val="3.412859736145317E-2"/>
          <c:w val="0.50121455896327649"/>
          <c:h val="0.12850721415728561"/>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028169014085361E-2"/>
          <c:y val="2.8571428571428591E-2"/>
          <c:w val="0.91021126760563376"/>
          <c:h val="0.8"/>
        </c:manualLayout>
      </c:layout>
      <c:barChart>
        <c:barDir val="col"/>
        <c:grouping val="stacked"/>
        <c:varyColors val="0"/>
        <c:ser>
          <c:idx val="0"/>
          <c:order val="0"/>
          <c:tx>
            <c:strRef>
              <c:f>Sheet1!$B$1</c:f>
              <c:strCache>
                <c:ptCount val="1"/>
                <c:pt idx="0">
                  <c:v>Sales</c:v>
                </c:pt>
              </c:strCache>
            </c:strRef>
          </c:tx>
          <c:spPr>
            <a:solidFill>
              <a:srgbClr val="CD9931"/>
            </a:solidFill>
            <a:ln>
              <a:solidFill>
                <a:srgbClr val="CD9931"/>
              </a:solidFill>
            </a:ln>
          </c:spPr>
          <c:invertIfNegative val="0"/>
          <c:dLbls>
            <c:dLbl>
              <c:idx val="0"/>
              <c:layout>
                <c:manualLayout>
                  <c:x val="6.4141414141415248E-3"/>
                  <c:y val="-0.3418339663591973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98-4114-9379-0289079BA0BA}"/>
                </c:ext>
              </c:extLst>
            </c:dLbl>
            <c:dLbl>
              <c:idx val="1"/>
              <c:layout>
                <c:manualLayout>
                  <c:x val="8.5521885521889131E-3"/>
                  <c:y val="-0.3852414541508413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98-4114-9379-0289079BA0BA}"/>
                </c:ext>
              </c:extLst>
            </c:dLbl>
            <c:dLbl>
              <c:idx val="2"/>
              <c:layout>
                <c:manualLayout>
                  <c:x val="0"/>
                  <c:y val="-0.3092783505154639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98-4114-9379-0289079BA0BA}"/>
                </c:ext>
              </c:extLst>
            </c:dLbl>
            <c:spPr>
              <a:noFill/>
              <a:ln w="2535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0.0</c:formatCode>
                <c:ptCount val="3"/>
                <c:pt idx="0">
                  <c:v>8.6</c:v>
                </c:pt>
                <c:pt idx="1">
                  <c:v>10.9</c:v>
                </c:pt>
                <c:pt idx="2">
                  <c:v>5.8</c:v>
                </c:pt>
              </c:numCache>
            </c:numRef>
          </c:val>
          <c:extLst>
            <c:ext xmlns:c16="http://schemas.microsoft.com/office/drawing/2014/chart" uri="{C3380CC4-5D6E-409C-BE32-E72D297353CC}">
              <c16:uniqueId val="{00000003-D698-4114-9379-0289079BA0BA}"/>
            </c:ext>
          </c:extLst>
        </c:ser>
        <c:dLbls>
          <c:showLegendKey val="0"/>
          <c:showVal val="0"/>
          <c:showCatName val="0"/>
          <c:showSerName val="0"/>
          <c:showPercent val="0"/>
          <c:showBubbleSize val="0"/>
        </c:dLbls>
        <c:gapWidth val="300"/>
        <c:overlap val="100"/>
        <c:axId val="192067840"/>
        <c:axId val="192074112"/>
      </c:barChart>
      <c:catAx>
        <c:axId val="19206784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Region</a:t>
                </a:r>
              </a:p>
            </c:rich>
          </c:tx>
          <c:overlay val="0"/>
        </c:title>
        <c:numFmt formatCode="General" sourceLinked="0"/>
        <c:majorTickMark val="none"/>
        <c:minorTickMark val="none"/>
        <c:tickLblPos val="nextTo"/>
        <c:txPr>
          <a:bodyPr/>
          <a:lstStyle/>
          <a:p>
            <a:pPr>
              <a:defRPr lang="en-GB"/>
            </a:pPr>
            <a:endParaRPr lang="ar-SA"/>
          </a:p>
        </c:txPr>
        <c:crossAx val="192074112"/>
        <c:crosses val="autoZero"/>
        <c:auto val="1"/>
        <c:lblAlgn val="ctr"/>
        <c:lblOffset val="100"/>
        <c:noMultiLvlLbl val="0"/>
      </c:catAx>
      <c:valAx>
        <c:axId val="192074112"/>
        <c:scaling>
          <c:orientation val="minMax"/>
          <c:max val="12"/>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txPr>
          <a:bodyPr/>
          <a:lstStyle/>
          <a:p>
            <a:pPr>
              <a:defRPr lang="en-GB"/>
            </a:pPr>
            <a:endParaRPr lang="ar-SA"/>
          </a:p>
        </c:txPr>
        <c:crossAx val="192067840"/>
        <c:crosses val="autoZero"/>
        <c:crossBetween val="between"/>
      </c:valAx>
      <c:spPr>
        <a:noFill/>
        <a:ln w="25359">
          <a:noFill/>
        </a:ln>
      </c:spPr>
    </c:plotArea>
    <c:plotVisOnly val="1"/>
    <c:dispBlanksAs val="zero"/>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8579461279465055E-2"/>
          <c:y val="0.15516872890888617"/>
          <c:w val="0.8588175084175087"/>
          <c:h val="0.56304333909480864"/>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The political system in the country allows individuals like me to have an opinion on what the government is doing)                          </c:v>
                </c:pt>
                <c:pt idx="1">
                  <c:v>I trust in my ability to participate in politics in the country</c:v>
                </c:pt>
              </c:strCache>
            </c:strRef>
          </c:cat>
          <c:val>
            <c:numRef>
              <c:f>Sheet1!$B$2:$B$3</c:f>
              <c:numCache>
                <c:formatCode>####.0</c:formatCode>
                <c:ptCount val="2"/>
                <c:pt idx="0">
                  <c:v>27.8</c:v>
                </c:pt>
                <c:pt idx="1">
                  <c:v>39.200000000000003</c:v>
                </c:pt>
              </c:numCache>
            </c:numRef>
          </c:val>
          <c:extLst>
            <c:ext xmlns:c16="http://schemas.microsoft.com/office/drawing/2014/chart" uri="{C3380CC4-5D6E-409C-BE32-E72D297353CC}">
              <c16:uniqueId val="{00000000-3089-4F47-BC45-3EF0FFCEB47F}"/>
            </c:ext>
          </c:extLst>
        </c:ser>
        <c:ser>
          <c:idx val="1"/>
          <c:order val="1"/>
          <c:tx>
            <c:strRef>
              <c:f>Sheet1!$C$1</c:f>
              <c:strCache>
                <c:ptCount val="1"/>
                <c:pt idx="0">
                  <c:v>West Bank</c:v>
                </c:pt>
              </c:strCache>
            </c:strRef>
          </c:tx>
          <c:spPr>
            <a:solidFill>
              <a:schemeClr val="tx2">
                <a:lumMod val="20000"/>
                <a:lumOff val="8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The political system in the country allows individuals like me to have an opinion on what the government is doing)                          </c:v>
                </c:pt>
                <c:pt idx="1">
                  <c:v>I trust in my ability to participate in politics in the country</c:v>
                </c:pt>
              </c:strCache>
            </c:strRef>
          </c:cat>
          <c:val>
            <c:numRef>
              <c:f>Sheet1!$C$2:$C$3</c:f>
              <c:numCache>
                <c:formatCode>####.0</c:formatCode>
                <c:ptCount val="2"/>
                <c:pt idx="0">
                  <c:v>29.7</c:v>
                </c:pt>
                <c:pt idx="1">
                  <c:v>39.5</c:v>
                </c:pt>
              </c:numCache>
            </c:numRef>
          </c:val>
          <c:extLst>
            <c:ext xmlns:c16="http://schemas.microsoft.com/office/drawing/2014/chart" uri="{C3380CC4-5D6E-409C-BE32-E72D297353CC}">
              <c16:uniqueId val="{00000001-3089-4F47-BC45-3EF0FFCEB47F}"/>
            </c:ext>
          </c:extLst>
        </c:ser>
        <c:ser>
          <c:idx val="2"/>
          <c:order val="2"/>
          <c:tx>
            <c:strRef>
              <c:f>Sheet1!$D$1</c:f>
              <c:strCache>
                <c:ptCount val="1"/>
                <c:pt idx="0">
                  <c:v>Gaza Strip</c:v>
                </c:pt>
              </c:strCache>
            </c:strRef>
          </c:tx>
          <c:spPr>
            <a:solidFill>
              <a:schemeClr val="accent3">
                <a:lumMod val="5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The political system in the country allows individuals like me to have an opinion on what the government is doing)                          </c:v>
                </c:pt>
                <c:pt idx="1">
                  <c:v>I trust in my ability to participate in politics in the country</c:v>
                </c:pt>
              </c:strCache>
            </c:strRef>
          </c:cat>
          <c:val>
            <c:numRef>
              <c:f>Sheet1!$D$2:$D$3</c:f>
              <c:numCache>
                <c:formatCode>####.0</c:formatCode>
                <c:ptCount val="2"/>
                <c:pt idx="0">
                  <c:v>25</c:v>
                </c:pt>
                <c:pt idx="1">
                  <c:v>38.9</c:v>
                </c:pt>
              </c:numCache>
            </c:numRef>
          </c:val>
          <c:extLst>
            <c:ext xmlns:c16="http://schemas.microsoft.com/office/drawing/2014/chart" uri="{C3380CC4-5D6E-409C-BE32-E72D297353CC}">
              <c16:uniqueId val="{00000002-3089-4F47-BC45-3EF0FFCEB47F}"/>
            </c:ext>
          </c:extLst>
        </c:ser>
        <c:dLbls>
          <c:showLegendKey val="0"/>
          <c:showVal val="0"/>
          <c:showCatName val="0"/>
          <c:showSerName val="0"/>
          <c:showPercent val="0"/>
          <c:showBubbleSize val="0"/>
        </c:dLbls>
        <c:gapWidth val="150"/>
        <c:axId val="181934336"/>
        <c:axId val="182087680"/>
      </c:barChart>
      <c:catAx>
        <c:axId val="181934336"/>
        <c:scaling>
          <c:orientation val="minMax"/>
        </c:scaling>
        <c:delete val="0"/>
        <c:axPos val="b"/>
        <c:numFmt formatCode="General" sourceLinked="0"/>
        <c:majorTickMark val="out"/>
        <c:minorTickMark val="none"/>
        <c:tickLblPos val="nextTo"/>
        <c:spPr>
          <a:ln>
            <a:solidFill>
              <a:sysClr val="windowText" lastClr="000000"/>
            </a:solidFill>
          </a:ln>
        </c:spPr>
        <c:crossAx val="182087680"/>
        <c:crosses val="autoZero"/>
        <c:auto val="1"/>
        <c:lblAlgn val="ctr"/>
        <c:lblOffset val="100"/>
        <c:noMultiLvlLbl val="0"/>
      </c:catAx>
      <c:valAx>
        <c:axId val="182087680"/>
        <c:scaling>
          <c:orientation val="minMax"/>
          <c:min val="20"/>
        </c:scaling>
        <c:delete val="0"/>
        <c:axPos val="l"/>
        <c:title>
          <c:tx>
            <c:rich>
              <a:bodyPr/>
              <a:lstStyle/>
              <a:p>
                <a:pPr>
                  <a:defRPr/>
                </a:pPr>
                <a:r>
                  <a:rPr lang="en-US"/>
                  <a:t>Percentage</a:t>
                </a:r>
              </a:p>
            </c:rich>
          </c:tx>
          <c:overlay val="0"/>
        </c:title>
        <c:numFmt formatCode="General" sourceLinked="0"/>
        <c:majorTickMark val="out"/>
        <c:minorTickMark val="none"/>
        <c:tickLblPos val="nextTo"/>
        <c:spPr>
          <a:ln>
            <a:solidFill>
              <a:sysClr val="windowText" lastClr="000000"/>
            </a:solidFill>
          </a:ln>
        </c:spPr>
        <c:crossAx val="181934336"/>
        <c:crosses val="autoZero"/>
        <c:crossBetween val="between"/>
      </c:valAx>
      <c:spPr>
        <a:ln>
          <a:noFill/>
        </a:ln>
      </c:spPr>
    </c:plotArea>
    <c:legend>
      <c:legendPos val="r"/>
      <c:layout>
        <c:manualLayout>
          <c:xMode val="edge"/>
          <c:yMode val="edge"/>
          <c:x val="0.55570584038909265"/>
          <c:y val="2.7284194871931081E-2"/>
          <c:w val="0.43168808416800736"/>
          <c:h val="9.9530834362399651E-2"/>
        </c:manualLayout>
      </c:layout>
      <c:overlay val="0"/>
      <c:spPr>
        <a:ln>
          <a:solidFill>
            <a:sysClr val="windowText" lastClr="000000"/>
          </a:solidFill>
        </a:ln>
      </c:spPr>
    </c:legend>
    <c:plotVisOnly val="1"/>
    <c:dispBlanksAs val="gap"/>
    <c:showDLblsOverMax val="0"/>
  </c:chart>
  <c:spPr>
    <a:ln>
      <a:noFill/>
    </a:ln>
  </c:spPr>
  <c:externalData r:id="rId1">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Sheet1!$A$2</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2014</c:v>
                </c:pt>
                <c:pt idx="1">
                  <c:v>2019</c:v>
                </c:pt>
              </c:strCache>
            </c:strRef>
          </c:cat>
          <c:val>
            <c:numRef>
              <c:f>Sheet1!$B$2:$C$2</c:f>
              <c:numCache>
                <c:formatCode>0.0</c:formatCode>
                <c:ptCount val="2"/>
                <c:pt idx="0" formatCode="General">
                  <c:v>99.3</c:v>
                </c:pt>
                <c:pt idx="1">
                  <c:v>99.2</c:v>
                </c:pt>
              </c:numCache>
            </c:numRef>
          </c:val>
          <c:extLst>
            <c:ext xmlns:c16="http://schemas.microsoft.com/office/drawing/2014/chart" uri="{C3380CC4-5D6E-409C-BE32-E72D297353CC}">
              <c16:uniqueId val="{00000000-015A-4EAB-B1E8-91F8994992AF}"/>
            </c:ext>
          </c:extLst>
        </c:ser>
        <c:ser>
          <c:idx val="1"/>
          <c:order val="1"/>
          <c:tx>
            <c:strRef>
              <c:f>Sheet1!$A$3</c:f>
              <c:strCache>
                <c:ptCount val="1"/>
                <c:pt idx="0">
                  <c:v>West Bank</c:v>
                </c:pt>
              </c:strCache>
            </c:strRef>
          </c:tx>
          <c:spPr>
            <a:solidFill>
              <a:srgbClr val="4F81BD">
                <a:lumMod val="20000"/>
                <a:lumOff val="8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2014</c:v>
                </c:pt>
                <c:pt idx="1">
                  <c:v>2019</c:v>
                </c:pt>
              </c:strCache>
            </c:strRef>
          </c:cat>
          <c:val>
            <c:numRef>
              <c:f>Sheet1!$B$3:$C$3</c:f>
              <c:numCache>
                <c:formatCode>0.0</c:formatCode>
                <c:ptCount val="2"/>
                <c:pt idx="0">
                  <c:v>99.1</c:v>
                </c:pt>
                <c:pt idx="1">
                  <c:v>98.9</c:v>
                </c:pt>
              </c:numCache>
            </c:numRef>
          </c:val>
          <c:extLst>
            <c:ext xmlns:c16="http://schemas.microsoft.com/office/drawing/2014/chart" uri="{C3380CC4-5D6E-409C-BE32-E72D297353CC}">
              <c16:uniqueId val="{00000001-015A-4EAB-B1E8-91F8994992AF}"/>
            </c:ext>
          </c:extLst>
        </c:ser>
        <c:ser>
          <c:idx val="2"/>
          <c:order val="2"/>
          <c:tx>
            <c:strRef>
              <c:f>Sheet1!$A$4</c:f>
              <c:strCache>
                <c:ptCount val="1"/>
                <c:pt idx="0">
                  <c:v>Gaza Strip</c:v>
                </c:pt>
              </c:strCache>
            </c:strRef>
          </c:tx>
          <c:spPr>
            <a:solidFill>
              <a:srgbClr val="9BBB59">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2014</c:v>
                </c:pt>
                <c:pt idx="1">
                  <c:v>2019</c:v>
                </c:pt>
              </c:strCache>
            </c:strRef>
          </c:cat>
          <c:val>
            <c:numRef>
              <c:f>Sheet1!$B$4:$C$4</c:f>
              <c:numCache>
                <c:formatCode>0.0</c:formatCode>
                <c:ptCount val="2"/>
                <c:pt idx="0" formatCode="General">
                  <c:v>99.6</c:v>
                </c:pt>
                <c:pt idx="1">
                  <c:v>99.5</c:v>
                </c:pt>
              </c:numCache>
            </c:numRef>
          </c:val>
          <c:extLst>
            <c:ext xmlns:c16="http://schemas.microsoft.com/office/drawing/2014/chart" uri="{C3380CC4-5D6E-409C-BE32-E72D297353CC}">
              <c16:uniqueId val="{00000002-015A-4EAB-B1E8-91F8994992AF}"/>
            </c:ext>
          </c:extLst>
        </c:ser>
        <c:dLbls>
          <c:showLegendKey val="0"/>
          <c:showVal val="1"/>
          <c:showCatName val="0"/>
          <c:showSerName val="0"/>
          <c:showPercent val="0"/>
          <c:showBubbleSize val="0"/>
        </c:dLbls>
        <c:gapWidth val="150"/>
        <c:axId val="182207232"/>
        <c:axId val="182209152"/>
      </c:barChart>
      <c:catAx>
        <c:axId val="182207232"/>
        <c:scaling>
          <c:orientation val="minMax"/>
        </c:scaling>
        <c:delete val="0"/>
        <c:axPos val="b"/>
        <c:title>
          <c:tx>
            <c:rich>
              <a:bodyPr/>
              <a:lstStyle/>
              <a:p>
                <a:pPr>
                  <a:defRPr lang="en-GB" sz="998" b="1" i="0" u="none" strike="noStrike" baseline="0">
                    <a:solidFill>
                      <a:srgbClr val="000000"/>
                    </a:solidFill>
                    <a:latin typeface="Calibri"/>
                    <a:ea typeface="Calibri"/>
                    <a:cs typeface="Calibri"/>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209152"/>
        <c:crosses val="autoZero"/>
        <c:auto val="1"/>
        <c:lblAlgn val="ctr"/>
        <c:lblOffset val="100"/>
        <c:noMultiLvlLbl val="0"/>
      </c:catAx>
      <c:valAx>
        <c:axId val="182209152"/>
        <c:scaling>
          <c:orientation val="minMax"/>
        </c:scaling>
        <c:delete val="0"/>
        <c:axPos val="l"/>
        <c:title>
          <c:tx>
            <c:rich>
              <a:bodyPr/>
              <a:lstStyle/>
              <a:p>
                <a:pPr>
                  <a:defRPr lang="en-GB" sz="998" b="1" i="0" u="none" strike="noStrike" baseline="0">
                    <a:solidFill>
                      <a:srgbClr val="000000"/>
                    </a:solidFill>
                    <a:latin typeface="Calibri"/>
                    <a:ea typeface="Calibri"/>
                    <a:cs typeface="Calibri"/>
                  </a:defRPr>
                </a:pPr>
                <a:r>
                  <a:rPr lang="en-US"/>
                  <a:t>Percentage</a:t>
                </a:r>
              </a:p>
            </c:rich>
          </c:tx>
          <c:overlay val="0"/>
        </c:title>
        <c:numFmt formatCode="#,##0.0" sourceLinked="0"/>
        <c:majorTickMark val="out"/>
        <c:minorTickMark val="none"/>
        <c:tickLblPos val="nextTo"/>
        <c:spPr>
          <a:ln>
            <a:solidFill>
              <a:sysClr val="windowText" lastClr="000000"/>
            </a:solidFill>
          </a:ln>
        </c:spPr>
        <c:txPr>
          <a:bodyPr/>
          <a:lstStyle/>
          <a:p>
            <a:pPr>
              <a:defRPr lang="en-GB" sz="899" baseline="0">
                <a:latin typeface="Arial" pitchFamily="34" charset="0"/>
                <a:cs typeface="Arial" pitchFamily="34" charset="0"/>
              </a:defRPr>
            </a:pPr>
            <a:endParaRPr lang="ar-SA"/>
          </a:p>
        </c:txPr>
        <c:crossAx val="182207232"/>
        <c:crosses val="autoZero"/>
        <c:crossBetween val="between"/>
      </c:valAx>
    </c:plotArea>
    <c:legend>
      <c:legendPos val="t"/>
      <c:layout>
        <c:manualLayout>
          <c:xMode val="edge"/>
          <c:yMode val="edge"/>
          <c:x val="0.51969137435671964"/>
          <c:y val="3.8033143167617529E-2"/>
          <c:w val="0.43861043931269178"/>
          <c:h val="9.8250004812968056E-2"/>
        </c:manualLayout>
      </c:layout>
      <c:overlay val="0"/>
      <c:spPr>
        <a:ln>
          <a:solidFill>
            <a:sysClr val="windowText" lastClr="000000"/>
          </a:solidFill>
        </a:ln>
      </c:spPr>
    </c:legend>
    <c:plotVisOnly val="1"/>
    <c:dispBlanksAs val="gap"/>
    <c:showDLblsOverMax val="0"/>
  </c:chart>
  <c:spPr>
    <a:ln>
      <a:noFill/>
    </a:ln>
  </c:spPr>
  <c:externalData r:id="rId2">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726968174204354E-2"/>
          <c:y val="3.8626609442060089E-2"/>
          <c:w val="0.83082077051926295"/>
          <c:h val="0.81545064377682408"/>
        </c:manualLayout>
      </c:layout>
      <c:lineChart>
        <c:grouping val="standard"/>
        <c:varyColors val="0"/>
        <c:ser>
          <c:idx val="0"/>
          <c:order val="0"/>
          <c:tx>
            <c:strRef>
              <c:f>Sheet1!$B$1</c:f>
              <c:strCache>
                <c:ptCount val="1"/>
                <c:pt idx="0">
                  <c:v>Column1</c:v>
                </c:pt>
              </c:strCache>
            </c:strRef>
          </c:tx>
          <c:spPr>
            <a:ln>
              <a:solidFill>
                <a:srgbClr val="333352"/>
              </a:solidFill>
            </a:ln>
          </c:spPr>
          <c:marker>
            <c:symbol val="none"/>
          </c:marker>
          <c:dLbls>
            <c:dLbl>
              <c:idx val="0"/>
              <c:layout>
                <c:manualLayout>
                  <c:x val="-2.0139647970502961E-17"/>
                  <c:y val="-2.7442371020856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D7D-440A-B8E5-C519D259AAE2}"/>
                </c:ext>
              </c:extLst>
            </c:dLbl>
            <c:dLbl>
              <c:idx val="1"/>
              <c:layout>
                <c:manualLayout>
                  <c:x val="-6.4814814814817975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04-490B-A601-23031BCC120C}"/>
                </c:ext>
              </c:extLst>
            </c:dLbl>
            <c:dLbl>
              <c:idx val="2"/>
              <c:layout>
                <c:manualLayout>
                  <c:x val="-2.7777777777779657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04-490B-A601-23031BCC120C}"/>
                </c:ext>
              </c:extLst>
            </c:dLbl>
            <c:dLbl>
              <c:idx val="3"/>
              <c:layout>
                <c:manualLayout>
                  <c:x val="-3.7037037037037056E-2"/>
                  <c:y val="-5.55555555555554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04-490B-A601-23031BCC120C}"/>
                </c:ext>
              </c:extLst>
            </c:dLbl>
            <c:dLbl>
              <c:idx val="4"/>
              <c:layout>
                <c:manualLayout>
                  <c:x val="-1.1574074074074073E-2"/>
                  <c:y val="-6.34920634920635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C04-490B-A601-23031BCC120C}"/>
                </c:ext>
              </c:extLst>
            </c:dLbl>
            <c:numFmt formatCode="#,##0" sourceLinked="0"/>
            <c:spPr>
              <a:noFill/>
              <a:ln w="2537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c:formatCode>
                <c:ptCount val="7"/>
                <c:pt idx="0">
                  <c:v>1</c:v>
                </c:pt>
                <c:pt idx="1">
                  <c:v>1</c:v>
                </c:pt>
                <c:pt idx="2">
                  <c:v>0</c:v>
                </c:pt>
                <c:pt idx="3">
                  <c:v>2</c:v>
                </c:pt>
                <c:pt idx="4">
                  <c:v>0</c:v>
                </c:pt>
                <c:pt idx="5">
                  <c:v>0</c:v>
                </c:pt>
                <c:pt idx="6">
                  <c:v>3</c:v>
                </c:pt>
              </c:numCache>
            </c:numRef>
          </c:val>
          <c:smooth val="0"/>
          <c:extLst>
            <c:ext xmlns:c16="http://schemas.microsoft.com/office/drawing/2014/chart" uri="{C3380CC4-5D6E-409C-BE32-E72D297353CC}">
              <c16:uniqueId val="{00000004-CC04-490B-A601-23031BCC120C}"/>
            </c:ext>
          </c:extLst>
        </c:ser>
        <c:dLbls>
          <c:showLegendKey val="0"/>
          <c:showVal val="0"/>
          <c:showCatName val="0"/>
          <c:showSerName val="0"/>
          <c:showPercent val="0"/>
          <c:showBubbleSize val="0"/>
        </c:dLbls>
        <c:smooth val="0"/>
        <c:axId val="182170752"/>
        <c:axId val="182172672"/>
      </c:lineChart>
      <c:catAx>
        <c:axId val="18217075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172672"/>
        <c:crosses val="autoZero"/>
        <c:auto val="1"/>
        <c:lblAlgn val="ctr"/>
        <c:lblOffset val="100"/>
        <c:noMultiLvlLbl val="0"/>
      </c:catAx>
      <c:valAx>
        <c:axId val="182172672"/>
        <c:scaling>
          <c:orientation val="minMax"/>
          <c:max val="5"/>
          <c:min val="0"/>
        </c:scaling>
        <c:delete val="0"/>
        <c:axPos val="l"/>
        <c:title>
          <c:tx>
            <c:rich>
              <a:bodyPr/>
              <a:lstStyle/>
              <a:p>
                <a:pPr>
                  <a:defRPr lang="en-GB" sz="899" b="1" i="0" u="none" strike="noStrike" baseline="0">
                    <a:solidFill>
                      <a:srgbClr val="000000"/>
                    </a:solidFill>
                    <a:latin typeface="Arial"/>
                    <a:ea typeface="Arial"/>
                    <a:cs typeface="Arial"/>
                  </a:defRPr>
                </a:pPr>
                <a:r>
                  <a:rPr lang="en-US"/>
                  <a:t>Number</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82170752"/>
        <c:crosses val="autoZero"/>
        <c:crossBetween val="between"/>
        <c:majorUnit val="1"/>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20046631561269"/>
          <c:y val="0.21000610041902129"/>
          <c:w val="0.86183262395040861"/>
          <c:h val="0.59109056178028518"/>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Sheet1!$B$2:$B$3</c:f>
              <c:numCache>
                <c:formatCode>General</c:formatCode>
                <c:ptCount val="2"/>
                <c:pt idx="0" formatCode="0.0">
                  <c:v>10.5</c:v>
                </c:pt>
                <c:pt idx="1">
                  <c:v>10.200000000000001</c:v>
                </c:pt>
              </c:numCache>
            </c:numRef>
          </c:val>
          <c:extLst>
            <c:ext xmlns:c16="http://schemas.microsoft.com/office/drawing/2014/chart" uri="{C3380CC4-5D6E-409C-BE32-E72D297353CC}">
              <c16:uniqueId val="{00000000-651A-4A03-A0DC-00B6A65677D8}"/>
            </c:ext>
          </c:extLst>
        </c:ser>
        <c:ser>
          <c:idx val="1"/>
          <c:order val="1"/>
          <c:tx>
            <c:strRef>
              <c:f>Sheet1!$C$1</c:f>
              <c:strCache>
                <c:ptCount val="1"/>
                <c:pt idx="0">
                  <c:v>West Bank</c:v>
                </c:pt>
              </c:strCache>
            </c:strRef>
          </c:tx>
          <c:spPr>
            <a:solidFill>
              <a:srgbClr val="4F81BD">
                <a:lumMod val="20000"/>
                <a:lumOff val="8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Sheet1!$C$2:$C$3</c:f>
              <c:numCache>
                <c:formatCode>General</c:formatCode>
                <c:ptCount val="2"/>
                <c:pt idx="0" formatCode="0.0">
                  <c:v>8</c:v>
                </c:pt>
                <c:pt idx="1">
                  <c:v>7.8</c:v>
                </c:pt>
              </c:numCache>
            </c:numRef>
          </c:val>
          <c:extLst>
            <c:ext xmlns:c16="http://schemas.microsoft.com/office/drawing/2014/chart" uri="{C3380CC4-5D6E-409C-BE32-E72D297353CC}">
              <c16:uniqueId val="{00000001-651A-4A03-A0DC-00B6A65677D8}"/>
            </c:ext>
          </c:extLst>
        </c:ser>
        <c:ser>
          <c:idx val="2"/>
          <c:order val="2"/>
          <c:tx>
            <c:strRef>
              <c:f>Sheet1!$D$1</c:f>
              <c:strCache>
                <c:ptCount val="1"/>
                <c:pt idx="0">
                  <c:v>Gaza Strip</c:v>
                </c:pt>
              </c:strCache>
            </c:strRef>
          </c:tx>
          <c:spPr>
            <a:solidFill>
              <a:srgbClr val="9BBB59">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Sheet1!$D$2:$D$3</c:f>
              <c:numCache>
                <c:formatCode>General</c:formatCode>
                <c:ptCount val="2"/>
                <c:pt idx="0" formatCode="0.0">
                  <c:v>14.5</c:v>
                </c:pt>
                <c:pt idx="1">
                  <c:v>14.1</c:v>
                </c:pt>
              </c:numCache>
            </c:numRef>
          </c:val>
          <c:extLst>
            <c:ext xmlns:c16="http://schemas.microsoft.com/office/drawing/2014/chart" uri="{C3380CC4-5D6E-409C-BE32-E72D297353CC}">
              <c16:uniqueId val="{00000002-651A-4A03-A0DC-00B6A65677D8}"/>
            </c:ext>
          </c:extLst>
        </c:ser>
        <c:dLbls>
          <c:showLegendKey val="0"/>
          <c:showVal val="1"/>
          <c:showCatName val="0"/>
          <c:showSerName val="0"/>
          <c:showPercent val="0"/>
          <c:showBubbleSize val="0"/>
        </c:dLbls>
        <c:gapWidth val="150"/>
        <c:axId val="182286592"/>
        <c:axId val="182321536"/>
      </c:barChart>
      <c:catAx>
        <c:axId val="182286592"/>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Region</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321536"/>
        <c:crosses val="autoZero"/>
        <c:auto val="1"/>
        <c:lblAlgn val="ctr"/>
        <c:lblOffset val="100"/>
        <c:noMultiLvlLbl val="0"/>
      </c:catAx>
      <c:valAx>
        <c:axId val="182321536"/>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layout>
            <c:manualLayout>
              <c:xMode val="edge"/>
              <c:yMode val="edge"/>
              <c:x val="9.2136851776840525E-3"/>
              <c:y val="0.34813277715098689"/>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82286592"/>
        <c:crosses val="autoZero"/>
        <c:crossBetween val="between"/>
      </c:valAx>
    </c:plotArea>
    <c:legend>
      <c:legendPos val="r"/>
      <c:layout>
        <c:manualLayout>
          <c:xMode val="edge"/>
          <c:yMode val="edge"/>
          <c:x val="0.51173306484858661"/>
          <c:y val="5.0557163752676292E-2"/>
          <c:w val="0.47224602349344691"/>
          <c:h val="0.11515848134896986"/>
        </c:manualLayout>
      </c:layout>
      <c:overlay val="0"/>
      <c:spPr>
        <a:ln>
          <a:solidFill>
            <a:sysClr val="windowText" lastClr="000000"/>
          </a:solidFill>
        </a:ln>
      </c:spPr>
      <c:txPr>
        <a:bodyPr/>
        <a:lstStyle/>
        <a:p>
          <a:pPr>
            <a:defRPr sz="900"/>
          </a:pPr>
          <a:endParaRPr lang="ar-SA"/>
        </a:p>
      </c:txPr>
    </c:legend>
    <c:plotVisOnly val="1"/>
    <c:dispBlanksAs val="gap"/>
    <c:showDLblsOverMax val="0"/>
  </c:chart>
  <c:spPr>
    <a:ln>
      <a:noFill/>
    </a:ln>
  </c:spPr>
  <c:externalData r:id="rId2">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304D73"/>
            </a:solidFill>
            <a:ln>
              <a:solidFill>
                <a:srgbClr val="304D73"/>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Sheet1!$A$2:$B$9</c:f>
              <c:multiLvlStrCache>
                <c:ptCount val="8"/>
                <c:lvl>
                  <c:pt idx="0">
                    <c:v>Palestine</c:v>
                  </c:pt>
                  <c:pt idx="1">
                    <c:v>West Bank</c:v>
                  </c:pt>
                  <c:pt idx="2">
                    <c:v>Gaza Strip</c:v>
                  </c:pt>
                  <c:pt idx="3">
                    <c:v>Male</c:v>
                  </c:pt>
                  <c:pt idx="4">
                    <c:v>Female</c:v>
                  </c:pt>
                  <c:pt idx="5">
                    <c:v>Urban</c:v>
                  </c:pt>
                  <c:pt idx="6">
                    <c:v>Rural</c:v>
                  </c:pt>
                  <c:pt idx="7">
                    <c:v>Camp</c:v>
                  </c:pt>
                </c:lvl>
                <c:lvl>
                  <c:pt idx="0">
                    <c:v>region</c:v>
                  </c:pt>
                  <c:pt idx="3">
                    <c:v>Sex</c:v>
                  </c:pt>
                  <c:pt idx="5">
                    <c:v>Locality Type</c:v>
                  </c:pt>
                </c:lvl>
              </c:multiLvlStrCache>
            </c:multiLvlStrRef>
          </c:cat>
          <c:val>
            <c:numRef>
              <c:f>Sheet1!$C$2:$C$9</c:f>
              <c:numCache>
                <c:formatCode>General</c:formatCode>
                <c:ptCount val="8"/>
                <c:pt idx="0">
                  <c:v>10.200000000000001</c:v>
                </c:pt>
                <c:pt idx="1">
                  <c:v>7.8</c:v>
                </c:pt>
                <c:pt idx="2">
                  <c:v>14.1</c:v>
                </c:pt>
                <c:pt idx="3">
                  <c:v>11.6</c:v>
                </c:pt>
                <c:pt idx="4">
                  <c:v>8.7000000000000011</c:v>
                </c:pt>
                <c:pt idx="5">
                  <c:v>10.9</c:v>
                </c:pt>
                <c:pt idx="6">
                  <c:v>5.5</c:v>
                </c:pt>
                <c:pt idx="7">
                  <c:v>11.8</c:v>
                </c:pt>
              </c:numCache>
            </c:numRef>
          </c:val>
          <c:extLst>
            <c:ext xmlns:c16="http://schemas.microsoft.com/office/drawing/2014/chart" uri="{C3380CC4-5D6E-409C-BE32-E72D297353CC}">
              <c16:uniqueId val="{00000000-8010-4297-AADA-1CE4A3418A7A}"/>
            </c:ext>
          </c:extLst>
        </c:ser>
        <c:dLbls>
          <c:showLegendKey val="0"/>
          <c:showVal val="1"/>
          <c:showCatName val="0"/>
          <c:showSerName val="0"/>
          <c:showPercent val="0"/>
          <c:showBubbleSize val="0"/>
        </c:dLbls>
        <c:gapWidth val="150"/>
        <c:axId val="182473472"/>
        <c:axId val="182475008"/>
      </c:barChart>
      <c:catAx>
        <c:axId val="182473472"/>
        <c:scaling>
          <c:orientation val="minMax"/>
        </c:scaling>
        <c:delete val="0"/>
        <c:axPos val="b"/>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475008"/>
        <c:crosses val="autoZero"/>
        <c:auto val="1"/>
        <c:lblAlgn val="ctr"/>
        <c:lblOffset val="100"/>
        <c:noMultiLvlLbl val="0"/>
      </c:catAx>
      <c:valAx>
        <c:axId val="182475008"/>
        <c:scaling>
          <c:orientation val="minMax"/>
          <c:min val="4"/>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473472"/>
        <c:crosses val="autoZero"/>
        <c:crossBetween val="between"/>
      </c:valAx>
    </c:plotArea>
    <c:plotVisOnly val="1"/>
    <c:dispBlanksAs val="gap"/>
    <c:showDLblsOverMax val="0"/>
  </c:chart>
  <c:spPr>
    <a:ln>
      <a:noFill/>
    </a:ln>
  </c:spPr>
  <c:externalData r:id="rId2">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2761578044603E-2"/>
          <c:y val="4.6610169491525397E-2"/>
          <c:w val="0.8445971940803817"/>
          <c:h val="0.78813559322033899"/>
        </c:manualLayout>
      </c:layout>
      <c:lineChart>
        <c:grouping val="standard"/>
        <c:varyColors val="0"/>
        <c:ser>
          <c:idx val="0"/>
          <c:order val="0"/>
          <c:tx>
            <c:strRef>
              <c:f>Sheet1!$B$1</c:f>
              <c:strCache>
                <c:ptCount val="1"/>
                <c:pt idx="0">
                  <c:v>palestine</c:v>
                </c:pt>
              </c:strCache>
            </c:strRef>
          </c:tx>
          <c:spPr>
            <a:ln>
              <a:solidFill>
                <a:srgbClr val="333352"/>
              </a:solidFill>
            </a:ln>
          </c:spPr>
          <c:marker>
            <c:symbol val="none"/>
          </c:marker>
          <c:dLbls>
            <c:dLbl>
              <c:idx val="0"/>
              <c:layout>
                <c:manualLayout>
                  <c:x val="-4.2682241940918811E-2"/>
                  <c:y val="4.41501103752758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25-4D73-A703-2660189A7B3A}"/>
                </c:ext>
              </c:extLst>
            </c:dLbl>
            <c:dLbl>
              <c:idx val="1"/>
              <c:layout>
                <c:manualLayout>
                  <c:x val="-1.572503650454907E-2"/>
                  <c:y val="-3.8631346578366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597-4DE0-8083-B22A0A827F7B}"/>
                </c:ext>
              </c:extLst>
            </c:dLbl>
            <c:dLbl>
              <c:idx val="4"/>
              <c:layout>
                <c:manualLayout>
                  <c:x val="0"/>
                  <c:y val="-3.3112582781456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25-4D73-A703-2660189A7B3A}"/>
                </c:ext>
              </c:extLst>
            </c:dLbl>
            <c:dLbl>
              <c:idx val="8"/>
              <c:layout>
                <c:manualLayout>
                  <c:x val="-1.6203703703703741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1BD-4010-AC94-3928C171693E}"/>
                </c:ext>
              </c:extLst>
            </c:dLbl>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0.0</c:formatCode>
                <c:ptCount val="8"/>
                <c:pt idx="0">
                  <c:v>29.4</c:v>
                </c:pt>
                <c:pt idx="1">
                  <c:v>32</c:v>
                </c:pt>
                <c:pt idx="2">
                  <c:v>30</c:v>
                </c:pt>
                <c:pt idx="3">
                  <c:v>27.7</c:v>
                </c:pt>
                <c:pt idx="4">
                  <c:v>23.7</c:v>
                </c:pt>
                <c:pt idx="5">
                  <c:v>26.7</c:v>
                </c:pt>
                <c:pt idx="6">
                  <c:v>23.8</c:v>
                </c:pt>
                <c:pt idx="7">
                  <c:v>23.6</c:v>
                </c:pt>
              </c:numCache>
            </c:numRef>
          </c:val>
          <c:smooth val="0"/>
          <c:extLst>
            <c:ext xmlns:c16="http://schemas.microsoft.com/office/drawing/2014/chart" uri="{C3380CC4-5D6E-409C-BE32-E72D297353CC}">
              <c16:uniqueId val="{00000001-A1BD-4010-AC94-3928C171693E}"/>
            </c:ext>
          </c:extLst>
        </c:ser>
        <c:dLbls>
          <c:showLegendKey val="0"/>
          <c:showVal val="0"/>
          <c:showCatName val="0"/>
          <c:showSerName val="0"/>
          <c:showPercent val="0"/>
          <c:showBubbleSize val="0"/>
        </c:dLbls>
        <c:smooth val="0"/>
        <c:axId val="182525952"/>
        <c:axId val="182527872"/>
      </c:lineChart>
      <c:catAx>
        <c:axId val="18252595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527872"/>
        <c:crosses val="autoZero"/>
        <c:auto val="1"/>
        <c:lblAlgn val="ctr"/>
        <c:lblOffset val="100"/>
        <c:noMultiLvlLbl val="0"/>
      </c:catAx>
      <c:valAx>
        <c:axId val="182527872"/>
        <c:scaling>
          <c:orientation val="minMax"/>
          <c:min val="2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82525952"/>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726968174204354E-2"/>
          <c:y val="3.8626609442060089E-2"/>
          <c:w val="0.83082077051926295"/>
          <c:h val="0.81545064377682408"/>
        </c:manualLayout>
      </c:layout>
      <c:lineChart>
        <c:grouping val="standard"/>
        <c:varyColors val="0"/>
        <c:ser>
          <c:idx val="0"/>
          <c:order val="0"/>
          <c:tx>
            <c:strRef>
              <c:f>Sheet1!$B$1</c:f>
              <c:strCache>
                <c:ptCount val="1"/>
                <c:pt idx="0">
                  <c:v>Column1</c:v>
                </c:pt>
              </c:strCache>
            </c:strRef>
          </c:tx>
          <c:spPr>
            <a:ln>
              <a:solidFill>
                <a:srgbClr val="333352"/>
              </a:solidFill>
            </a:ln>
          </c:spPr>
          <c:marker>
            <c:symbol val="none"/>
          </c:marker>
          <c:dLbls>
            <c:dLbl>
              <c:idx val="1"/>
              <c:layout>
                <c:manualLayout>
                  <c:x val="-0.10216515970766761"/>
                  <c:y val="-5.9524015315868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EB-47F9-BF6B-40FC73B7A152}"/>
                </c:ext>
              </c:extLst>
            </c:dLbl>
            <c:dLbl>
              <c:idx val="2"/>
              <c:layout>
                <c:manualLayout>
                  <c:x val="-2.7777777777779657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EB-47F9-BF6B-40FC73B7A152}"/>
                </c:ext>
              </c:extLst>
            </c:dLbl>
            <c:dLbl>
              <c:idx val="3"/>
              <c:layout>
                <c:manualLayout>
                  <c:x val="-3.7037037037037056E-2"/>
                  <c:y val="-5.55555555555554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9EB-47F9-BF6B-40FC73B7A152}"/>
                </c:ext>
              </c:extLst>
            </c:dLbl>
            <c:dLbl>
              <c:idx val="4"/>
              <c:layout>
                <c:manualLayout>
                  <c:x val="-1.1574074074074073E-2"/>
                  <c:y val="-6.34920634920635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9EB-47F9-BF6B-40FC73B7A152}"/>
                </c:ext>
              </c:extLst>
            </c:dLbl>
            <c:dLbl>
              <c:idx val="8"/>
              <c:layout>
                <c:manualLayout>
                  <c:x val="-5.5555555555555455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9EB-47F9-BF6B-40FC73B7A152}"/>
                </c:ext>
              </c:extLst>
            </c:dLbl>
            <c:numFmt formatCode="#,##0.0" sourceLinked="0"/>
            <c:spPr>
              <a:noFill/>
              <a:ln w="2537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General</c:formatCode>
                <c:ptCount val="8"/>
                <c:pt idx="0">
                  <c:v>21.5</c:v>
                </c:pt>
                <c:pt idx="1">
                  <c:v>17.600000000000001</c:v>
                </c:pt>
                <c:pt idx="2">
                  <c:v>21.4</c:v>
                </c:pt>
                <c:pt idx="3">
                  <c:v>24.5</c:v>
                </c:pt>
                <c:pt idx="4">
                  <c:v>23.4</c:v>
                </c:pt>
                <c:pt idx="5">
                  <c:v>30</c:v>
                </c:pt>
                <c:pt idx="6">
                  <c:v>30</c:v>
                </c:pt>
                <c:pt idx="7">
                  <c:v>30</c:v>
                </c:pt>
              </c:numCache>
            </c:numRef>
          </c:val>
          <c:smooth val="0"/>
          <c:extLst>
            <c:ext xmlns:c16="http://schemas.microsoft.com/office/drawing/2014/chart" uri="{C3380CC4-5D6E-409C-BE32-E72D297353CC}">
              <c16:uniqueId val="{00000005-19EB-47F9-BF6B-40FC73B7A152}"/>
            </c:ext>
          </c:extLst>
        </c:ser>
        <c:dLbls>
          <c:showLegendKey val="0"/>
          <c:showVal val="0"/>
          <c:showCatName val="0"/>
          <c:showSerName val="0"/>
          <c:showPercent val="0"/>
          <c:showBubbleSize val="0"/>
        </c:dLbls>
        <c:smooth val="0"/>
        <c:axId val="182423552"/>
        <c:axId val="182425472"/>
      </c:lineChart>
      <c:catAx>
        <c:axId val="18242355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425472"/>
        <c:crosses val="autoZero"/>
        <c:auto val="1"/>
        <c:lblAlgn val="ctr"/>
        <c:lblOffset val="100"/>
        <c:noMultiLvlLbl val="0"/>
      </c:catAx>
      <c:valAx>
        <c:axId val="182425472"/>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423552"/>
        <c:crosses val="autoZero"/>
        <c:crossBetween val="between"/>
        <c:majorUnit val="2"/>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830190343854247E-2"/>
          <c:y val="6.0241560960604276E-2"/>
          <c:w val="0.87184031407839324"/>
          <c:h val="0.77931886562960162"/>
        </c:manualLayout>
      </c:layout>
      <c:lineChart>
        <c:grouping val="stacked"/>
        <c:varyColors val="0"/>
        <c:ser>
          <c:idx val="0"/>
          <c:order val="0"/>
          <c:tx>
            <c:strRef>
              <c:f>Sheet1!$B$1</c:f>
              <c:strCache>
                <c:ptCount val="1"/>
                <c:pt idx="0">
                  <c:v>Series 1</c:v>
                </c:pt>
              </c:strCache>
            </c:strRef>
          </c:tx>
          <c:spPr>
            <a:ln>
              <a:solidFill>
                <a:srgbClr val="333352"/>
              </a:solidFill>
            </a:ln>
          </c:spPr>
          <c:marker>
            <c:symbol val="none"/>
          </c:marker>
          <c:dLbls>
            <c:dLbl>
              <c:idx val="0"/>
              <c:layout>
                <c:manualLayout>
                  <c:x val="-3.7482638888888892E-2"/>
                  <c:y val="-5.96852957135105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08-4247-891A-DF6CB1F48270}"/>
                </c:ext>
              </c:extLst>
            </c:dLbl>
            <c:dLbl>
              <c:idx val="1"/>
              <c:layout>
                <c:manualLayout>
                  <c:x val="-2.8663194444444446E-2"/>
                  <c:y val="-7.0537167661421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08-4247-891A-DF6CB1F48270}"/>
                </c:ext>
              </c:extLst>
            </c:dLbl>
            <c:dLbl>
              <c:idx val="2"/>
              <c:layout>
                <c:manualLayout>
                  <c:x val="-2.6458333333333341E-2"/>
                  <c:y val="-6.51112316874661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08-4247-891A-DF6CB1F48270}"/>
                </c:ext>
              </c:extLst>
            </c:dLbl>
            <c:dLbl>
              <c:idx val="3"/>
              <c:layout>
                <c:manualLayout>
                  <c:x val="-2.6083427411864857E-2"/>
                  <c:y val="4.88039604805497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08-4247-891A-DF6CB1F48270}"/>
                </c:ext>
              </c:extLst>
            </c:dLbl>
            <c:dLbl>
              <c:idx val="8"/>
              <c:layout>
                <c:manualLayout>
                  <c:x val="-3.6297640653357652E-2"/>
                  <c:y val="-3.79403794037949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08-4247-891A-DF6CB1F48270}"/>
                </c:ext>
              </c:extLst>
            </c:dLbl>
            <c:dLbl>
              <c:idx val="9"/>
              <c:layout>
                <c:manualLayout>
                  <c:x val="-1.9843662917816043E-2"/>
                  <c:y val="-5.4300407571004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208-4247-891A-DF6CB1F48270}"/>
                </c:ext>
              </c:extLst>
            </c:dLbl>
            <c:dLbl>
              <c:idx val="11"/>
              <c:layout>
                <c:manualLayout>
                  <c:x val="-3.3072916666667292E-2"/>
                  <c:y val="-4.34074877916440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208-4247-891A-DF6CB1F48270}"/>
                </c:ext>
              </c:extLst>
            </c:dLbl>
            <c:dLbl>
              <c:idx val="12"/>
              <c:layout>
                <c:manualLayout>
                  <c:x val="-4.11373260738052E-2"/>
                  <c:y val="3.25203252032520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208-4247-891A-DF6CB1F48270}"/>
                </c:ext>
              </c:extLst>
            </c:dLbl>
            <c:dLbl>
              <c:idx val="13"/>
              <c:layout>
                <c:manualLayout>
                  <c:x val="-1.1349443388541948E-2"/>
                  <c:y val="-3.78584384269048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208-4247-891A-DF6CB1F48270}"/>
                </c:ext>
              </c:extLst>
            </c:dLbl>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2016</c:v>
                </c:pt>
                <c:pt idx="2">
                  <c:v>2017</c:v>
                </c:pt>
                <c:pt idx="3">
                  <c:v>2018</c:v>
                </c:pt>
              </c:numCache>
            </c:numRef>
          </c:cat>
          <c:val>
            <c:numRef>
              <c:f>Sheet1!$B$2:$B$5</c:f>
              <c:numCache>
                <c:formatCode>0.0</c:formatCode>
                <c:ptCount val="4"/>
                <c:pt idx="0">
                  <c:v>434.8</c:v>
                </c:pt>
                <c:pt idx="1">
                  <c:v>575.4</c:v>
                </c:pt>
                <c:pt idx="2">
                  <c:v>624.4</c:v>
                </c:pt>
                <c:pt idx="3">
                  <c:v>449.2</c:v>
                </c:pt>
              </c:numCache>
            </c:numRef>
          </c:val>
          <c:smooth val="0"/>
          <c:extLst>
            <c:ext xmlns:c16="http://schemas.microsoft.com/office/drawing/2014/chart" uri="{C3380CC4-5D6E-409C-BE32-E72D297353CC}">
              <c16:uniqueId val="{00000009-5208-4247-891A-DF6CB1F48270}"/>
            </c:ext>
          </c:extLst>
        </c:ser>
        <c:dLbls>
          <c:showLegendKey val="0"/>
          <c:showVal val="0"/>
          <c:showCatName val="0"/>
          <c:showSerName val="0"/>
          <c:showPercent val="0"/>
          <c:showBubbleSize val="0"/>
        </c:dLbls>
        <c:smooth val="0"/>
        <c:axId val="180368896"/>
        <c:axId val="180370816"/>
      </c:lineChart>
      <c:catAx>
        <c:axId val="180368896"/>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0370816"/>
        <c:crosses val="autoZero"/>
        <c:auto val="1"/>
        <c:lblAlgn val="ctr"/>
        <c:lblOffset val="100"/>
        <c:noMultiLvlLbl val="0"/>
      </c:catAx>
      <c:valAx>
        <c:axId val="180370816"/>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USD Millions</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80368896"/>
        <c:crosses val="autoZero"/>
        <c:crossBetween val="between"/>
      </c:valAx>
    </c:plotArea>
    <c:plotVisOnly val="1"/>
    <c:dispBlanksAs val="zero"/>
    <c:showDLblsOverMax val="0"/>
  </c:chart>
  <c:spPr>
    <a:ln>
      <a:noFill/>
    </a:ln>
  </c:spPr>
  <c:externalData r:id="rId2">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Palestine</c:v>
                </c:pt>
              </c:strCache>
            </c:strRef>
          </c:tx>
          <c:spPr>
            <a:solidFill>
              <a:srgbClr val="333352"/>
            </a:solidFill>
            <a:ln>
              <a:solidFill>
                <a:srgbClr val="333352"/>
              </a:solidFill>
            </a:ln>
          </c:spPr>
          <c:invertIfNegative val="0"/>
          <c:dLbls>
            <c:dLbl>
              <c:idx val="2"/>
              <c:tx>
                <c:rich>
                  <a:bodyPr/>
                  <a:lstStyle/>
                  <a:p>
                    <a:r>
                      <a:rPr lang="en-US"/>
                      <a:t>16.5</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9A-4E62-BA4D-0BA559917229}"/>
                </c:ext>
              </c:extLst>
            </c:dLbl>
            <c:dLbl>
              <c:idx val="6"/>
              <c:tx>
                <c:rich>
                  <a:bodyPr/>
                  <a:lstStyle/>
                  <a:p>
                    <a:r>
                      <a:rPr lang="en-US"/>
                      <a:t>11.0</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9A-4E62-BA4D-0BA559917229}"/>
                </c:ext>
              </c:extLst>
            </c:dLbl>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0.0</c:formatCode>
                <c:ptCount val="8"/>
                <c:pt idx="0">
                  <c:v>14.6</c:v>
                </c:pt>
                <c:pt idx="1">
                  <c:v>15.7</c:v>
                </c:pt>
                <c:pt idx="2" formatCode="General">
                  <c:v>16.5</c:v>
                </c:pt>
                <c:pt idx="3" formatCode="General">
                  <c:v>19.600000000000001</c:v>
                </c:pt>
                <c:pt idx="4" formatCode="General">
                  <c:v>15.8</c:v>
                </c:pt>
                <c:pt idx="5" formatCode="General">
                  <c:v>11</c:v>
                </c:pt>
                <c:pt idx="6" formatCode="General">
                  <c:v>12.1</c:v>
                </c:pt>
                <c:pt idx="7" formatCode="General">
                  <c:v>14.9</c:v>
                </c:pt>
              </c:numCache>
            </c:numRef>
          </c:val>
          <c:extLst>
            <c:ext xmlns:c16="http://schemas.microsoft.com/office/drawing/2014/chart" uri="{C3380CC4-5D6E-409C-BE32-E72D297353CC}">
              <c16:uniqueId val="{00000002-A89A-4E62-BA4D-0BA559917229}"/>
            </c:ext>
          </c:extLst>
        </c:ser>
        <c:dLbls>
          <c:showLegendKey val="0"/>
          <c:showVal val="0"/>
          <c:showCatName val="0"/>
          <c:showSerName val="0"/>
          <c:showPercent val="0"/>
          <c:showBubbleSize val="0"/>
        </c:dLbls>
        <c:gapWidth val="150"/>
        <c:axId val="180420992"/>
        <c:axId val="180422912"/>
      </c:barChart>
      <c:catAx>
        <c:axId val="18042099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0422912"/>
        <c:crosses val="autoZero"/>
        <c:auto val="1"/>
        <c:lblAlgn val="ctr"/>
        <c:lblOffset val="100"/>
        <c:noMultiLvlLbl val="0"/>
      </c:catAx>
      <c:valAx>
        <c:axId val="180422912"/>
        <c:scaling>
          <c:orientation val="minMax"/>
          <c:min val="1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spPr>
          <a:ln>
            <a:solidFill>
              <a:sysClr val="windowText" lastClr="000000"/>
            </a:solidFill>
          </a:ln>
        </c:spPr>
        <c:txPr>
          <a:bodyPr/>
          <a:lstStyle/>
          <a:p>
            <a:pPr>
              <a:defRPr lang="en-GB"/>
            </a:pPr>
            <a:endParaRPr lang="ar-SA"/>
          </a:p>
        </c:txPr>
        <c:crossAx val="180420992"/>
        <c:crosses val="autoZero"/>
        <c:crossBetween val="between"/>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350251826629883E-2"/>
          <c:y val="0.14383827021622494"/>
          <c:w val="0.90631659218273319"/>
          <c:h val="0.68343550806149234"/>
        </c:manualLayout>
      </c:layout>
      <c:barChart>
        <c:barDir val="col"/>
        <c:grouping val="clustered"/>
        <c:varyColors val="0"/>
        <c:ser>
          <c:idx val="0"/>
          <c:order val="0"/>
          <c:tx>
            <c:strRef>
              <c:f>Sheet1!$B$1</c:f>
              <c:strCache>
                <c:ptCount val="1"/>
                <c:pt idx="0">
                  <c:v>Palestine</c:v>
                </c:pt>
              </c:strCache>
            </c:strRef>
          </c:tx>
          <c:invertIfNegative val="0"/>
          <c:dLbls>
            <c:dLbl>
              <c:idx val="0"/>
              <c:layout>
                <c:manualLayout>
                  <c:x val="-1.38888888888894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58-453B-9120-A92BB889A94B}"/>
                </c:ext>
              </c:extLst>
            </c:dLbl>
            <c:dLbl>
              <c:idx val="1"/>
              <c:layout>
                <c:manualLayout>
                  <c:x val="-2.08333333333334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58-453B-9120-A92BB889A94B}"/>
                </c:ext>
              </c:extLst>
            </c:dLbl>
            <c:dLbl>
              <c:idx val="2"/>
              <c:layout>
                <c:manualLayout>
                  <c:x val="-2.08333333333334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E58-453B-9120-A92BB889A94B}"/>
                </c:ext>
              </c:extLst>
            </c:dLbl>
            <c:dLbl>
              <c:idx val="3"/>
              <c:layout>
                <c:manualLayout>
                  <c:x val="-2.5462962962962982E-2"/>
                  <c:y val="1.47058823529411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E58-453B-9120-A92BB889A94B}"/>
                </c:ext>
              </c:extLst>
            </c:dLbl>
            <c:dLbl>
              <c:idx val="4"/>
              <c:layout>
                <c:manualLayout>
                  <c:x val="-1.4220676041127181E-2"/>
                  <c:y val="-8.637253676623751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58-453B-9120-A92BB889A94B}"/>
                </c:ext>
              </c:extLst>
            </c:dLbl>
            <c:dLbl>
              <c:idx val="5"/>
              <c:layout>
                <c:manualLayout>
                  <c:x val="-2.473299606520525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E58-453B-9120-A92BB889A94B}"/>
                </c:ext>
              </c:extLst>
            </c:dLbl>
            <c:dLbl>
              <c:idx val="6"/>
              <c:layout>
                <c:manualLayout>
                  <c:x val="-1.3490725126475561E-2"/>
                  <c:y val="-2.425016077718427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E58-453B-9120-A92BB889A94B}"/>
                </c:ext>
              </c:extLst>
            </c:dLbl>
            <c:spPr>
              <a:noFill/>
              <a:ln w="2536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Sheet1!$B$2:$B$4</c:f>
              <c:numCache>
                <c:formatCode>General</c:formatCode>
                <c:ptCount val="3"/>
                <c:pt idx="0">
                  <c:v>64.5</c:v>
                </c:pt>
                <c:pt idx="1">
                  <c:v>70.599999999999994</c:v>
                </c:pt>
                <c:pt idx="2">
                  <c:v>88.6</c:v>
                </c:pt>
              </c:numCache>
            </c:numRef>
          </c:val>
          <c:extLst>
            <c:ext xmlns:c16="http://schemas.microsoft.com/office/drawing/2014/chart" uri="{C3380CC4-5D6E-409C-BE32-E72D297353CC}">
              <c16:uniqueId val="{00000007-3E58-453B-9120-A92BB889A94B}"/>
            </c:ext>
          </c:extLst>
        </c:ser>
        <c:ser>
          <c:idx val="1"/>
          <c:order val="1"/>
          <c:tx>
            <c:strRef>
              <c:f>Sheet1!$C$1</c:f>
              <c:strCache>
                <c:ptCount val="1"/>
                <c:pt idx="0">
                  <c:v>West Bank</c:v>
                </c:pt>
              </c:strCache>
            </c:strRef>
          </c:tx>
          <c:spPr>
            <a:solidFill>
              <a:srgbClr val="4F81BD">
                <a:lumMod val="20000"/>
                <a:lumOff val="80000"/>
              </a:srgbClr>
            </a:solidFill>
          </c:spPr>
          <c:invertIfNegative val="0"/>
          <c:dLbls>
            <c:spPr>
              <a:noFill/>
              <a:ln w="2536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Sheet1!$C$2:$C$4</c:f>
              <c:numCache>
                <c:formatCode>General</c:formatCode>
                <c:ptCount val="3"/>
                <c:pt idx="0">
                  <c:v>69.099999999999994</c:v>
                </c:pt>
                <c:pt idx="1">
                  <c:v>74.099999999999994</c:v>
                </c:pt>
                <c:pt idx="2">
                  <c:v>92.2</c:v>
                </c:pt>
              </c:numCache>
            </c:numRef>
          </c:val>
          <c:extLst>
            <c:ext xmlns:c16="http://schemas.microsoft.com/office/drawing/2014/chart" uri="{C3380CC4-5D6E-409C-BE32-E72D297353CC}">
              <c16:uniqueId val="{00000008-3E58-453B-9120-A92BB889A94B}"/>
            </c:ext>
          </c:extLst>
        </c:ser>
        <c:ser>
          <c:idx val="2"/>
          <c:order val="2"/>
          <c:tx>
            <c:strRef>
              <c:f>Sheet1!$D$1</c:f>
              <c:strCache>
                <c:ptCount val="1"/>
                <c:pt idx="0">
                  <c:v>Gaza</c:v>
                </c:pt>
              </c:strCache>
            </c:strRef>
          </c:tx>
          <c:spPr>
            <a:solidFill>
              <a:srgbClr val="9BBB59">
                <a:lumMod val="50000"/>
              </a:srgbClr>
            </a:solidFill>
          </c:spPr>
          <c:invertIfNegative val="0"/>
          <c:dLbls>
            <c:dLbl>
              <c:idx val="0"/>
              <c:layout>
                <c:manualLayout>
                  <c:x val="6.944444444444706E-3"/>
                  <c:y val="-8.986824288015500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E58-453B-9120-A92BB889A94B}"/>
                </c:ext>
              </c:extLst>
            </c:dLbl>
            <c:dLbl>
              <c:idx val="1"/>
              <c:layout>
                <c:manualLayout>
                  <c:x val="1.62037037037036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E58-453B-9120-A92BB889A94B}"/>
                </c:ext>
              </c:extLst>
            </c:dLbl>
            <c:dLbl>
              <c:idx val="2"/>
              <c:layout>
                <c:manualLayout>
                  <c:x val="2.0833333333333412E-2"/>
                  <c:y val="9.803921568627450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E58-453B-9120-A92BB889A94B}"/>
                </c:ext>
              </c:extLst>
            </c:dLbl>
            <c:dLbl>
              <c:idx val="3"/>
              <c:layout>
                <c:manualLayout>
                  <c:x val="2.0833333333333412E-2"/>
                  <c:y val="9.803921568627450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E58-453B-9120-A92BB889A94B}"/>
                </c:ext>
              </c:extLst>
            </c:dLbl>
            <c:dLbl>
              <c:idx val="4"/>
              <c:layout>
                <c:manualLayout>
                  <c:x val="2.3148148148148147E-2"/>
                  <c:y val="4.901960784314156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E58-453B-9120-A92BB889A94B}"/>
                </c:ext>
              </c:extLst>
            </c:dLbl>
            <c:dLbl>
              <c:idx val="5"/>
              <c:layout>
                <c:manualLayout>
                  <c:x val="1.5739179314221481E-2"/>
                  <c:y val="1.587301587301587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E58-453B-9120-A92BB889A94B}"/>
                </c:ext>
              </c:extLst>
            </c:dLbl>
            <c:dLbl>
              <c:idx val="6"/>
              <c:layout>
                <c:manualLayout>
                  <c:x val="1.798763350196740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E58-453B-9120-A92BB889A94B}"/>
                </c:ext>
              </c:extLst>
            </c:dLbl>
            <c:spPr>
              <a:noFill/>
              <a:ln w="2536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Sheet1!$D$2:$D$4</c:f>
              <c:numCache>
                <c:formatCode>General</c:formatCode>
                <c:ptCount val="3"/>
                <c:pt idx="0">
                  <c:v>56.6</c:v>
                </c:pt>
                <c:pt idx="1">
                  <c:v>65.2</c:v>
                </c:pt>
                <c:pt idx="2">
                  <c:v>83.1</c:v>
                </c:pt>
              </c:numCache>
            </c:numRef>
          </c:val>
          <c:extLst>
            <c:ext xmlns:c16="http://schemas.microsoft.com/office/drawing/2014/chart" uri="{C3380CC4-5D6E-409C-BE32-E72D297353CC}">
              <c16:uniqueId val="{00000010-3E58-453B-9120-A92BB889A94B}"/>
            </c:ext>
          </c:extLst>
        </c:ser>
        <c:dLbls>
          <c:showLegendKey val="0"/>
          <c:showVal val="0"/>
          <c:showCatName val="0"/>
          <c:showSerName val="0"/>
          <c:showPercent val="0"/>
          <c:showBubbleSize val="0"/>
        </c:dLbls>
        <c:gapWidth val="150"/>
        <c:axId val="182787072"/>
        <c:axId val="182801536"/>
      </c:barChart>
      <c:catAx>
        <c:axId val="1827870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801536"/>
        <c:crosses val="autoZero"/>
        <c:auto val="1"/>
        <c:lblAlgn val="ctr"/>
        <c:lblOffset val="100"/>
        <c:noMultiLvlLbl val="0"/>
      </c:catAx>
      <c:valAx>
        <c:axId val="18280153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82787072"/>
        <c:crosses val="autoZero"/>
        <c:crossBetween val="between"/>
      </c:valAx>
      <c:spPr>
        <a:ln>
          <a:noFill/>
        </a:ln>
      </c:spPr>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74242235537788"/>
          <c:y val="9.5238095238095247E-2"/>
          <c:w val="0.8544813620617282"/>
          <c:h val="0.7631865247613272"/>
        </c:manualLayout>
      </c:layout>
      <c:barChart>
        <c:barDir val="col"/>
        <c:grouping val="clustered"/>
        <c:varyColors val="0"/>
        <c:ser>
          <c:idx val="0"/>
          <c:order val="0"/>
          <c:tx>
            <c:strRef>
              <c:f>Sheet1!$B$1</c:f>
              <c:strCache>
                <c:ptCount val="1"/>
                <c:pt idx="0">
                  <c:v>Sales</c:v>
                </c:pt>
              </c:strCache>
            </c:strRef>
          </c:tx>
          <c:spPr>
            <a:solidFill>
              <a:srgbClr val="CD9931"/>
            </a:solidFill>
            <a:ln>
              <a:solidFill>
                <a:srgbClr val="CD9931"/>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Males</c:v>
                </c:pt>
                <c:pt idx="1">
                  <c:v>Female</c:v>
                </c:pt>
              </c:strCache>
            </c:strRef>
          </c:cat>
          <c:val>
            <c:numRef>
              <c:f>Sheet1!$B$2:$B$3</c:f>
              <c:numCache>
                <c:formatCode>0.0</c:formatCode>
                <c:ptCount val="2"/>
                <c:pt idx="0">
                  <c:v>10.200000000000001</c:v>
                </c:pt>
                <c:pt idx="1">
                  <c:v>6.9</c:v>
                </c:pt>
              </c:numCache>
            </c:numRef>
          </c:val>
          <c:extLst>
            <c:ext xmlns:c16="http://schemas.microsoft.com/office/drawing/2014/chart" uri="{C3380CC4-5D6E-409C-BE32-E72D297353CC}">
              <c16:uniqueId val="{00000000-3230-493B-888F-C55378593B40}"/>
            </c:ext>
          </c:extLst>
        </c:ser>
        <c:dLbls>
          <c:showLegendKey val="0"/>
          <c:showVal val="0"/>
          <c:showCatName val="0"/>
          <c:showSerName val="0"/>
          <c:showPercent val="0"/>
          <c:showBubbleSize val="0"/>
        </c:dLbls>
        <c:gapWidth val="150"/>
        <c:axId val="117539200"/>
        <c:axId val="117541120"/>
      </c:barChart>
      <c:catAx>
        <c:axId val="11753920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Sex</a:t>
                </a:r>
              </a:p>
            </c:rich>
          </c:tx>
          <c:overlay val="0"/>
        </c:title>
        <c:numFmt formatCode="General" sourceLinked="0"/>
        <c:majorTickMark val="none"/>
        <c:minorTickMark val="none"/>
        <c:tickLblPos val="nextTo"/>
        <c:txPr>
          <a:bodyPr/>
          <a:lstStyle/>
          <a:p>
            <a:pPr>
              <a:defRPr lang="en-GB"/>
            </a:pPr>
            <a:endParaRPr lang="ar-SA"/>
          </a:p>
        </c:txPr>
        <c:crossAx val="117541120"/>
        <c:crosses val="autoZero"/>
        <c:auto val="1"/>
        <c:lblAlgn val="ctr"/>
        <c:lblOffset val="100"/>
        <c:noMultiLvlLbl val="0"/>
      </c:catAx>
      <c:valAx>
        <c:axId val="11754112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txPr>
          <a:bodyPr/>
          <a:lstStyle/>
          <a:p>
            <a:pPr>
              <a:defRPr lang="en-GB"/>
            </a:pPr>
            <a:endParaRPr lang="ar-SA"/>
          </a:p>
        </c:txPr>
        <c:crossAx val="117539200"/>
        <c:crosses val="autoZero"/>
        <c:crossBetween val="between"/>
      </c:valAx>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17855059784194"/>
          <c:y val="4.3650793650793704E-2"/>
          <c:w val="0.85335848643919665"/>
          <c:h val="0.69625671791026056"/>
        </c:manualLayout>
      </c:layout>
      <c:lineChart>
        <c:grouping val="standard"/>
        <c:varyColors val="0"/>
        <c:ser>
          <c:idx val="0"/>
          <c:order val="0"/>
          <c:tx>
            <c:strRef>
              <c:f>Sheet1!$B$1</c:f>
              <c:strCache>
                <c:ptCount val="1"/>
                <c:pt idx="0">
                  <c:v>Series 1</c:v>
                </c:pt>
              </c:strCache>
            </c:strRef>
          </c:tx>
          <c:spPr>
            <a:ln w="412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0.15000000000000019</c:v>
                </c:pt>
                <c:pt idx="1">
                  <c:v>0.13</c:v>
                </c:pt>
                <c:pt idx="2">
                  <c:v>0.11</c:v>
                </c:pt>
                <c:pt idx="3">
                  <c:v>0.12000000000000002</c:v>
                </c:pt>
                <c:pt idx="4" formatCode="0.00">
                  <c:v>0.1</c:v>
                </c:pt>
              </c:numCache>
            </c:numRef>
          </c:val>
          <c:smooth val="0"/>
          <c:extLst>
            <c:ext xmlns:c16="http://schemas.microsoft.com/office/drawing/2014/chart" uri="{C3380CC4-5D6E-409C-BE32-E72D297353CC}">
              <c16:uniqueId val="{00000000-E3C4-4B70-AEEE-140E46013AC1}"/>
            </c:ext>
          </c:extLst>
        </c:ser>
        <c:dLbls>
          <c:showLegendKey val="0"/>
          <c:showVal val="1"/>
          <c:showCatName val="0"/>
          <c:showSerName val="0"/>
          <c:showPercent val="0"/>
          <c:showBubbleSize val="0"/>
        </c:dLbls>
        <c:smooth val="0"/>
        <c:axId val="118069504"/>
        <c:axId val="118071680"/>
      </c:lineChart>
      <c:catAx>
        <c:axId val="11806950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en-US" sz="900" b="1">
                    <a:solidFill>
                      <a:sysClr val="windowText" lastClr="000000"/>
                    </a:solidFill>
                    <a:cs typeface="+mn-cs"/>
                  </a:rPr>
                  <a:t>Year</a:t>
                </a:r>
              </a:p>
            </c:rich>
          </c:tx>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118071680"/>
        <c:crosses val="autoZero"/>
        <c:auto val="1"/>
        <c:lblAlgn val="ctr"/>
        <c:lblOffset val="100"/>
        <c:noMultiLvlLbl val="0"/>
      </c:catAx>
      <c:valAx>
        <c:axId val="118071680"/>
        <c:scaling>
          <c:orientation val="minMax"/>
          <c:max val="0.2"/>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en-US" sz="900" b="1">
                    <a:solidFill>
                      <a:sysClr val="windowText" lastClr="000000"/>
                    </a:solidFill>
                    <a:cs typeface="+mn-cs"/>
                  </a:rPr>
                  <a:t>Index</a:t>
                </a:r>
              </a:p>
            </c:rich>
          </c:tx>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118069504"/>
        <c:crosses val="autoZero"/>
        <c:crossBetween val="between"/>
        <c:minorUnit val="5.0000000000000024E-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452990073723546E-2"/>
          <c:y val="5.527638190954811E-2"/>
          <c:w val="0.89307300610591434"/>
          <c:h val="0.76884422110553341"/>
        </c:manualLayout>
      </c:layout>
      <c:barChart>
        <c:barDir val="col"/>
        <c:grouping val="clustered"/>
        <c:varyColors val="0"/>
        <c:ser>
          <c:idx val="0"/>
          <c:order val="0"/>
          <c:tx>
            <c:strRef>
              <c:f>Sheet1!$A$1</c:f>
              <c:strCache>
                <c:ptCount val="1"/>
                <c:pt idx="0">
                  <c:v>Year</c:v>
                </c:pt>
              </c:strCache>
            </c:strRef>
          </c:tx>
          <c:spPr>
            <a:ln>
              <a:solidFill>
                <a:srgbClr val="3F8E3C"/>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15.7</c:v>
                </c:pt>
                <c:pt idx="1">
                  <c:v>13.8</c:v>
                </c:pt>
                <c:pt idx="2">
                  <c:v>5.9</c:v>
                </c:pt>
                <c:pt idx="3">
                  <c:v>16.7</c:v>
                </c:pt>
                <c:pt idx="4">
                  <c:v>19.5</c:v>
                </c:pt>
                <c:pt idx="5">
                  <c:v>28.5</c:v>
                </c:pt>
                <c:pt idx="6">
                  <c:v>47.7</c:v>
                </c:pt>
              </c:numCache>
            </c:numRef>
          </c:val>
          <c:extLst>
            <c:ext xmlns:c16="http://schemas.microsoft.com/office/drawing/2014/chart" uri="{C3380CC4-5D6E-409C-BE32-E72D297353CC}">
              <c16:uniqueId val="{00000000-6347-48C8-975A-9376882706C3}"/>
            </c:ext>
          </c:extLst>
        </c:ser>
        <c:dLbls>
          <c:showLegendKey val="0"/>
          <c:showVal val="0"/>
          <c:showCatName val="0"/>
          <c:showSerName val="0"/>
          <c:showPercent val="0"/>
          <c:showBubbleSize val="0"/>
        </c:dLbls>
        <c:gapWidth val="150"/>
        <c:axId val="191967616"/>
        <c:axId val="191969536"/>
      </c:barChart>
      <c:catAx>
        <c:axId val="191967616"/>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spPr>
          <a:ln>
            <a:solidFill>
              <a:schemeClr val="tx1"/>
            </a:solidFill>
          </a:ln>
        </c:spPr>
        <c:txPr>
          <a:bodyPr/>
          <a:lstStyle/>
          <a:p>
            <a:pPr>
              <a:defRPr lang="en-GB"/>
            </a:pPr>
            <a:endParaRPr lang="ar-SA"/>
          </a:p>
        </c:txPr>
        <c:crossAx val="191969536"/>
        <c:crosses val="autoZero"/>
        <c:auto val="1"/>
        <c:lblAlgn val="ctr"/>
        <c:lblOffset val="100"/>
        <c:noMultiLvlLbl val="0"/>
      </c:catAx>
      <c:valAx>
        <c:axId val="191969536"/>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en-US"/>
                  <a:t>Per 100,000 LiveBirths</a:t>
                </a:r>
              </a:p>
            </c:rich>
          </c:tx>
          <c:overlay val="0"/>
        </c:title>
        <c:numFmt formatCode="0" sourceLinked="0"/>
        <c:majorTickMark val="out"/>
        <c:minorTickMark val="none"/>
        <c:tickLblPos val="nextTo"/>
        <c:spPr>
          <a:ln>
            <a:solidFill>
              <a:schemeClr val="tx1"/>
            </a:solidFill>
          </a:ln>
        </c:spPr>
        <c:txPr>
          <a:bodyPr/>
          <a:lstStyle/>
          <a:p>
            <a:pPr>
              <a:defRPr lang="en-GB"/>
            </a:pPr>
            <a:endParaRPr lang="ar-SA"/>
          </a:p>
        </c:txPr>
        <c:crossAx val="191967616"/>
        <c:crosses val="autoZero"/>
        <c:crossBetween val="between"/>
        <c:majorUnit val="5"/>
        <c:minorUnit val="5"/>
      </c:valAx>
      <c:spPr>
        <a:ln>
          <a:noFill/>
        </a:ln>
      </c:spPr>
    </c:plotArea>
    <c:plotVisOnly val="1"/>
    <c:dispBlanksAs val="gap"/>
    <c:showDLblsOverMax val="0"/>
  </c:chart>
  <c:spPr>
    <a:noFill/>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1276644052711409E-2"/>
          <c:y val="0.15763107810575808"/>
          <c:w val="0.87439682496435367"/>
          <c:h val="0.66162857691570676"/>
        </c:manualLayout>
      </c:layout>
      <c:lineChart>
        <c:grouping val="standard"/>
        <c:varyColors val="0"/>
        <c:ser>
          <c:idx val="0"/>
          <c:order val="0"/>
          <c:tx>
            <c:strRef>
              <c:f>Sheet1!$B$1</c:f>
              <c:strCache>
                <c:ptCount val="1"/>
                <c:pt idx="0">
                  <c:v>West Bank</c:v>
                </c:pt>
              </c:strCache>
            </c:strRef>
          </c:tx>
          <c:dLbls>
            <c:dLbl>
              <c:idx val="0"/>
              <c:layout>
                <c:manualLayout>
                  <c:x val="-2.1145468912974492E-17"/>
                  <c:y val="2.98232389197796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83C-4281-8B52-1FC63EAA7E15}"/>
                </c:ext>
              </c:extLst>
            </c:dLbl>
            <c:dLbl>
              <c:idx val="1"/>
              <c:delete val="1"/>
              <c:extLst>
                <c:ext xmlns:c15="http://schemas.microsoft.com/office/drawing/2012/chart" uri="{CE6537A1-D6FC-4f65-9D91-7224C49458BB}"/>
                <c:ext xmlns:c16="http://schemas.microsoft.com/office/drawing/2014/chart" uri="{C3380CC4-5D6E-409C-BE32-E72D297353CC}">
                  <c16:uniqueId val="{00000001-D83C-4281-8B52-1FC63EAA7E15}"/>
                </c:ext>
              </c:extLst>
            </c:dLbl>
            <c:dLbl>
              <c:idx val="2"/>
              <c:delete val="1"/>
              <c:extLst>
                <c:ext xmlns:c15="http://schemas.microsoft.com/office/drawing/2012/chart" uri="{CE6537A1-D6FC-4f65-9D91-7224C49458BB}"/>
                <c:ext xmlns:c16="http://schemas.microsoft.com/office/drawing/2014/chart" uri="{C3380CC4-5D6E-409C-BE32-E72D297353CC}">
                  <c16:uniqueId val="{00000002-D83C-4281-8B52-1FC63EAA7E15}"/>
                </c:ext>
              </c:extLst>
            </c:dLbl>
            <c:dLbl>
              <c:idx val="3"/>
              <c:delete val="1"/>
              <c:extLst>
                <c:ext xmlns:c15="http://schemas.microsoft.com/office/drawing/2012/chart" uri="{CE6537A1-D6FC-4f65-9D91-7224C49458BB}"/>
                <c:ext xmlns:c16="http://schemas.microsoft.com/office/drawing/2014/chart" uri="{C3380CC4-5D6E-409C-BE32-E72D297353CC}">
                  <c16:uniqueId val="{00000003-D83C-4281-8B52-1FC63EAA7E15}"/>
                </c:ext>
              </c:extLst>
            </c:dLbl>
            <c:dLbl>
              <c:idx val="4"/>
              <c:delete val="1"/>
              <c:extLst>
                <c:ext xmlns:c15="http://schemas.microsoft.com/office/drawing/2012/chart" uri="{CE6537A1-D6FC-4f65-9D91-7224C49458BB}"/>
                <c:ext xmlns:c16="http://schemas.microsoft.com/office/drawing/2014/chart" uri="{C3380CC4-5D6E-409C-BE32-E72D297353CC}">
                  <c16:uniqueId val="{00000002-E021-4C17-B27F-A1EA843A8D8B}"/>
                </c:ext>
              </c:extLst>
            </c:dLbl>
            <c:dLbl>
              <c:idx val="5"/>
              <c:delete val="1"/>
              <c:extLst>
                <c:ext xmlns:c15="http://schemas.microsoft.com/office/drawing/2012/chart" uri="{CE6537A1-D6FC-4f65-9D91-7224C49458BB}"/>
                <c:ext xmlns:c16="http://schemas.microsoft.com/office/drawing/2014/chart" uri="{C3380CC4-5D6E-409C-BE32-E72D297353CC}">
                  <c16:uniqueId val="{00000005-E021-4C17-B27F-A1EA843A8D8B}"/>
                </c:ext>
              </c:extLst>
            </c:dLbl>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7.2</c:v>
                </c:pt>
                <c:pt idx="1">
                  <c:v>12.4</c:v>
                </c:pt>
                <c:pt idx="2">
                  <c:v>3.8</c:v>
                </c:pt>
                <c:pt idx="3">
                  <c:v>14.8</c:v>
                </c:pt>
                <c:pt idx="4">
                  <c:v>11.5</c:v>
                </c:pt>
                <c:pt idx="5">
                  <c:v>31.4</c:v>
                </c:pt>
                <c:pt idx="6" formatCode="#,##0.0">
                  <c:v>60</c:v>
                </c:pt>
              </c:numCache>
            </c:numRef>
          </c:val>
          <c:smooth val="0"/>
          <c:extLst>
            <c:ext xmlns:c16="http://schemas.microsoft.com/office/drawing/2014/chart" uri="{C3380CC4-5D6E-409C-BE32-E72D297353CC}">
              <c16:uniqueId val="{00000004-D83C-4281-8B52-1FC63EAA7E15}"/>
            </c:ext>
          </c:extLst>
        </c:ser>
        <c:ser>
          <c:idx val="1"/>
          <c:order val="1"/>
          <c:tx>
            <c:strRef>
              <c:f>Sheet1!$C$1</c:f>
              <c:strCache>
                <c:ptCount val="1"/>
                <c:pt idx="0">
                  <c:v>Gaza Strip</c:v>
                </c:pt>
              </c:strCache>
            </c:strRef>
          </c:tx>
          <c:dLbls>
            <c:dLbl>
              <c:idx val="0"/>
              <c:layout>
                <c:manualLayout>
                  <c:x val="-4.1522491349480994E-2"/>
                  <c:y val="-7.5829383886255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021-4C17-B27F-A1EA843A8D8B}"/>
                </c:ext>
              </c:extLst>
            </c:dLbl>
            <c:dLbl>
              <c:idx val="1"/>
              <c:delete val="1"/>
              <c:extLst>
                <c:ext xmlns:c15="http://schemas.microsoft.com/office/drawing/2012/chart" uri="{CE6537A1-D6FC-4f65-9D91-7224C49458BB}"/>
                <c:ext xmlns:c16="http://schemas.microsoft.com/office/drawing/2014/chart" uri="{C3380CC4-5D6E-409C-BE32-E72D297353CC}">
                  <c16:uniqueId val="{00000005-D83C-4281-8B52-1FC63EAA7E15}"/>
                </c:ext>
              </c:extLst>
            </c:dLbl>
            <c:dLbl>
              <c:idx val="2"/>
              <c:delete val="1"/>
              <c:extLst>
                <c:ext xmlns:c15="http://schemas.microsoft.com/office/drawing/2012/chart" uri="{CE6537A1-D6FC-4f65-9D91-7224C49458BB}"/>
                <c:ext xmlns:c16="http://schemas.microsoft.com/office/drawing/2014/chart" uri="{C3380CC4-5D6E-409C-BE32-E72D297353CC}">
                  <c16:uniqueId val="{00000006-D83C-4281-8B52-1FC63EAA7E15}"/>
                </c:ext>
              </c:extLst>
            </c:dLbl>
            <c:dLbl>
              <c:idx val="3"/>
              <c:delete val="1"/>
              <c:extLst>
                <c:ext xmlns:c15="http://schemas.microsoft.com/office/drawing/2012/chart" uri="{CE6537A1-D6FC-4f65-9D91-7224C49458BB}"/>
                <c:ext xmlns:c16="http://schemas.microsoft.com/office/drawing/2014/chart" uri="{C3380CC4-5D6E-409C-BE32-E72D297353CC}">
                  <c16:uniqueId val="{00000000-61CD-473F-82BC-7386629F0892}"/>
                </c:ext>
              </c:extLst>
            </c:dLbl>
            <c:dLbl>
              <c:idx val="4"/>
              <c:delete val="1"/>
              <c:extLst>
                <c:ext xmlns:c15="http://schemas.microsoft.com/office/drawing/2012/chart" uri="{CE6537A1-D6FC-4f65-9D91-7224C49458BB}"/>
                <c:ext xmlns:c16="http://schemas.microsoft.com/office/drawing/2014/chart" uri="{C3380CC4-5D6E-409C-BE32-E72D297353CC}">
                  <c16:uniqueId val="{00000000-E021-4C17-B27F-A1EA843A8D8B}"/>
                </c:ext>
              </c:extLst>
            </c:dLbl>
            <c:dLbl>
              <c:idx val="5"/>
              <c:delete val="1"/>
              <c:extLst>
                <c:ext xmlns:c15="http://schemas.microsoft.com/office/drawing/2012/chart" uri="{CE6537A1-D6FC-4f65-9D91-7224C49458BB}"/>
                <c:ext xmlns:c16="http://schemas.microsoft.com/office/drawing/2014/chart" uri="{C3380CC4-5D6E-409C-BE32-E72D297353CC}">
                  <c16:uniqueId val="{00000004-E021-4C17-B27F-A1EA843A8D8B}"/>
                </c:ext>
              </c:extLst>
            </c:dLbl>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25.9</c:v>
                </c:pt>
                <c:pt idx="1">
                  <c:v>15.5</c:v>
                </c:pt>
                <c:pt idx="2">
                  <c:v>8.6</c:v>
                </c:pt>
                <c:pt idx="3">
                  <c:v>19.100000000000001</c:v>
                </c:pt>
                <c:pt idx="4">
                  <c:v>30.8</c:v>
                </c:pt>
                <c:pt idx="5">
                  <c:v>24.3</c:v>
                </c:pt>
                <c:pt idx="6">
                  <c:v>39.1</c:v>
                </c:pt>
              </c:numCache>
            </c:numRef>
          </c:val>
          <c:smooth val="0"/>
          <c:extLst>
            <c:ext xmlns:c16="http://schemas.microsoft.com/office/drawing/2014/chart" uri="{C3380CC4-5D6E-409C-BE32-E72D297353CC}">
              <c16:uniqueId val="{00000007-D83C-4281-8B52-1FC63EAA7E15}"/>
            </c:ext>
          </c:extLst>
        </c:ser>
        <c:ser>
          <c:idx val="2"/>
          <c:order val="2"/>
          <c:tx>
            <c:strRef>
              <c:f>Sheet1!$D$1</c:f>
              <c:strCache>
                <c:ptCount val="1"/>
                <c:pt idx="0">
                  <c:v>Palestine</c:v>
                </c:pt>
              </c:strCache>
            </c:strRef>
          </c:tx>
          <c:spPr>
            <a:ln>
              <a:solidFill>
                <a:srgbClr val="9BBB59">
                  <a:lumMod val="50000"/>
                </a:srgbClr>
              </a:solidFill>
            </a:ln>
          </c:spPr>
          <c:marker>
            <c:spPr>
              <a:ln>
                <a:solidFill>
                  <a:srgbClr val="9BBB59">
                    <a:lumMod val="50000"/>
                  </a:srgbClr>
                </a:solidFill>
              </a:ln>
            </c:spPr>
          </c:marker>
          <c:dLbls>
            <c:dLbl>
              <c:idx val="0"/>
              <c:layout>
                <c:manualLayout>
                  <c:x val="-7.5618341824919014E-2"/>
                  <c:y val="-3.88396711074622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83C-4281-8B52-1FC63EAA7E15}"/>
                </c:ext>
              </c:extLst>
            </c:dLbl>
            <c:dLbl>
              <c:idx val="1"/>
              <c:delete val="1"/>
              <c:extLst>
                <c:ext xmlns:c15="http://schemas.microsoft.com/office/drawing/2012/chart" uri="{CE6537A1-D6FC-4f65-9D91-7224C49458BB}"/>
                <c:ext xmlns:c16="http://schemas.microsoft.com/office/drawing/2014/chart" uri="{C3380CC4-5D6E-409C-BE32-E72D297353CC}">
                  <c16:uniqueId val="{00000009-D83C-4281-8B52-1FC63EAA7E15}"/>
                </c:ext>
              </c:extLst>
            </c:dLbl>
            <c:dLbl>
              <c:idx val="2"/>
              <c:delete val="1"/>
              <c:extLst>
                <c:ext xmlns:c15="http://schemas.microsoft.com/office/drawing/2012/chart" uri="{CE6537A1-D6FC-4f65-9D91-7224C49458BB}"/>
                <c:ext xmlns:c16="http://schemas.microsoft.com/office/drawing/2014/chart" uri="{C3380CC4-5D6E-409C-BE32-E72D297353CC}">
                  <c16:uniqueId val="{0000000A-D83C-4281-8B52-1FC63EAA7E15}"/>
                </c:ext>
              </c:extLst>
            </c:dLbl>
            <c:dLbl>
              <c:idx val="3"/>
              <c:delete val="1"/>
              <c:extLst>
                <c:ext xmlns:c15="http://schemas.microsoft.com/office/drawing/2012/chart" uri="{CE6537A1-D6FC-4f65-9D91-7224C49458BB}"/>
                <c:ext xmlns:c16="http://schemas.microsoft.com/office/drawing/2014/chart" uri="{C3380CC4-5D6E-409C-BE32-E72D297353CC}">
                  <c16:uniqueId val="{0000000B-D83C-4281-8B52-1FC63EAA7E15}"/>
                </c:ext>
              </c:extLst>
            </c:dLbl>
            <c:dLbl>
              <c:idx val="4"/>
              <c:delete val="1"/>
              <c:extLst>
                <c:ext xmlns:c15="http://schemas.microsoft.com/office/drawing/2012/chart" uri="{CE6537A1-D6FC-4f65-9D91-7224C49458BB}"/>
                <c:ext xmlns:c16="http://schemas.microsoft.com/office/drawing/2014/chart" uri="{C3380CC4-5D6E-409C-BE32-E72D297353CC}">
                  <c16:uniqueId val="{00000001-E021-4C17-B27F-A1EA843A8D8B}"/>
                </c:ext>
              </c:extLst>
            </c:dLbl>
            <c:dLbl>
              <c:idx val="5"/>
              <c:delete val="1"/>
              <c:extLst>
                <c:ext xmlns:c15="http://schemas.microsoft.com/office/drawing/2012/chart" uri="{CE6537A1-D6FC-4f65-9D91-7224C49458BB}"/>
                <c:ext xmlns:c16="http://schemas.microsoft.com/office/drawing/2014/chart" uri="{C3380CC4-5D6E-409C-BE32-E72D297353CC}">
                  <c16:uniqueId val="{00000003-E021-4C17-B27F-A1EA843A8D8B}"/>
                </c:ext>
              </c:extLst>
            </c:dLbl>
            <c:dLbl>
              <c:idx val="6"/>
              <c:layout>
                <c:manualLayout>
                  <c:x val="-6.8493150684931546E-3"/>
                  <c:y val="-2.52764612954186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021-4C17-B27F-A1EA843A8D8B}"/>
                </c:ext>
              </c:extLst>
            </c:dLbl>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General</c:formatCode>
                <c:ptCount val="7"/>
                <c:pt idx="0">
                  <c:v>15.7</c:v>
                </c:pt>
                <c:pt idx="1">
                  <c:v>13.8</c:v>
                </c:pt>
                <c:pt idx="2">
                  <c:v>5.9</c:v>
                </c:pt>
                <c:pt idx="3">
                  <c:v>16.7</c:v>
                </c:pt>
                <c:pt idx="4">
                  <c:v>19.5</c:v>
                </c:pt>
                <c:pt idx="5">
                  <c:v>28.5</c:v>
                </c:pt>
                <c:pt idx="6">
                  <c:v>47.7</c:v>
                </c:pt>
              </c:numCache>
            </c:numRef>
          </c:val>
          <c:smooth val="0"/>
          <c:extLst>
            <c:ext xmlns:c16="http://schemas.microsoft.com/office/drawing/2014/chart" uri="{C3380CC4-5D6E-409C-BE32-E72D297353CC}">
              <c16:uniqueId val="{0000000C-D83C-4281-8B52-1FC63EAA7E15}"/>
            </c:ext>
          </c:extLst>
        </c:ser>
        <c:dLbls>
          <c:showLegendKey val="0"/>
          <c:showVal val="0"/>
          <c:showCatName val="0"/>
          <c:showSerName val="0"/>
          <c:showPercent val="0"/>
          <c:showBubbleSize val="0"/>
        </c:dLbls>
        <c:marker val="1"/>
        <c:smooth val="0"/>
        <c:axId val="141972608"/>
        <c:axId val="141974528"/>
      </c:lineChart>
      <c:catAx>
        <c:axId val="14197260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41974528"/>
        <c:crosses val="autoZero"/>
        <c:auto val="1"/>
        <c:lblAlgn val="ctr"/>
        <c:lblOffset val="100"/>
        <c:noMultiLvlLbl val="0"/>
      </c:catAx>
      <c:valAx>
        <c:axId val="14197452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 100,000 Live Births</a:t>
                </a:r>
              </a:p>
            </c:rich>
          </c:tx>
          <c:overlay val="0"/>
        </c:title>
        <c:numFmt formatCode="General" sourceLinked="1"/>
        <c:majorTickMark val="out"/>
        <c:minorTickMark val="none"/>
        <c:tickLblPos val="nextTo"/>
        <c:txPr>
          <a:bodyPr/>
          <a:lstStyle/>
          <a:p>
            <a:pPr>
              <a:defRPr lang="en-GB"/>
            </a:pPr>
            <a:endParaRPr lang="ar-SA"/>
          </a:p>
        </c:txPr>
        <c:crossAx val="141972608"/>
        <c:crosses val="autoZero"/>
        <c:crossBetween val="between"/>
        <c:majorUnit val="5"/>
      </c:valAx>
    </c:plotArea>
    <c:legend>
      <c:legendPos val="t"/>
      <c:overlay val="0"/>
      <c:spPr>
        <a:ln>
          <a:solidFill>
            <a:sysClr val="window" lastClr="FFFFFF">
              <a:lumMod val="75000"/>
            </a:sysClr>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358417508417508E-2"/>
          <c:y val="0.23432139485006362"/>
          <c:w val="0.89212306397306396"/>
          <c:h val="0.59016794767174985"/>
        </c:manualLayout>
      </c:layout>
      <c:barChart>
        <c:barDir val="col"/>
        <c:grouping val="clustered"/>
        <c:varyColors val="0"/>
        <c:ser>
          <c:idx val="0"/>
          <c:order val="0"/>
          <c:tx>
            <c:strRef>
              <c:f>Sheet1!$B$1</c:f>
              <c:strCache>
                <c:ptCount val="1"/>
                <c:pt idx="0">
                  <c:v>Palestine</c:v>
                </c:pt>
              </c:strCache>
            </c:strRef>
          </c:tx>
          <c:invertIfNegative val="0"/>
          <c:dLbls>
            <c:dLbl>
              <c:idx val="2"/>
              <c:layout>
                <c:manualLayout>
                  <c:x val="-2.3148148148148147E-2"/>
                  <c:y val="7.936507936507941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FA-4B64-8443-B5523C02205B}"/>
                </c:ext>
              </c:extLst>
            </c:dLbl>
            <c:dLbl>
              <c:idx val="3"/>
              <c:layout>
                <c:manualLayout>
                  <c:x val="-2.7777777777779313E-2"/>
                  <c:y val="1.19047619047619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FA-4B64-8443-B5523C02205B}"/>
                </c:ext>
              </c:extLst>
            </c:dLbl>
            <c:dLbl>
              <c:idx val="4"/>
              <c:layout>
                <c:manualLayout>
                  <c:x val="-1.620370370370370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FA-4B64-8443-B5523C02205B}"/>
                </c:ext>
              </c:extLst>
            </c:dLbl>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Sheet1!$B$2:$B$4</c:f>
              <c:numCache>
                <c:formatCode>0.0</c:formatCode>
                <c:ptCount val="3"/>
                <c:pt idx="0" formatCode="General">
                  <c:v>97.4</c:v>
                </c:pt>
                <c:pt idx="1">
                  <c:v>99</c:v>
                </c:pt>
                <c:pt idx="2" formatCode="General">
                  <c:v>99.7</c:v>
                </c:pt>
              </c:numCache>
            </c:numRef>
          </c:val>
          <c:extLst>
            <c:ext xmlns:c16="http://schemas.microsoft.com/office/drawing/2014/chart" uri="{C3380CC4-5D6E-409C-BE32-E72D297353CC}">
              <c16:uniqueId val="{00000003-7DFA-4B64-8443-B5523C02205B}"/>
            </c:ext>
          </c:extLst>
        </c:ser>
        <c:ser>
          <c:idx val="1"/>
          <c:order val="1"/>
          <c:tx>
            <c:strRef>
              <c:f>Sheet1!$C$1</c:f>
              <c:strCache>
                <c:ptCount val="1"/>
                <c:pt idx="0">
                  <c:v>West Bank</c:v>
                </c:pt>
              </c:strCache>
            </c:strRef>
          </c:tx>
          <c:spPr>
            <a:solidFill>
              <a:srgbClr val="C0504D">
                <a:lumMod val="50000"/>
              </a:srgbClr>
            </a:solidFill>
          </c:spPr>
          <c:invertIfNegative val="0"/>
          <c:dLbls>
            <c:dLbl>
              <c:idx val="2"/>
              <c:layout>
                <c:manualLayout>
                  <c:x val="-2.3148148148148147E-3"/>
                  <c:y val="-2.38095238095238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DFA-4B64-8443-B5523C02205B}"/>
                </c:ext>
              </c:extLst>
            </c:dLbl>
            <c:dLbl>
              <c:idx val="3"/>
              <c:layout>
                <c:manualLayout>
                  <c:x val="-4.6296296296295504E-3"/>
                  <c:y val="-3.57142857142857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DFA-4B64-8443-B5523C02205B}"/>
                </c:ext>
              </c:extLst>
            </c:dLbl>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Sheet1!$C$2:$C$4</c:f>
              <c:numCache>
                <c:formatCode>General</c:formatCode>
                <c:ptCount val="3"/>
                <c:pt idx="0">
                  <c:v>96.4</c:v>
                </c:pt>
                <c:pt idx="1">
                  <c:v>98.6</c:v>
                </c:pt>
                <c:pt idx="2">
                  <c:v>99.4</c:v>
                </c:pt>
              </c:numCache>
            </c:numRef>
          </c:val>
          <c:extLst>
            <c:ext xmlns:c16="http://schemas.microsoft.com/office/drawing/2014/chart" uri="{C3380CC4-5D6E-409C-BE32-E72D297353CC}">
              <c16:uniqueId val="{00000006-7DFA-4B64-8443-B5523C02205B}"/>
            </c:ext>
          </c:extLst>
        </c:ser>
        <c:ser>
          <c:idx val="2"/>
          <c:order val="2"/>
          <c:tx>
            <c:strRef>
              <c:f>Sheet1!$D$1</c:f>
              <c:strCache>
                <c:ptCount val="1"/>
                <c:pt idx="0">
                  <c:v>Gaza Strip</c:v>
                </c:pt>
              </c:strCache>
            </c:strRef>
          </c:tx>
          <c:spPr>
            <a:solidFill>
              <a:srgbClr val="9BBB59">
                <a:lumMod val="60000"/>
                <a:lumOff val="40000"/>
              </a:srgbClr>
            </a:solidFill>
          </c:spPr>
          <c:invertIfNegative val="0"/>
          <c:dLbls>
            <c:dLbl>
              <c:idx val="4"/>
              <c:layout>
                <c:manualLayout>
                  <c:x val="2.08333333333334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DFA-4B64-8443-B5523C02205B}"/>
                </c:ext>
              </c:extLst>
            </c:dLbl>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Sheet1!$D$2:$D$4</c:f>
              <c:numCache>
                <c:formatCode>General</c:formatCode>
                <c:ptCount val="3"/>
                <c:pt idx="0">
                  <c:v>98.9</c:v>
                </c:pt>
                <c:pt idx="1">
                  <c:v>99.7</c:v>
                </c:pt>
                <c:pt idx="2">
                  <c:v>100</c:v>
                </c:pt>
              </c:numCache>
            </c:numRef>
          </c:val>
          <c:extLst>
            <c:ext xmlns:c16="http://schemas.microsoft.com/office/drawing/2014/chart" uri="{C3380CC4-5D6E-409C-BE32-E72D297353CC}">
              <c16:uniqueId val="{00000008-7DFA-4B64-8443-B5523C02205B}"/>
            </c:ext>
          </c:extLst>
        </c:ser>
        <c:dLbls>
          <c:showLegendKey val="0"/>
          <c:showVal val="0"/>
          <c:showCatName val="0"/>
          <c:showSerName val="0"/>
          <c:showPercent val="0"/>
          <c:showBubbleSize val="0"/>
        </c:dLbls>
        <c:gapWidth val="150"/>
        <c:axId val="191972096"/>
        <c:axId val="191974016"/>
      </c:barChart>
      <c:catAx>
        <c:axId val="19197209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1974016"/>
        <c:crosses val="autoZero"/>
        <c:auto val="1"/>
        <c:lblAlgn val="ctr"/>
        <c:lblOffset val="100"/>
        <c:noMultiLvlLbl val="0"/>
      </c:catAx>
      <c:valAx>
        <c:axId val="191974016"/>
        <c:scaling>
          <c:orientation val="minMax"/>
          <c:max val="100"/>
          <c:min val="9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191972096"/>
        <c:crosses val="autoZero"/>
        <c:crossBetween val="between"/>
        <c:majorUnit val="2"/>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36142136833551"/>
          <c:y val="0.16085297030178905"/>
          <c:w val="0.78726071781895957"/>
          <c:h val="0.5870585407593274"/>
        </c:manualLayout>
      </c:layout>
      <c:barChart>
        <c:barDir val="col"/>
        <c:grouping val="clustered"/>
        <c:varyColors val="0"/>
        <c:ser>
          <c:idx val="0"/>
          <c:order val="0"/>
          <c:tx>
            <c:strRef>
              <c:f>Sheet1!$B$1</c:f>
              <c:strCache>
                <c:ptCount val="1"/>
                <c:pt idx="0">
                  <c:v>Palestine</c:v>
                </c:pt>
              </c:strCache>
            </c:strRef>
          </c:tx>
          <c:invertIfNegative val="0"/>
          <c:dLbls>
            <c:dLbl>
              <c:idx val="0"/>
              <c:layout>
                <c:manualLayout>
                  <c:x val="-1.8682858477347054E-2"/>
                  <c:y val="1.46520146520146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060-4D94-9903-440A8A9C26AA}"/>
                </c:ext>
              </c:extLst>
            </c:dLbl>
            <c:dLbl>
              <c:idx val="1"/>
              <c:layout>
                <c:manualLayout>
                  <c:x val="-4.2036431574030912E-2"/>
                  <c:y val="1.465201465201465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060-4D94-9903-440A8A9C26AA}"/>
                </c:ext>
              </c:extLst>
            </c:dLbl>
            <c:dLbl>
              <c:idx val="2"/>
              <c:layout>
                <c:manualLayout>
                  <c:x val="-5.1377860812704353E-2"/>
                  <c:y val="1.95360195360195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60-4D94-9903-440A8A9C26AA}"/>
                </c:ext>
              </c:extLst>
            </c:dLbl>
            <c:spPr>
              <a:noFill/>
              <a:ln w="25353">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Neonatal mortality </c:v>
                </c:pt>
                <c:pt idx="1">
                  <c:v>Under-5 mortality</c:v>
                </c:pt>
                <c:pt idx="2">
                  <c:v>Infant mortality</c:v>
                </c:pt>
              </c:strCache>
            </c:strRef>
          </c:cat>
          <c:val>
            <c:numRef>
              <c:f>Sheet1!$B$2:$B$4</c:f>
              <c:numCache>
                <c:formatCode>0.0</c:formatCode>
                <c:ptCount val="3"/>
                <c:pt idx="0">
                  <c:v>9.4</c:v>
                </c:pt>
                <c:pt idx="1">
                  <c:v>14.2</c:v>
                </c:pt>
                <c:pt idx="2" formatCode="General">
                  <c:v>12.1</c:v>
                </c:pt>
              </c:numCache>
            </c:numRef>
          </c:val>
          <c:extLst>
            <c:ext xmlns:c16="http://schemas.microsoft.com/office/drawing/2014/chart" uri="{C3380CC4-5D6E-409C-BE32-E72D297353CC}">
              <c16:uniqueId val="{00000000-F94F-4B3A-A342-1A3386E2F2EB}"/>
            </c:ext>
          </c:extLst>
        </c:ser>
        <c:ser>
          <c:idx val="1"/>
          <c:order val="1"/>
          <c:tx>
            <c:strRef>
              <c:f>Sheet1!$C$1</c:f>
              <c:strCache>
                <c:ptCount val="1"/>
                <c:pt idx="0">
                  <c:v>West Bank</c:v>
                </c:pt>
              </c:strCache>
            </c:strRef>
          </c:tx>
          <c:spPr>
            <a:solidFill>
              <a:srgbClr val="C0504D">
                <a:lumMod val="50000"/>
              </a:srgbClr>
            </a:solidFill>
          </c:spPr>
          <c:invertIfNegative val="0"/>
          <c:dLbls>
            <c:spPr>
              <a:noFill/>
              <a:ln w="25353">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Neonatal mortality </c:v>
                </c:pt>
                <c:pt idx="1">
                  <c:v>Under-5 mortality</c:v>
                </c:pt>
                <c:pt idx="2">
                  <c:v>Infant mortality</c:v>
                </c:pt>
              </c:strCache>
            </c:strRef>
          </c:cat>
          <c:val>
            <c:numRef>
              <c:f>Sheet1!$C$2:$C$4</c:f>
              <c:numCache>
                <c:formatCode>0.0</c:formatCode>
                <c:ptCount val="3"/>
                <c:pt idx="0">
                  <c:v>9.8000000000000007</c:v>
                </c:pt>
                <c:pt idx="1">
                  <c:v>14.7</c:v>
                </c:pt>
                <c:pt idx="2" formatCode="General">
                  <c:v>11.7</c:v>
                </c:pt>
              </c:numCache>
            </c:numRef>
          </c:val>
          <c:extLst>
            <c:ext xmlns:c16="http://schemas.microsoft.com/office/drawing/2014/chart" uri="{C3380CC4-5D6E-409C-BE32-E72D297353CC}">
              <c16:uniqueId val="{00000001-F94F-4B3A-A342-1A3386E2F2EB}"/>
            </c:ext>
          </c:extLst>
        </c:ser>
        <c:ser>
          <c:idx val="2"/>
          <c:order val="2"/>
          <c:tx>
            <c:strRef>
              <c:f>Sheet1!$D$1</c:f>
              <c:strCache>
                <c:ptCount val="1"/>
                <c:pt idx="0">
                  <c:v>Gaza Strip</c:v>
                </c:pt>
              </c:strCache>
            </c:strRef>
          </c:tx>
          <c:spPr>
            <a:solidFill>
              <a:srgbClr val="9BBB59">
                <a:lumMod val="40000"/>
                <a:lumOff val="60000"/>
              </a:srgbClr>
            </a:solidFill>
          </c:spPr>
          <c:invertIfNegative val="0"/>
          <c:dLbls>
            <c:dLbl>
              <c:idx val="0"/>
              <c:layout>
                <c:manualLayout>
                  <c:x val="1.8682858477347054E-2"/>
                  <c:y val="4.884004884004842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060-4D94-9903-440A8A9C26AA}"/>
                </c:ext>
              </c:extLst>
            </c:dLbl>
            <c:dLbl>
              <c:idx val="1"/>
              <c:layout>
                <c:manualLayout>
                  <c:x val="1.8682858477347054E-2"/>
                  <c:y val="1.465201465201462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60-4D94-9903-440A8A9C26AA}"/>
                </c:ext>
              </c:extLst>
            </c:dLbl>
            <c:dLbl>
              <c:idx val="2"/>
              <c:layout>
                <c:manualLayout>
                  <c:x val="4.2036431574030753E-2"/>
                  <c:y val="4.884004884004889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060-4D94-9903-440A8A9C26AA}"/>
                </c:ext>
              </c:extLst>
            </c:dLbl>
            <c:spPr>
              <a:noFill/>
              <a:ln w="25353">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Neonatal mortality </c:v>
                </c:pt>
                <c:pt idx="1">
                  <c:v>Under-5 mortality</c:v>
                </c:pt>
                <c:pt idx="2">
                  <c:v>Infant mortality</c:v>
                </c:pt>
              </c:strCache>
            </c:strRef>
          </c:cat>
          <c:val>
            <c:numRef>
              <c:f>Sheet1!$D$2:$D$4</c:f>
              <c:numCache>
                <c:formatCode>0.0</c:formatCode>
                <c:ptCount val="3"/>
                <c:pt idx="0">
                  <c:v>8.8000000000000007</c:v>
                </c:pt>
                <c:pt idx="1">
                  <c:v>13.7</c:v>
                </c:pt>
                <c:pt idx="2" formatCode="General">
                  <c:v>12.7</c:v>
                </c:pt>
              </c:numCache>
            </c:numRef>
          </c:val>
          <c:extLst>
            <c:ext xmlns:c16="http://schemas.microsoft.com/office/drawing/2014/chart" uri="{C3380CC4-5D6E-409C-BE32-E72D297353CC}">
              <c16:uniqueId val="{00000002-F94F-4B3A-A342-1A3386E2F2EB}"/>
            </c:ext>
          </c:extLst>
        </c:ser>
        <c:dLbls>
          <c:showLegendKey val="0"/>
          <c:showVal val="0"/>
          <c:showCatName val="0"/>
          <c:showSerName val="0"/>
          <c:showPercent val="0"/>
          <c:showBubbleSize val="0"/>
        </c:dLbls>
        <c:gapWidth val="150"/>
        <c:axId val="142438784"/>
        <c:axId val="142440704"/>
      </c:barChart>
      <c:catAx>
        <c:axId val="14243878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en-US"/>
                  <a:t>2019</a:t>
                </a:r>
              </a:p>
            </c:rich>
          </c:tx>
          <c:layout>
            <c:manualLayout>
              <c:xMode val="edge"/>
              <c:yMode val="edge"/>
              <c:x val="0.47577465860245732"/>
              <c:y val="0.89174415935650664"/>
            </c:manualLayout>
          </c:layout>
          <c:overlay val="0"/>
        </c:title>
        <c:numFmt formatCode="General" sourceLinked="0"/>
        <c:majorTickMark val="out"/>
        <c:minorTickMark val="none"/>
        <c:tickLblPos val="nextTo"/>
        <c:txPr>
          <a:bodyPr rot="0" vert="horz"/>
          <a:lstStyle/>
          <a:p>
            <a:pPr rtl="0">
              <a:defRPr lang="en-GB"/>
            </a:pPr>
            <a:endParaRPr lang="ar-SA"/>
          </a:p>
        </c:txPr>
        <c:crossAx val="142440704"/>
        <c:crosses val="autoZero"/>
        <c:auto val="1"/>
        <c:lblAlgn val="ctr"/>
        <c:lblOffset val="100"/>
        <c:noMultiLvlLbl val="0"/>
      </c:catAx>
      <c:valAx>
        <c:axId val="142440704"/>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en-US"/>
                  <a:t>Per 1,000 Live Birth</a:t>
                </a:r>
              </a:p>
            </c:rich>
          </c:tx>
          <c:overlay val="0"/>
        </c:title>
        <c:numFmt formatCode="0;[Red]0" sourceLinked="0"/>
        <c:majorTickMark val="out"/>
        <c:minorTickMark val="none"/>
        <c:tickLblPos val="nextTo"/>
        <c:txPr>
          <a:bodyPr/>
          <a:lstStyle/>
          <a:p>
            <a:pPr>
              <a:defRPr lang="en-GB"/>
            </a:pPr>
            <a:endParaRPr lang="ar-SA"/>
          </a:p>
        </c:txPr>
        <c:crossAx val="142438784"/>
        <c:crosses val="autoZero"/>
        <c:crossBetween val="between"/>
      </c:valAx>
    </c:plotArea>
    <c:legend>
      <c:legendPos val="t"/>
      <c:overlay val="0"/>
      <c:spPr>
        <a:ln>
          <a:solidFill>
            <a:sysClr val="window" lastClr="FFFFFF">
              <a:lumMod val="75000"/>
            </a:sysClr>
          </a:solidFill>
        </a:ln>
      </c:spPr>
      <c:txPr>
        <a:bodyPr/>
        <a:lstStyle/>
        <a:p>
          <a:pPr>
            <a:defRPr lang="en-GB"/>
          </a:pPr>
          <a:endParaRPr lang="ar-SA"/>
        </a:p>
      </c:txPr>
    </c:legend>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672011840305076E-2"/>
          <c:y val="0.23596912544956841"/>
          <c:w val="0.86259280546877293"/>
          <c:h val="0.59467738471170417"/>
        </c:manualLayout>
      </c:layout>
      <c:lineChart>
        <c:grouping val="standard"/>
        <c:varyColors val="0"/>
        <c:ser>
          <c:idx val="0"/>
          <c:order val="0"/>
          <c:tx>
            <c:strRef>
              <c:f>Sheet1!$B$1</c:f>
              <c:strCache>
                <c:ptCount val="1"/>
                <c:pt idx="0">
                  <c:v>Palestine</c:v>
                </c:pt>
              </c:strCache>
            </c:strRef>
          </c:tx>
          <c:spPr>
            <a:ln>
              <a:solidFill>
                <a:srgbClr val="1F497D"/>
              </a:solidFill>
            </a:ln>
          </c:spPr>
          <c:marker>
            <c:spPr>
              <a:solidFill>
                <a:sysClr val="windowText" lastClr="000000"/>
              </a:solidFill>
              <a:ln>
                <a:solidFill>
                  <a:srgbClr val="1F497D"/>
                </a:solidFill>
              </a:ln>
            </c:spPr>
          </c:marker>
          <c:dLbls>
            <c:dLbl>
              <c:idx val="0"/>
              <c:layout>
                <c:manualLayout>
                  <c:x val="-4.3328584995251711E-2"/>
                  <c:y val="-5.51654287643484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79-4370-B6DB-1E62BCD34E0C}"/>
                </c:ext>
              </c:extLst>
            </c:dLbl>
            <c:dLbl>
              <c:idx val="1"/>
              <c:delete val="1"/>
              <c:extLst>
                <c:ext xmlns:c15="http://schemas.microsoft.com/office/drawing/2012/chart" uri="{CE6537A1-D6FC-4f65-9D91-7224C49458BB}"/>
                <c:ext xmlns:c16="http://schemas.microsoft.com/office/drawing/2014/chart" uri="{C3380CC4-5D6E-409C-BE32-E72D297353CC}">
                  <c16:uniqueId val="{00000002-92E1-45BA-86AD-B29023987C78}"/>
                </c:ext>
              </c:extLst>
            </c:dLbl>
            <c:dLbl>
              <c:idx val="2"/>
              <c:delete val="1"/>
              <c:extLst>
                <c:ext xmlns:c15="http://schemas.microsoft.com/office/drawing/2012/chart" uri="{CE6537A1-D6FC-4f65-9D91-7224C49458BB}"/>
                <c:ext xmlns:c16="http://schemas.microsoft.com/office/drawing/2014/chart" uri="{C3380CC4-5D6E-409C-BE32-E72D297353CC}">
                  <c16:uniqueId val="{00000005-92E1-45BA-86AD-B29023987C78}"/>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Sheet1!$B$2:$B$5</c:f>
              <c:numCache>
                <c:formatCode>0.0</c:formatCode>
                <c:ptCount val="4"/>
                <c:pt idx="0">
                  <c:v>26.2</c:v>
                </c:pt>
                <c:pt idx="1">
                  <c:v>25.7</c:v>
                </c:pt>
                <c:pt idx="2">
                  <c:v>25.8</c:v>
                </c:pt>
                <c:pt idx="3">
                  <c:v>29.2</c:v>
                </c:pt>
              </c:numCache>
            </c:numRef>
          </c:val>
          <c:smooth val="0"/>
          <c:extLst>
            <c:ext xmlns:c16="http://schemas.microsoft.com/office/drawing/2014/chart" uri="{C3380CC4-5D6E-409C-BE32-E72D297353CC}">
              <c16:uniqueId val="{00000000-CA9B-480A-AFF4-43B79CEBB42B}"/>
            </c:ext>
          </c:extLst>
        </c:ser>
        <c:ser>
          <c:idx val="1"/>
          <c:order val="1"/>
          <c:tx>
            <c:strRef>
              <c:f>Sheet1!$C$1</c:f>
              <c:strCache>
                <c:ptCount val="1"/>
                <c:pt idx="0">
                  <c:v>Gaza Strip</c:v>
                </c:pt>
              </c:strCache>
            </c:strRef>
          </c:tx>
          <c:spPr>
            <a:ln>
              <a:solidFill>
                <a:srgbClr val="C0504D">
                  <a:lumMod val="40000"/>
                  <a:lumOff val="60000"/>
                </a:srgbClr>
              </a:solidFill>
            </a:ln>
          </c:spPr>
          <c:marker>
            <c:spPr>
              <a:ln>
                <a:solidFill>
                  <a:srgbClr val="C0504D">
                    <a:lumMod val="40000"/>
                    <a:lumOff val="6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92E1-45BA-86AD-B29023987C78}"/>
                </c:ext>
              </c:extLst>
            </c:dLbl>
            <c:dLbl>
              <c:idx val="2"/>
              <c:delete val="1"/>
              <c:extLst>
                <c:ext xmlns:c15="http://schemas.microsoft.com/office/drawing/2012/chart" uri="{CE6537A1-D6FC-4f65-9D91-7224C49458BB}"/>
                <c:ext xmlns:c16="http://schemas.microsoft.com/office/drawing/2014/chart" uri="{C3380CC4-5D6E-409C-BE32-E72D297353CC}">
                  <c16:uniqueId val="{00000001-92E1-45BA-86AD-B29023987C78}"/>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Sheet1!$C$2:$C$5</c:f>
              <c:numCache>
                <c:formatCode>0.0</c:formatCode>
                <c:ptCount val="4"/>
                <c:pt idx="0">
                  <c:v>38.300000000000004</c:v>
                </c:pt>
                <c:pt idx="1">
                  <c:v>38</c:v>
                </c:pt>
                <c:pt idx="2">
                  <c:v>38.800000000000004</c:v>
                </c:pt>
                <c:pt idx="3">
                  <c:v>53</c:v>
                </c:pt>
              </c:numCache>
            </c:numRef>
          </c:val>
          <c:smooth val="0"/>
          <c:extLst>
            <c:ext xmlns:c16="http://schemas.microsoft.com/office/drawing/2014/chart" uri="{C3380CC4-5D6E-409C-BE32-E72D297353CC}">
              <c16:uniqueId val="{00000001-CA9B-480A-AFF4-43B79CEBB42B}"/>
            </c:ext>
          </c:extLst>
        </c:ser>
        <c:ser>
          <c:idx val="2"/>
          <c:order val="2"/>
          <c:tx>
            <c:strRef>
              <c:f>Sheet1!$D$1</c:f>
              <c:strCache>
                <c:ptCount val="1"/>
                <c:pt idx="0">
                  <c:v>West Bank</c:v>
                </c:pt>
              </c:strCache>
            </c:strRef>
          </c:tx>
          <c:spPr>
            <a:ln>
              <a:solidFill>
                <a:srgbClr val="9BBB59">
                  <a:lumMod val="50000"/>
                </a:srgbClr>
              </a:solidFill>
            </a:ln>
          </c:spPr>
          <c:marker>
            <c:spPr>
              <a:solidFill>
                <a:srgbClr val="9BBB59">
                  <a:lumMod val="40000"/>
                  <a:lumOff val="60000"/>
                </a:srgbClr>
              </a:solidFill>
              <a:ln>
                <a:solidFill>
                  <a:srgbClr val="9BBB59">
                    <a:lumMod val="5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3-92E1-45BA-86AD-B29023987C78}"/>
                </c:ext>
              </c:extLst>
            </c:dLbl>
            <c:dLbl>
              <c:idx val="2"/>
              <c:delete val="1"/>
              <c:extLst>
                <c:ext xmlns:c15="http://schemas.microsoft.com/office/drawing/2012/chart" uri="{CE6537A1-D6FC-4f65-9D91-7224C49458BB}"/>
                <c:ext xmlns:c16="http://schemas.microsoft.com/office/drawing/2014/chart" uri="{C3380CC4-5D6E-409C-BE32-E72D297353CC}">
                  <c16:uniqueId val="{00000004-92E1-45BA-86AD-B29023987C78}"/>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Sheet1!$D$2:$D$5</c:f>
              <c:numCache>
                <c:formatCode>0.0</c:formatCode>
                <c:ptCount val="4"/>
                <c:pt idx="0">
                  <c:v>19.399999999999999</c:v>
                </c:pt>
                <c:pt idx="1">
                  <c:v>18.3</c:v>
                </c:pt>
                <c:pt idx="2">
                  <c:v>17.8</c:v>
                </c:pt>
                <c:pt idx="3">
                  <c:v>13.9</c:v>
                </c:pt>
              </c:numCache>
            </c:numRef>
          </c:val>
          <c:smooth val="0"/>
          <c:extLst>
            <c:ext xmlns:c16="http://schemas.microsoft.com/office/drawing/2014/chart" uri="{C3380CC4-5D6E-409C-BE32-E72D297353CC}">
              <c16:uniqueId val="{00000002-CA9B-480A-AFF4-43B79CEBB42B}"/>
            </c:ext>
          </c:extLst>
        </c:ser>
        <c:dLbls>
          <c:showLegendKey val="0"/>
          <c:showVal val="0"/>
          <c:showCatName val="0"/>
          <c:showSerName val="0"/>
          <c:showPercent val="0"/>
          <c:showBubbleSize val="0"/>
        </c:dLbls>
        <c:marker val="1"/>
        <c:smooth val="0"/>
        <c:axId val="191441152"/>
        <c:axId val="191451520"/>
      </c:lineChart>
      <c:catAx>
        <c:axId val="19144115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1451520"/>
        <c:crosses val="autoZero"/>
        <c:auto val="1"/>
        <c:lblAlgn val="ctr"/>
        <c:lblOffset val="100"/>
        <c:noMultiLvlLbl val="0"/>
      </c:catAx>
      <c:valAx>
        <c:axId val="19145152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91441152"/>
        <c:crosses val="autoZero"/>
        <c:crossBetween val="between"/>
      </c:valAx>
    </c:plotArea>
    <c:legend>
      <c:legendPos val="r"/>
      <c:layout>
        <c:manualLayout>
          <c:xMode val="edge"/>
          <c:yMode val="edge"/>
          <c:x val="0.20057869055027924"/>
          <c:y val="3.0738331621590832E-2"/>
          <c:w val="0.52858799866511519"/>
          <c:h val="0.11141572520826216"/>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834312359438611"/>
          <c:y val="0.23144799207791358"/>
          <c:w val="0.78365338524261985"/>
          <c:h val="0.56534510109313263"/>
        </c:manualLayout>
      </c:layout>
      <c:lineChart>
        <c:grouping val="standard"/>
        <c:varyColors val="0"/>
        <c:ser>
          <c:idx val="2"/>
          <c:order val="0"/>
          <c:tx>
            <c:strRef>
              <c:f>Sheet1!$A$1</c:f>
              <c:strCache>
                <c:ptCount val="1"/>
                <c:pt idx="0">
                  <c:v>Neonatal mortality rate</c:v>
                </c:pt>
              </c:strCache>
            </c:strRef>
          </c:tx>
          <c:spPr>
            <a:ln>
              <a:solidFill>
                <a:srgbClr val="9BBB59">
                  <a:lumMod val="50000"/>
                </a:srgbClr>
              </a:solidFill>
            </a:ln>
          </c:spPr>
          <c:marker>
            <c:spPr>
              <a:ln>
                <a:solidFill>
                  <a:srgbClr val="9BBB59">
                    <a:lumMod val="50000"/>
                  </a:srgbClr>
                </a:solidFill>
              </a:ln>
            </c:spPr>
          </c:marker>
          <c:dLbls>
            <c:dLbl>
              <c:idx val="0"/>
              <c:layout>
                <c:manualLayout>
                  <c:x val="-2.8894774861545871E-2"/>
                  <c:y val="-4.1279669762641767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25E-4646-BFB6-251AD32902F4}"/>
                </c:ext>
              </c:extLst>
            </c:dLbl>
            <c:dLbl>
              <c:idx val="4"/>
              <c:spPr/>
              <c:txPr>
                <a:bodyPr/>
                <a:lstStyle/>
                <a:p>
                  <a:pPr>
                    <a:defRPr lang="en-GB"/>
                  </a:pPr>
                  <a:endParaRPr lang="ar-SA"/>
                </a:p>
              </c:txPr>
              <c:showLegendKey val="0"/>
              <c:showVal val="0"/>
              <c:showCatName val="0"/>
              <c:showSerName val="0"/>
              <c:showPercent val="0"/>
              <c:showBubbleSize val="0"/>
              <c:extLst>
                <c:ext xmlns:c16="http://schemas.microsoft.com/office/drawing/2014/chart" uri="{C3380CC4-5D6E-409C-BE32-E72D297353CC}">
                  <c16:uniqueId val="{00000000-B920-4454-911B-9D2851EA2AD3}"/>
                </c:ext>
              </c:extLst>
            </c:dLbl>
            <c:dLbl>
              <c:idx val="5"/>
              <c:layout>
                <c:manualLayout>
                  <c:x val="-2.1819768710451718E-2"/>
                  <c:y val="4.395604395604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25E-4646-BFB6-251AD32902F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Sheet1!$A$2:$A$7</c:f>
              <c:numCache>
                <c:formatCode>General</c:formatCode>
                <c:ptCount val="6"/>
                <c:pt idx="0">
                  <c:v>2000</c:v>
                </c:pt>
                <c:pt idx="1">
                  <c:v>2004</c:v>
                </c:pt>
                <c:pt idx="2">
                  <c:v>2006</c:v>
                </c:pt>
                <c:pt idx="3">
                  <c:v>2010</c:v>
                </c:pt>
                <c:pt idx="4">
                  <c:v>2014</c:v>
                </c:pt>
                <c:pt idx="5">
                  <c:v>2019</c:v>
                </c:pt>
              </c:numCache>
            </c:numRef>
          </c:cat>
          <c:val>
            <c:numRef>
              <c:f>Sheet1!$B$2:$B$7</c:f>
              <c:numCache>
                <c:formatCode>0.0</c:formatCode>
                <c:ptCount val="6"/>
                <c:pt idx="0">
                  <c:v>15</c:v>
                </c:pt>
                <c:pt idx="1">
                  <c:v>16.399999999999999</c:v>
                </c:pt>
                <c:pt idx="2">
                  <c:v>14.1</c:v>
                </c:pt>
                <c:pt idx="3">
                  <c:v>12</c:v>
                </c:pt>
                <c:pt idx="4">
                  <c:v>11.2</c:v>
                </c:pt>
                <c:pt idx="5">
                  <c:v>9.4</c:v>
                </c:pt>
              </c:numCache>
            </c:numRef>
          </c:val>
          <c:smooth val="0"/>
          <c:extLst>
            <c:ext xmlns:c16="http://schemas.microsoft.com/office/drawing/2014/chart" uri="{C3380CC4-5D6E-409C-BE32-E72D297353CC}">
              <c16:uniqueId val="{00000003-A25E-4646-BFB6-251AD32902F4}"/>
            </c:ext>
          </c:extLst>
        </c:ser>
        <c:ser>
          <c:idx val="3"/>
          <c:order val="1"/>
          <c:tx>
            <c:strRef>
              <c:f>Sheet1!$A$10</c:f>
              <c:strCache>
                <c:ptCount val="1"/>
                <c:pt idx="0">
                  <c:v>Under-5 mortality rate</c:v>
                </c:pt>
              </c:strCache>
            </c:strRef>
          </c:tx>
          <c:dLbls>
            <c:dLbl>
              <c:idx val="0"/>
              <c:layout>
                <c:manualLayout>
                  <c:x val="-1.6855285335901762E-2"/>
                  <c:y val="-7.4303405572755429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25E-4646-BFB6-251AD32902F4}"/>
                </c:ext>
              </c:extLst>
            </c:dLbl>
            <c:dLbl>
              <c:idx val="4"/>
              <c:spPr/>
              <c:txPr>
                <a:bodyPr/>
                <a:lstStyle/>
                <a:p>
                  <a:pPr>
                    <a:defRPr lang="en-GB"/>
                  </a:pPr>
                  <a:endParaRPr lang="ar-SA"/>
                </a:p>
              </c:txPr>
              <c:showLegendKey val="0"/>
              <c:showVal val="0"/>
              <c:showCatName val="0"/>
              <c:showSerName val="0"/>
              <c:showPercent val="0"/>
              <c:showBubbleSize val="0"/>
              <c:extLst>
                <c:ext xmlns:c16="http://schemas.microsoft.com/office/drawing/2014/chart" uri="{C3380CC4-5D6E-409C-BE32-E72D297353CC}">
                  <c16:uniqueId val="{00000001-B920-4454-911B-9D2851EA2AD3}"/>
                </c:ext>
              </c:extLst>
            </c:dLbl>
            <c:dLbl>
              <c:idx val="5"/>
              <c:layout>
                <c:manualLayout>
                  <c:x val="-1.7455814968361495E-2"/>
                  <c:y val="-4.395604395604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25E-4646-BFB6-251AD32902F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Sheet1!$A$2:$A$7</c:f>
              <c:numCache>
                <c:formatCode>General</c:formatCode>
                <c:ptCount val="6"/>
                <c:pt idx="0">
                  <c:v>2000</c:v>
                </c:pt>
                <c:pt idx="1">
                  <c:v>2004</c:v>
                </c:pt>
                <c:pt idx="2">
                  <c:v>2006</c:v>
                </c:pt>
                <c:pt idx="3">
                  <c:v>2010</c:v>
                </c:pt>
                <c:pt idx="4">
                  <c:v>2014</c:v>
                </c:pt>
                <c:pt idx="5">
                  <c:v>2019</c:v>
                </c:pt>
              </c:numCache>
            </c:numRef>
          </c:cat>
          <c:val>
            <c:numRef>
              <c:f>Sheet1!$B$11:$B$16</c:f>
              <c:numCache>
                <c:formatCode>0.0</c:formatCode>
                <c:ptCount val="6"/>
                <c:pt idx="0">
                  <c:v>28</c:v>
                </c:pt>
                <c:pt idx="1">
                  <c:v>28.3</c:v>
                </c:pt>
                <c:pt idx="2">
                  <c:v>31.6</c:v>
                </c:pt>
                <c:pt idx="3">
                  <c:v>23.4</c:v>
                </c:pt>
                <c:pt idx="4">
                  <c:v>21.7</c:v>
                </c:pt>
                <c:pt idx="5">
                  <c:v>14.2</c:v>
                </c:pt>
              </c:numCache>
            </c:numRef>
          </c:val>
          <c:smooth val="0"/>
          <c:extLst>
            <c:ext xmlns:c16="http://schemas.microsoft.com/office/drawing/2014/chart" uri="{C3380CC4-5D6E-409C-BE32-E72D297353CC}">
              <c16:uniqueId val="{00000007-A25E-4646-BFB6-251AD32902F4}"/>
            </c:ext>
          </c:extLst>
        </c:ser>
        <c:dLbls>
          <c:showLegendKey val="0"/>
          <c:showVal val="0"/>
          <c:showCatName val="0"/>
          <c:showSerName val="0"/>
          <c:showPercent val="0"/>
          <c:showBubbleSize val="0"/>
        </c:dLbls>
        <c:marker val="1"/>
        <c:smooth val="0"/>
        <c:axId val="142475648"/>
        <c:axId val="142477568"/>
      </c:lineChart>
      <c:catAx>
        <c:axId val="14247564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42477568"/>
        <c:crosses val="autoZero"/>
        <c:auto val="1"/>
        <c:lblAlgn val="ctr"/>
        <c:lblOffset val="100"/>
        <c:noMultiLvlLbl val="0"/>
      </c:catAx>
      <c:valAx>
        <c:axId val="14247756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 1,000 Live Birth</a:t>
                </a:r>
              </a:p>
            </c:rich>
          </c:tx>
          <c:overlay val="0"/>
        </c:title>
        <c:numFmt formatCode="0;[Red]0" sourceLinked="0"/>
        <c:majorTickMark val="out"/>
        <c:minorTickMark val="none"/>
        <c:tickLblPos val="nextTo"/>
        <c:txPr>
          <a:bodyPr/>
          <a:lstStyle/>
          <a:p>
            <a:pPr>
              <a:defRPr lang="en-GB"/>
            </a:pPr>
            <a:endParaRPr lang="ar-SA"/>
          </a:p>
        </c:txPr>
        <c:crossAx val="142475648"/>
        <c:crosses val="autoZero"/>
        <c:crossBetween val="between"/>
      </c:valAx>
    </c:plotArea>
    <c:legend>
      <c:legendPos val="t"/>
      <c:legendEntry>
        <c:idx val="1"/>
        <c:txPr>
          <a:bodyPr/>
          <a:lstStyle/>
          <a:p>
            <a:pPr rtl="0">
              <a:defRPr/>
            </a:pPr>
            <a:endParaRPr lang="ar-SA"/>
          </a:p>
        </c:txPr>
      </c:legendEntry>
      <c:overlay val="0"/>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953302712160971E-2"/>
          <c:y val="0.13756658609962191"/>
          <c:w val="0.89426891951006127"/>
          <c:h val="0.74054861820289586"/>
        </c:manualLayout>
      </c:layout>
      <c:lineChart>
        <c:grouping val="standard"/>
        <c:varyColors val="0"/>
        <c:ser>
          <c:idx val="0"/>
          <c:order val="0"/>
          <c:tx>
            <c:strRef>
              <c:f>Sheet1!$B$1</c:f>
              <c:strCache>
                <c:ptCount val="1"/>
                <c:pt idx="0">
                  <c:v>Palestine</c:v>
                </c:pt>
              </c:strCache>
            </c:strRef>
          </c:tx>
          <c:marker>
            <c:spPr>
              <a:solidFill>
                <a:srgbClr val="1F497D">
                  <a:lumMod val="75000"/>
                </a:srgbClr>
              </a:solidFill>
            </c:spPr>
          </c:marker>
          <c:dLbls>
            <c:dLbl>
              <c:idx val="0"/>
              <c:layout>
                <c:manualLayout>
                  <c:x val="-8.4184164479440063E-2"/>
                  <c:y val="-8.343332083489574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A8-4A9E-AF44-9DC30F3126D7}"/>
                </c:ext>
              </c:extLst>
            </c:dLbl>
            <c:dLbl>
              <c:idx val="1"/>
              <c:delete val="1"/>
              <c:extLst>
                <c:ext xmlns:c15="http://schemas.microsoft.com/office/drawing/2012/chart" uri="{CE6537A1-D6FC-4f65-9D91-7224C49458BB}"/>
                <c:ext xmlns:c16="http://schemas.microsoft.com/office/drawing/2014/chart" uri="{C3380CC4-5D6E-409C-BE32-E72D297353CC}">
                  <c16:uniqueId val="{00000001-443F-4ECD-89FC-637FD9560D04}"/>
                </c:ext>
              </c:extLst>
            </c:dLbl>
            <c:dLbl>
              <c:idx val="2"/>
              <c:delete val="1"/>
              <c:extLst>
                <c:ext xmlns:c15="http://schemas.microsoft.com/office/drawing/2012/chart" uri="{CE6537A1-D6FC-4f65-9D91-7224C49458BB}"/>
                <c:ext xmlns:c16="http://schemas.microsoft.com/office/drawing/2014/chart" uri="{C3380CC4-5D6E-409C-BE32-E72D297353CC}">
                  <c16:uniqueId val="{00000004-443F-4ECD-89FC-637FD9560D04}"/>
                </c:ext>
              </c:extLst>
            </c:dLbl>
            <c:dLbl>
              <c:idx val="3"/>
              <c:delete val="1"/>
              <c:extLst>
                <c:ext xmlns:c15="http://schemas.microsoft.com/office/drawing/2012/chart" uri="{CE6537A1-D6FC-4f65-9D91-7224C49458BB}"/>
                <c:ext xmlns:c16="http://schemas.microsoft.com/office/drawing/2014/chart" uri="{C3380CC4-5D6E-409C-BE32-E72D297353CC}">
                  <c16:uniqueId val="{00000007-443F-4ECD-89FC-637FD9560D04}"/>
                </c:ext>
              </c:extLst>
            </c:dLbl>
            <c:dLbl>
              <c:idx val="4"/>
              <c:delete val="1"/>
              <c:extLst>
                <c:ext xmlns:c15="http://schemas.microsoft.com/office/drawing/2012/chart" uri="{CE6537A1-D6FC-4f65-9D91-7224C49458BB}"/>
                <c:ext xmlns:c16="http://schemas.microsoft.com/office/drawing/2014/chart" uri="{C3380CC4-5D6E-409C-BE32-E72D297353CC}">
                  <c16:uniqueId val="{00000001-1EA8-4A9E-AF44-9DC30F3126D7}"/>
                </c:ext>
              </c:extLst>
            </c:dLbl>
            <c:spPr>
              <a:noFill/>
              <a:ln w="25398">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Sheet1!$B$2:$B$7</c:f>
              <c:numCache>
                <c:formatCode>General</c:formatCode>
                <c:ptCount val="6"/>
                <c:pt idx="0">
                  <c:v>0.61000000000000054</c:v>
                </c:pt>
                <c:pt idx="1">
                  <c:v>1.05</c:v>
                </c:pt>
                <c:pt idx="2">
                  <c:v>1.1000000000000001</c:v>
                </c:pt>
                <c:pt idx="3">
                  <c:v>0.6500000000000008</c:v>
                </c:pt>
                <c:pt idx="4">
                  <c:v>0.3300000000000004</c:v>
                </c:pt>
                <c:pt idx="5" formatCode="0.00">
                  <c:v>0.5</c:v>
                </c:pt>
              </c:numCache>
            </c:numRef>
          </c:val>
          <c:smooth val="0"/>
          <c:extLst>
            <c:ext xmlns:c16="http://schemas.microsoft.com/office/drawing/2014/chart" uri="{C3380CC4-5D6E-409C-BE32-E72D297353CC}">
              <c16:uniqueId val="{00000002-1EA8-4A9E-AF44-9DC30F3126D7}"/>
            </c:ext>
          </c:extLst>
        </c:ser>
        <c:ser>
          <c:idx val="1"/>
          <c:order val="1"/>
          <c:tx>
            <c:strRef>
              <c:f>Sheet1!$C$1</c:f>
              <c:strCache>
                <c:ptCount val="1"/>
                <c:pt idx="0">
                  <c:v>West Bank</c:v>
                </c:pt>
              </c:strCache>
            </c:strRef>
          </c:tx>
          <c:spPr>
            <a:ln>
              <a:solidFill>
                <a:srgbClr val="C0504D">
                  <a:lumMod val="60000"/>
                  <a:lumOff val="40000"/>
                </a:srgbClr>
              </a:solidFill>
            </a:ln>
          </c:spPr>
          <c:marker>
            <c:spPr>
              <a:ln>
                <a:solidFill>
                  <a:srgbClr val="C0504D">
                    <a:lumMod val="60000"/>
                    <a:lumOff val="4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2-443F-4ECD-89FC-637FD9560D04}"/>
                </c:ext>
              </c:extLst>
            </c:dLbl>
            <c:dLbl>
              <c:idx val="2"/>
              <c:delete val="1"/>
              <c:extLst>
                <c:ext xmlns:c15="http://schemas.microsoft.com/office/drawing/2012/chart" uri="{CE6537A1-D6FC-4f65-9D91-7224C49458BB}"/>
                <c:ext xmlns:c16="http://schemas.microsoft.com/office/drawing/2014/chart" uri="{C3380CC4-5D6E-409C-BE32-E72D297353CC}">
                  <c16:uniqueId val="{00000005-443F-4ECD-89FC-637FD9560D04}"/>
                </c:ext>
              </c:extLst>
            </c:dLbl>
            <c:dLbl>
              <c:idx val="3"/>
              <c:delete val="1"/>
              <c:extLst>
                <c:ext xmlns:c15="http://schemas.microsoft.com/office/drawing/2012/chart" uri="{CE6537A1-D6FC-4f65-9D91-7224C49458BB}"/>
                <c:ext xmlns:c16="http://schemas.microsoft.com/office/drawing/2014/chart" uri="{C3380CC4-5D6E-409C-BE32-E72D297353CC}">
                  <c16:uniqueId val="{00000008-443F-4ECD-89FC-637FD9560D04}"/>
                </c:ext>
              </c:extLst>
            </c:dLbl>
            <c:dLbl>
              <c:idx val="4"/>
              <c:delete val="1"/>
              <c:extLst>
                <c:ext xmlns:c15="http://schemas.microsoft.com/office/drawing/2012/chart" uri="{CE6537A1-D6FC-4f65-9D91-7224C49458BB}"/>
                <c:ext xmlns:c16="http://schemas.microsoft.com/office/drawing/2014/chart" uri="{C3380CC4-5D6E-409C-BE32-E72D297353CC}">
                  <c16:uniqueId val="{00000003-1EA8-4A9E-AF44-9DC30F3126D7}"/>
                </c:ext>
              </c:extLst>
            </c:dLbl>
            <c:dLbl>
              <c:idx val="5"/>
              <c:layout>
                <c:manualLayout>
                  <c:x val="-7.5799425595360834E-3"/>
                  <c:y val="-4.07681266404199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A46-42A2-9595-0C0205E96A11}"/>
                </c:ext>
              </c:extLst>
            </c:dLbl>
            <c:spPr>
              <a:noFill/>
              <a:ln w="25398">
                <a:noFill/>
              </a:ln>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Sheet1!$C$2:$C$7</c:f>
              <c:numCache>
                <c:formatCode>General</c:formatCode>
                <c:ptCount val="6"/>
                <c:pt idx="0">
                  <c:v>0.52</c:v>
                </c:pt>
                <c:pt idx="1">
                  <c:v>0.3300000000000004</c:v>
                </c:pt>
                <c:pt idx="2">
                  <c:v>0.39000000000000035</c:v>
                </c:pt>
                <c:pt idx="3">
                  <c:v>0.42000000000000026</c:v>
                </c:pt>
                <c:pt idx="4">
                  <c:v>0.22</c:v>
                </c:pt>
                <c:pt idx="5">
                  <c:v>0.14000000000000001</c:v>
                </c:pt>
              </c:numCache>
            </c:numRef>
          </c:val>
          <c:smooth val="0"/>
          <c:extLst>
            <c:ext xmlns:c16="http://schemas.microsoft.com/office/drawing/2014/chart" uri="{C3380CC4-5D6E-409C-BE32-E72D297353CC}">
              <c16:uniqueId val="{00000004-1EA8-4A9E-AF44-9DC30F3126D7}"/>
            </c:ext>
          </c:extLst>
        </c:ser>
        <c:ser>
          <c:idx val="2"/>
          <c:order val="2"/>
          <c:tx>
            <c:strRef>
              <c:f>Sheet1!$D$1</c:f>
              <c:strCache>
                <c:ptCount val="1"/>
                <c:pt idx="0">
                  <c:v>Gaza Strip</c:v>
                </c:pt>
              </c:strCache>
            </c:strRef>
          </c:tx>
          <c:spPr>
            <a:ln>
              <a:solidFill>
                <a:srgbClr val="1F497D">
                  <a:lumMod val="20000"/>
                  <a:lumOff val="80000"/>
                </a:srgbClr>
              </a:solidFill>
            </a:ln>
          </c:spPr>
          <c:marker>
            <c:spPr>
              <a:ln>
                <a:solidFill>
                  <a:srgbClr val="1F497D">
                    <a:lumMod val="20000"/>
                    <a:lumOff val="8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443F-4ECD-89FC-637FD9560D04}"/>
                </c:ext>
              </c:extLst>
            </c:dLbl>
            <c:dLbl>
              <c:idx val="2"/>
              <c:delete val="1"/>
              <c:extLst>
                <c:ext xmlns:c15="http://schemas.microsoft.com/office/drawing/2012/chart" uri="{CE6537A1-D6FC-4f65-9D91-7224C49458BB}"/>
                <c:ext xmlns:c16="http://schemas.microsoft.com/office/drawing/2014/chart" uri="{C3380CC4-5D6E-409C-BE32-E72D297353CC}">
                  <c16:uniqueId val="{00000003-443F-4ECD-89FC-637FD9560D04}"/>
                </c:ext>
              </c:extLst>
            </c:dLbl>
            <c:dLbl>
              <c:idx val="3"/>
              <c:delete val="1"/>
              <c:extLst>
                <c:ext xmlns:c15="http://schemas.microsoft.com/office/drawing/2012/chart" uri="{CE6537A1-D6FC-4f65-9D91-7224C49458BB}"/>
                <c:ext xmlns:c16="http://schemas.microsoft.com/office/drawing/2014/chart" uri="{C3380CC4-5D6E-409C-BE32-E72D297353CC}">
                  <c16:uniqueId val="{00000006-443F-4ECD-89FC-637FD9560D04}"/>
                </c:ext>
              </c:extLst>
            </c:dLbl>
            <c:dLbl>
              <c:idx val="4"/>
              <c:delete val="1"/>
              <c:extLst>
                <c:ext xmlns:c15="http://schemas.microsoft.com/office/drawing/2012/chart" uri="{CE6537A1-D6FC-4f65-9D91-7224C49458BB}"/>
                <c:ext xmlns:c16="http://schemas.microsoft.com/office/drawing/2014/chart" uri="{C3380CC4-5D6E-409C-BE32-E72D297353CC}">
                  <c16:uniqueId val="{00000005-1EA8-4A9E-AF44-9DC30F3126D7}"/>
                </c:ext>
              </c:extLst>
            </c:dLbl>
            <c:spPr>
              <a:noFill/>
              <a:ln w="25398">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Sheet1!$D$2:$D$7</c:f>
              <c:numCache>
                <c:formatCode>General</c:formatCode>
                <c:ptCount val="6"/>
                <c:pt idx="0">
                  <c:v>0.77000000000000068</c:v>
                </c:pt>
                <c:pt idx="1">
                  <c:v>2.0700000000000003</c:v>
                </c:pt>
                <c:pt idx="2">
                  <c:v>2.08</c:v>
                </c:pt>
                <c:pt idx="3">
                  <c:v>0.98</c:v>
                </c:pt>
                <c:pt idx="4">
                  <c:v>0.49000000000000027</c:v>
                </c:pt>
                <c:pt idx="5" formatCode="0.00">
                  <c:v>1</c:v>
                </c:pt>
              </c:numCache>
            </c:numRef>
          </c:val>
          <c:smooth val="0"/>
          <c:extLst>
            <c:ext xmlns:c16="http://schemas.microsoft.com/office/drawing/2014/chart" uri="{C3380CC4-5D6E-409C-BE32-E72D297353CC}">
              <c16:uniqueId val="{00000006-1EA8-4A9E-AF44-9DC30F3126D7}"/>
            </c:ext>
          </c:extLst>
        </c:ser>
        <c:dLbls>
          <c:showLegendKey val="0"/>
          <c:showVal val="0"/>
          <c:showCatName val="0"/>
          <c:showSerName val="0"/>
          <c:showPercent val="0"/>
          <c:showBubbleSize val="0"/>
        </c:dLbls>
        <c:marker val="1"/>
        <c:smooth val="0"/>
        <c:axId val="142626816"/>
        <c:axId val="142628352"/>
      </c:lineChart>
      <c:catAx>
        <c:axId val="142626816"/>
        <c:scaling>
          <c:orientation val="minMax"/>
        </c:scaling>
        <c:delete val="0"/>
        <c:axPos val="b"/>
        <c:numFmt formatCode="General" sourceLinked="1"/>
        <c:majorTickMark val="out"/>
        <c:minorTickMark val="none"/>
        <c:tickLblPos val="nextTo"/>
        <c:txPr>
          <a:bodyPr/>
          <a:lstStyle/>
          <a:p>
            <a:pPr>
              <a:defRPr lang="en-GB"/>
            </a:pPr>
            <a:endParaRPr lang="ar-SA"/>
          </a:p>
        </c:txPr>
        <c:crossAx val="142628352"/>
        <c:crosses val="autoZero"/>
        <c:auto val="1"/>
        <c:lblAlgn val="ctr"/>
        <c:lblOffset val="100"/>
        <c:noMultiLvlLbl val="0"/>
      </c:catAx>
      <c:valAx>
        <c:axId val="14262835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General" sourceLinked="1"/>
        <c:majorTickMark val="out"/>
        <c:minorTickMark val="none"/>
        <c:tickLblPos val="nextTo"/>
        <c:txPr>
          <a:bodyPr/>
          <a:lstStyle/>
          <a:p>
            <a:pPr>
              <a:defRPr lang="en-GB"/>
            </a:pPr>
            <a:endParaRPr lang="ar-SA"/>
          </a:p>
        </c:txPr>
        <c:crossAx val="142626816"/>
        <c:crosses val="autoZero"/>
        <c:crossBetween val="between"/>
      </c:valAx>
    </c:plotArea>
    <c:legend>
      <c:legendPos val="t"/>
      <c:layout>
        <c:manualLayout>
          <c:xMode val="edge"/>
          <c:yMode val="edge"/>
          <c:x val="0.23123619264906467"/>
          <c:y val="4.7618930446194432E-2"/>
          <c:w val="0.53752761470187271"/>
          <c:h val="7.1757709973753303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2306356783123"/>
          <c:y val="8.7015478205411237E-2"/>
          <c:w val="0.87048898680411069"/>
          <c:h val="0.75791466532602325"/>
        </c:manualLayout>
      </c:layout>
      <c:lineChart>
        <c:grouping val="standard"/>
        <c:varyColors val="0"/>
        <c:ser>
          <c:idx val="0"/>
          <c:order val="0"/>
          <c:tx>
            <c:strRef>
              <c:f>Sheet1!$A$2</c:f>
              <c:strCache>
                <c:ptCount val="1"/>
                <c:pt idx="0">
                  <c:v>Category 1</c:v>
                </c:pt>
              </c:strCache>
            </c:strRef>
          </c:tx>
          <c:spPr>
            <a:ln>
              <a:solidFill>
                <a:srgbClr val="3F8E3C"/>
              </a:solidFill>
            </a:ln>
          </c:spPr>
          <c:marker>
            <c:spPr>
              <a:solidFill>
                <a:srgbClr val="3F8E3C"/>
              </a:solidFill>
              <a:ln>
                <a:solidFill>
                  <a:srgbClr val="3F8E3C"/>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1-9CC4-42F0-9DB9-6549B2B52BD0}"/>
                </c:ext>
              </c:extLst>
            </c:dLbl>
            <c:dLbl>
              <c:idx val="2"/>
              <c:delete val="1"/>
              <c:extLst>
                <c:ext xmlns:c15="http://schemas.microsoft.com/office/drawing/2012/chart" uri="{CE6537A1-D6FC-4f65-9D91-7224C49458BB}"/>
                <c:ext xmlns:c16="http://schemas.microsoft.com/office/drawing/2014/chart" uri="{C3380CC4-5D6E-409C-BE32-E72D297353CC}">
                  <c16:uniqueId val="{00000002-9CC4-42F0-9DB9-6549B2B52BD0}"/>
                </c:ext>
              </c:extLst>
            </c:dLbl>
            <c:dLbl>
              <c:idx val="3"/>
              <c:delete val="1"/>
              <c:extLst>
                <c:ext xmlns:c15="http://schemas.microsoft.com/office/drawing/2012/chart" uri="{CE6537A1-D6FC-4f65-9D91-7224C49458BB}"/>
                <c:ext xmlns:c16="http://schemas.microsoft.com/office/drawing/2014/chart" uri="{C3380CC4-5D6E-409C-BE32-E72D297353CC}">
                  <c16:uniqueId val="{00000003-9CC4-42F0-9DB9-6549B2B52BD0}"/>
                </c:ext>
              </c:extLst>
            </c:dLbl>
            <c:dLbl>
              <c:idx val="4"/>
              <c:delete val="1"/>
              <c:extLst>
                <c:ext xmlns:c15="http://schemas.microsoft.com/office/drawing/2012/chart" uri="{CE6537A1-D6FC-4f65-9D91-7224C49458BB}"/>
                <c:ext xmlns:c16="http://schemas.microsoft.com/office/drawing/2014/chart" uri="{C3380CC4-5D6E-409C-BE32-E72D297353CC}">
                  <c16:uniqueId val="{00000000-0D5F-40D8-B007-466DAAF59898}"/>
                </c:ext>
              </c:extLst>
            </c:dLbl>
            <c:dLbl>
              <c:idx val="5"/>
              <c:delete val="1"/>
              <c:extLst>
                <c:ext xmlns:c15="http://schemas.microsoft.com/office/drawing/2012/chart" uri="{CE6537A1-D6FC-4f65-9D91-7224C49458BB}"/>
                <c:ext xmlns:c16="http://schemas.microsoft.com/office/drawing/2014/chart" uri="{C3380CC4-5D6E-409C-BE32-E72D297353CC}">
                  <c16:uniqueId val="{00000001-0D5F-40D8-B007-466DAAF59898}"/>
                </c:ext>
              </c:extLst>
            </c:dLbl>
            <c:spPr>
              <a:noFill/>
              <a:ln w="2537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2015</c:v>
                </c:pt>
                <c:pt idx="1">
                  <c:v>2016</c:v>
                </c:pt>
                <c:pt idx="2">
                  <c:v>2017</c:v>
                </c:pt>
                <c:pt idx="3">
                  <c:v>2018</c:v>
                </c:pt>
                <c:pt idx="4">
                  <c:v>2019</c:v>
                </c:pt>
                <c:pt idx="5">
                  <c:v>2020</c:v>
                </c:pt>
                <c:pt idx="6">
                  <c:v>2021</c:v>
                </c:pt>
              </c:strCache>
            </c:strRef>
          </c:cat>
          <c:val>
            <c:numRef>
              <c:f>Sheet1!$B$2:$H$2</c:f>
              <c:numCache>
                <c:formatCode>0.0000</c:formatCode>
                <c:ptCount val="7"/>
                <c:pt idx="0">
                  <c:v>4.414605634449467E-4</c:v>
                </c:pt>
                <c:pt idx="1">
                  <c:v>2.1588829939389359E-4</c:v>
                </c:pt>
                <c:pt idx="2" formatCode="General">
                  <c:v>2.0000000000000023E-4</c:v>
                </c:pt>
                <c:pt idx="3" formatCode="0.0">
                  <c:v>0</c:v>
                </c:pt>
                <c:pt idx="4" formatCode="0.0">
                  <c:v>0</c:v>
                </c:pt>
                <c:pt idx="5" formatCode="0.0">
                  <c:v>0</c:v>
                </c:pt>
                <c:pt idx="6" formatCode="0.0">
                  <c:v>0</c:v>
                </c:pt>
              </c:numCache>
            </c:numRef>
          </c:val>
          <c:smooth val="0"/>
          <c:extLst>
            <c:ext xmlns:c16="http://schemas.microsoft.com/office/drawing/2014/chart" uri="{C3380CC4-5D6E-409C-BE32-E72D297353CC}">
              <c16:uniqueId val="{00000004-9CC4-42F0-9DB9-6549B2B52BD0}"/>
            </c:ext>
          </c:extLst>
        </c:ser>
        <c:dLbls>
          <c:showLegendKey val="0"/>
          <c:showVal val="0"/>
          <c:showCatName val="0"/>
          <c:showSerName val="0"/>
          <c:showPercent val="0"/>
          <c:showBubbleSize val="0"/>
        </c:dLbls>
        <c:marker val="1"/>
        <c:smooth val="0"/>
        <c:axId val="142753792"/>
        <c:axId val="142755712"/>
      </c:lineChart>
      <c:catAx>
        <c:axId val="14275379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42755712"/>
        <c:crosses val="autoZero"/>
        <c:auto val="1"/>
        <c:lblAlgn val="ctr"/>
        <c:lblOffset val="100"/>
        <c:noMultiLvlLbl val="0"/>
      </c:catAx>
      <c:valAx>
        <c:axId val="142755712"/>
        <c:scaling>
          <c:orientation val="minMax"/>
          <c:max val="5.0000000000000034E-4"/>
          <c:min val="0"/>
        </c:scaling>
        <c:delete val="0"/>
        <c:axPos val="l"/>
        <c:title>
          <c:tx>
            <c:rich>
              <a:bodyPr/>
              <a:lstStyle/>
              <a:p>
                <a:pPr>
                  <a:defRPr lang="en-GB" sz="899" b="1" i="0" u="none" strike="noStrike" baseline="0">
                    <a:solidFill>
                      <a:srgbClr val="000000"/>
                    </a:solidFill>
                    <a:latin typeface="Arial"/>
                    <a:ea typeface="Arial"/>
                    <a:cs typeface="Arial"/>
                  </a:defRPr>
                </a:pPr>
                <a:r>
                  <a:rPr lang="en-US"/>
                  <a:t>Per 1,000 Population</a:t>
                </a:r>
              </a:p>
            </c:rich>
          </c:tx>
          <c:layout>
            <c:manualLayout>
              <c:xMode val="edge"/>
              <c:yMode val="edge"/>
              <c:x val="9.8395906989822584E-4"/>
              <c:y val="0.20662073490813637"/>
            </c:manualLayout>
          </c:layout>
          <c:overlay val="0"/>
        </c:title>
        <c:numFmt formatCode="0.0000" sourceLinked="1"/>
        <c:majorTickMark val="out"/>
        <c:minorTickMark val="none"/>
        <c:tickLblPos val="nextTo"/>
        <c:txPr>
          <a:bodyPr/>
          <a:lstStyle/>
          <a:p>
            <a:pPr>
              <a:defRPr lang="en-GB"/>
            </a:pPr>
            <a:endParaRPr lang="ar-SA"/>
          </a:p>
        </c:txPr>
        <c:crossAx val="142753792"/>
        <c:crosses val="autoZero"/>
        <c:crossBetween val="between"/>
        <c:majorUnit val="1.0000000000000221E-4"/>
        <c:minorUnit val="1.0000000000000285E-5"/>
      </c:valAx>
      <c:spPr>
        <a:ln>
          <a:noFill/>
        </a:ln>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3052968632728263E-2"/>
          <c:y val="8.7595479136537285E-2"/>
          <c:w val="0.89148407210520009"/>
          <c:h val="0.72429864359864615"/>
        </c:manualLayout>
      </c:layout>
      <c:lineChart>
        <c:grouping val="standard"/>
        <c:varyColors val="0"/>
        <c:ser>
          <c:idx val="0"/>
          <c:order val="0"/>
          <c:spPr>
            <a:ln>
              <a:solidFill>
                <a:srgbClr val="3F8E3C"/>
              </a:solidFill>
            </a:ln>
          </c:spPr>
          <c:marker>
            <c:symbol val="triangle"/>
            <c:size val="6"/>
            <c:spPr>
              <a:solidFill>
                <a:srgbClr val="3F8E3C"/>
              </a:solidFill>
              <a:ln>
                <a:solidFill>
                  <a:srgbClr val="3F8E3C"/>
                </a:solidFill>
              </a:ln>
            </c:spPr>
          </c:marker>
          <c:dLbls>
            <c:dLbl>
              <c:idx val="1"/>
              <c:tx>
                <c:rich>
                  <a:bodyPr/>
                  <a:lstStyle/>
                  <a:p>
                    <a:r>
                      <a:rPr lang="en-US"/>
                      <a:t>0.50</a:t>
                    </a:r>
                  </a:p>
                </c:rich>
              </c:tx>
              <c:dLblPos val="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48-4EE5-96A7-0469C5AAA2F6}"/>
                </c:ext>
              </c:extLst>
            </c:dLbl>
            <c:spPr>
              <a:noFill/>
              <a:ln w="25398">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Sheet1!$A$1:$G$1</c:f>
              <c:strCache>
                <c:ptCount val="7"/>
                <c:pt idx="0">
                  <c:v>2015</c:v>
                </c:pt>
                <c:pt idx="1">
                  <c:v>2016</c:v>
                </c:pt>
                <c:pt idx="2">
                  <c:v>2017</c:v>
                </c:pt>
                <c:pt idx="3">
                  <c:v>2018</c:v>
                </c:pt>
                <c:pt idx="4">
                  <c:v>2019</c:v>
                </c:pt>
                <c:pt idx="5">
                  <c:v>2020</c:v>
                </c:pt>
                <c:pt idx="6">
                  <c:v>2021</c:v>
                </c:pt>
              </c:strCache>
            </c:strRef>
          </c:cat>
          <c:val>
            <c:numRef>
              <c:f>Sheet1!$A$2:$G$2</c:f>
              <c:numCache>
                <c:formatCode>General</c:formatCode>
                <c:ptCount val="7"/>
                <c:pt idx="0">
                  <c:v>0.51</c:v>
                </c:pt>
                <c:pt idx="1">
                  <c:v>0.5</c:v>
                </c:pt>
                <c:pt idx="2">
                  <c:v>0.45</c:v>
                </c:pt>
                <c:pt idx="3">
                  <c:v>0.68</c:v>
                </c:pt>
                <c:pt idx="4">
                  <c:v>0.34</c:v>
                </c:pt>
                <c:pt idx="5">
                  <c:v>0.37000000000000027</c:v>
                </c:pt>
                <c:pt idx="6">
                  <c:v>0.26</c:v>
                </c:pt>
              </c:numCache>
            </c:numRef>
          </c:val>
          <c:smooth val="0"/>
          <c:extLst>
            <c:ext xmlns:c16="http://schemas.microsoft.com/office/drawing/2014/chart" uri="{C3380CC4-5D6E-409C-BE32-E72D297353CC}">
              <c16:uniqueId val="{00000001-0148-4EE5-96A7-0469C5AAA2F6}"/>
            </c:ext>
          </c:extLst>
        </c:ser>
        <c:dLbls>
          <c:showLegendKey val="0"/>
          <c:showVal val="0"/>
          <c:showCatName val="0"/>
          <c:showSerName val="0"/>
          <c:showPercent val="0"/>
          <c:showBubbleSize val="0"/>
        </c:dLbls>
        <c:marker val="1"/>
        <c:smooth val="0"/>
        <c:axId val="142563584"/>
        <c:axId val="142598528"/>
      </c:lineChart>
      <c:catAx>
        <c:axId val="1425635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42598528"/>
        <c:crosses val="autoZero"/>
        <c:auto val="1"/>
        <c:lblAlgn val="ctr"/>
        <c:lblOffset val="100"/>
        <c:noMultiLvlLbl val="0"/>
      </c:catAx>
      <c:valAx>
        <c:axId val="14259852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General" sourceLinked="1"/>
        <c:majorTickMark val="out"/>
        <c:minorTickMark val="none"/>
        <c:tickLblPos val="nextTo"/>
        <c:txPr>
          <a:bodyPr/>
          <a:lstStyle/>
          <a:p>
            <a:pPr>
              <a:defRPr lang="en-GB"/>
            </a:pPr>
            <a:endParaRPr lang="ar-SA"/>
          </a:p>
        </c:txPr>
        <c:crossAx val="14256358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453255289991426E-2"/>
          <c:y val="7.8148148148148119E-2"/>
          <c:w val="0.85336154155107835"/>
          <c:h val="0.73574522248265428"/>
        </c:manualLayout>
      </c:layout>
      <c:lineChart>
        <c:grouping val="standard"/>
        <c:varyColors val="0"/>
        <c:ser>
          <c:idx val="0"/>
          <c:order val="0"/>
          <c:tx>
            <c:strRef>
              <c:f>Sheet1!$B$1</c:f>
              <c:strCache>
                <c:ptCount val="1"/>
                <c:pt idx="0">
                  <c:v>Palestine</c:v>
                </c:pt>
              </c:strCache>
            </c:strRef>
          </c:tx>
          <c:marker>
            <c:symbol val="circle"/>
            <c:size val="4"/>
          </c:marker>
          <c:dLbls>
            <c:dLbl>
              <c:idx val="0"/>
              <c:layout>
                <c:manualLayout>
                  <c:x val="-7.4418882693044169E-2"/>
                  <c:y val="2.22965440356744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F8-46EA-826E-19739C492C50}"/>
                </c:ext>
              </c:extLst>
            </c:dLbl>
            <c:dLbl>
              <c:idx val="1"/>
              <c:layout>
                <c:manualLayout>
                  <c:x val="-1.1963646892892837E-2"/>
                  <c:y val="-7.9368674233449739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F8-46EA-826E-19739C492C50}"/>
                </c:ext>
              </c:extLst>
            </c:dLbl>
            <c:dLbl>
              <c:idx val="2"/>
              <c:layout>
                <c:manualLayout>
                  <c:x val="-1.9369428378974769E-2"/>
                  <c:y val="-7.89242085480055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F8-46EA-826E-19739C492C50}"/>
                </c:ext>
              </c:extLst>
            </c:dLbl>
            <c:dLbl>
              <c:idx val="3"/>
              <c:layout>
                <c:manualLayout>
                  <c:x val="-5.4353471302812928E-3"/>
                  <c:y val="-5.58003089120033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FF8-46EA-826E-19739C492C50}"/>
                </c:ext>
              </c:extLst>
            </c:dLbl>
            <c:dLbl>
              <c:idx val="4"/>
              <c:layout>
                <c:manualLayout>
                  <c:x val="-1.5929203539823182E-2"/>
                  <c:y val="-1.09739368998628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50-4ECA-9207-E102B6A45B9C}"/>
                </c:ext>
              </c:extLst>
            </c:dLbl>
            <c:spPr>
              <a:noFill/>
              <a:ln w="25376">
                <a:noFill/>
              </a:ln>
            </c:spPr>
            <c:txPr>
              <a:bodyPr/>
              <a:lstStyle/>
              <a:p>
                <a:pPr>
                  <a:defRPr lang="en-GB"/>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20.6</c:v>
                </c:pt>
                <c:pt idx="1">
                  <c:v>21.5</c:v>
                </c:pt>
                <c:pt idx="2">
                  <c:v>19.2</c:v>
                </c:pt>
                <c:pt idx="3">
                  <c:v>20.3</c:v>
                </c:pt>
                <c:pt idx="4">
                  <c:v>19.600000000000001</c:v>
                </c:pt>
              </c:numCache>
            </c:numRef>
          </c:val>
          <c:smooth val="0"/>
          <c:extLst>
            <c:ext xmlns:c16="http://schemas.microsoft.com/office/drawing/2014/chart" uri="{C3380CC4-5D6E-409C-BE32-E72D297353CC}">
              <c16:uniqueId val="{00000004-1FF8-46EA-826E-19739C492C50}"/>
            </c:ext>
          </c:extLst>
        </c:ser>
        <c:dLbls>
          <c:showLegendKey val="0"/>
          <c:showVal val="0"/>
          <c:showCatName val="0"/>
          <c:showSerName val="0"/>
          <c:showPercent val="0"/>
          <c:showBubbleSize val="0"/>
        </c:dLbls>
        <c:marker val="1"/>
        <c:smooth val="0"/>
        <c:axId val="142829824"/>
        <c:axId val="142844288"/>
      </c:lineChart>
      <c:catAx>
        <c:axId val="14282982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42844288"/>
        <c:crosses val="autoZero"/>
        <c:auto val="1"/>
        <c:lblAlgn val="ctr"/>
        <c:lblOffset val="100"/>
        <c:noMultiLvlLbl val="0"/>
      </c:catAx>
      <c:valAx>
        <c:axId val="142844288"/>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en-US"/>
                  <a:t>Per 10,000 Population</a:t>
                </a:r>
              </a:p>
            </c:rich>
          </c:tx>
          <c:overlay val="0"/>
        </c:title>
        <c:numFmt formatCode="General" sourceLinked="1"/>
        <c:majorTickMark val="out"/>
        <c:minorTickMark val="none"/>
        <c:tickLblPos val="nextTo"/>
        <c:txPr>
          <a:bodyPr/>
          <a:lstStyle/>
          <a:p>
            <a:pPr>
              <a:defRPr lang="en-GB"/>
            </a:pPr>
            <a:endParaRPr lang="ar-SA"/>
          </a:p>
        </c:txPr>
        <c:crossAx val="142829824"/>
        <c:crosses val="autoZero"/>
        <c:crossBetween val="between"/>
        <c:majorUnit val="5"/>
      </c:valAx>
      <c:spPr>
        <a:ln cap="sq"/>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65700641586465"/>
          <c:y val="0.16991263416016689"/>
          <c:w val="0.86788003062117369"/>
          <c:h val="0.65276162261895576"/>
        </c:manualLayout>
      </c:layout>
      <c:lineChart>
        <c:grouping val="stacked"/>
        <c:varyColors val="0"/>
        <c:ser>
          <c:idx val="0"/>
          <c:order val="0"/>
          <c:tx>
            <c:strRef>
              <c:f>Sheet1!$B$2:$B$8</c:f>
              <c:strCache>
                <c:ptCount val="7"/>
                <c:pt idx="0">
                  <c:v>0.69</c:v>
                </c:pt>
                <c:pt idx="1">
                  <c:v>0.71</c:v>
                </c:pt>
                <c:pt idx="2">
                  <c:v>0.85</c:v>
                </c:pt>
                <c:pt idx="3">
                  <c:v>0.95</c:v>
                </c:pt>
                <c:pt idx="4">
                  <c:v>1.11</c:v>
                </c:pt>
                <c:pt idx="5">
                  <c:v>0.8</c:v>
                </c:pt>
                <c:pt idx="6">
                  <c:v>0.8</c:v>
                </c:pt>
              </c:strCache>
            </c:strRef>
          </c:tx>
          <c:spPr>
            <a:ln>
              <a:solidFill>
                <a:srgbClr val="3F8E3C"/>
              </a:solidFill>
            </a:ln>
          </c:spPr>
          <c:marker>
            <c:spPr>
              <a:solidFill>
                <a:srgbClr val="3F8E3C"/>
              </a:solidFill>
              <a:ln>
                <a:solidFill>
                  <a:srgbClr val="3F8E3C"/>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0.00</c:formatCode>
                <c:ptCount val="7"/>
                <c:pt idx="0" formatCode="General">
                  <c:v>0.6900000000000005</c:v>
                </c:pt>
                <c:pt idx="1">
                  <c:v>0.71000000000000052</c:v>
                </c:pt>
                <c:pt idx="2">
                  <c:v>0.85000000000000053</c:v>
                </c:pt>
                <c:pt idx="3" formatCode="General">
                  <c:v>0.95000000000000051</c:v>
                </c:pt>
                <c:pt idx="4" formatCode="General">
                  <c:v>1.1100000000000001</c:v>
                </c:pt>
                <c:pt idx="5" formatCode="General">
                  <c:v>0.8</c:v>
                </c:pt>
                <c:pt idx="6" formatCode="General">
                  <c:v>0.8</c:v>
                </c:pt>
              </c:numCache>
            </c:numRef>
          </c:val>
          <c:smooth val="0"/>
          <c:extLst>
            <c:ext xmlns:c16="http://schemas.microsoft.com/office/drawing/2014/chart" uri="{C3380CC4-5D6E-409C-BE32-E72D297353CC}">
              <c16:uniqueId val="{00000000-1F27-4504-9355-BD73F53D79F0}"/>
            </c:ext>
          </c:extLst>
        </c:ser>
        <c:dLbls>
          <c:showLegendKey val="0"/>
          <c:showVal val="0"/>
          <c:showCatName val="0"/>
          <c:showSerName val="0"/>
          <c:showPercent val="0"/>
          <c:showBubbleSize val="0"/>
        </c:dLbls>
        <c:marker val="1"/>
        <c:smooth val="0"/>
        <c:axId val="142926208"/>
        <c:axId val="142928128"/>
      </c:lineChart>
      <c:catAx>
        <c:axId val="14292620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42928128"/>
        <c:crosses val="autoZero"/>
        <c:auto val="1"/>
        <c:lblAlgn val="ctr"/>
        <c:lblOffset val="100"/>
        <c:noMultiLvlLbl val="0"/>
      </c:catAx>
      <c:valAx>
        <c:axId val="14292812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overlay val="0"/>
        </c:title>
        <c:numFmt formatCode="#,##0.0" sourceLinked="0"/>
        <c:majorTickMark val="out"/>
        <c:minorTickMark val="none"/>
        <c:tickLblPos val="nextTo"/>
        <c:txPr>
          <a:bodyPr/>
          <a:lstStyle/>
          <a:p>
            <a:pPr>
              <a:defRPr lang="en-GB"/>
            </a:pPr>
            <a:endParaRPr lang="ar-SA"/>
          </a:p>
        </c:txPr>
        <c:crossAx val="142926208"/>
        <c:crosses val="autoZero"/>
        <c:crossBetween val="between"/>
      </c:valAx>
    </c:plotArea>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425524934383227E-2"/>
          <c:y val="0.2354813857223074"/>
          <c:w val="0.87190780839895365"/>
          <c:h val="0.62029957462213825"/>
        </c:manualLayout>
      </c:layout>
      <c:lineChart>
        <c:grouping val="standard"/>
        <c:varyColors val="0"/>
        <c:ser>
          <c:idx val="0"/>
          <c:order val="0"/>
          <c:tx>
            <c:strRef>
              <c:f>Sheet1!$B$1</c:f>
              <c:strCache>
                <c:ptCount val="1"/>
                <c:pt idx="0">
                  <c:v>2015</c:v>
                </c:pt>
              </c:strCache>
            </c:strRef>
          </c:tx>
          <c:spPr>
            <a:ln>
              <a:solidFill>
                <a:srgbClr val="3F8E3C"/>
              </a:solidFill>
            </a:ln>
          </c:spPr>
          <c:marker>
            <c:symbol val="diamond"/>
            <c:size val="6"/>
            <c:spPr>
              <a:solidFill>
                <a:srgbClr val="3F8E3C"/>
              </a:solidFill>
              <a:ln>
                <a:solidFill>
                  <a:srgbClr val="3F8E3C"/>
                </a:solidFill>
              </a:ln>
            </c:spPr>
          </c:marker>
          <c:dLbls>
            <c:dLbl>
              <c:idx val="1"/>
              <c:layout>
                <c:manualLayout>
                  <c:x val="-1.8130832604257803E-2"/>
                  <c:y val="-6.23612326236998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A6-4F7E-A4D1-E9D7041B5987}"/>
                </c:ext>
              </c:extLst>
            </c:dLbl>
            <c:dLbl>
              <c:idx val="2"/>
              <c:layout>
                <c:manualLayout>
                  <c:x val="-1.5816017789442902E-2"/>
                  <c:y val="-5.6188393117527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A6-4F7E-A4D1-E9D7041B5987}"/>
                </c:ext>
              </c:extLst>
            </c:dLbl>
            <c:dLbl>
              <c:idx val="3"/>
              <c:layout>
                <c:manualLayout>
                  <c:x val="-2.5075277048703052E-2"/>
                  <c:y val="-5.00155536113540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3A6-4F7E-A4D1-E9D7041B5987}"/>
                </c:ext>
              </c:extLst>
            </c:dLbl>
            <c:spPr>
              <a:noFill/>
              <a:ln w="25396">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2015</c:v>
                </c:pt>
                <c:pt idx="1">
                  <c:v>2016</c:v>
                </c:pt>
                <c:pt idx="2">
                  <c:v>2017</c:v>
                </c:pt>
                <c:pt idx="3">
                  <c:v>2018</c:v>
                </c:pt>
                <c:pt idx="4">
                  <c:v>2019</c:v>
                </c:pt>
                <c:pt idx="5">
                  <c:v>2020</c:v>
                </c:pt>
              </c:strCache>
            </c:strRef>
          </c:cat>
          <c:val>
            <c:numRef>
              <c:f>Sheet1!$B$2:$G$2</c:f>
              <c:numCache>
                <c:formatCode>General</c:formatCode>
                <c:ptCount val="6"/>
                <c:pt idx="0">
                  <c:v>3.8</c:v>
                </c:pt>
                <c:pt idx="1">
                  <c:v>5.3</c:v>
                </c:pt>
                <c:pt idx="2">
                  <c:v>4.4000000000000004</c:v>
                </c:pt>
                <c:pt idx="3">
                  <c:v>3.7</c:v>
                </c:pt>
                <c:pt idx="4">
                  <c:v>3.9</c:v>
                </c:pt>
                <c:pt idx="5">
                  <c:v>2.8</c:v>
                </c:pt>
              </c:numCache>
            </c:numRef>
          </c:val>
          <c:smooth val="0"/>
          <c:extLst>
            <c:ext xmlns:c16="http://schemas.microsoft.com/office/drawing/2014/chart" uri="{C3380CC4-5D6E-409C-BE32-E72D297353CC}">
              <c16:uniqueId val="{00000003-63A6-4F7E-A4D1-E9D7041B5987}"/>
            </c:ext>
          </c:extLst>
        </c:ser>
        <c:ser>
          <c:idx val="1"/>
          <c:order val="1"/>
          <c:tx>
            <c:strRef>
              <c:f>Sheet1!$C$1</c:f>
              <c:strCache>
                <c:ptCount val="1"/>
                <c:pt idx="0">
                  <c:v>2016</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Sheet1!$C$2</c:f>
              <c:numCache>
                <c:formatCode>General</c:formatCode>
                <c:ptCount val="1"/>
                <c:pt idx="0">
                  <c:v>5.3</c:v>
                </c:pt>
              </c:numCache>
            </c:numRef>
          </c:val>
          <c:smooth val="0"/>
          <c:extLst>
            <c:ext xmlns:c16="http://schemas.microsoft.com/office/drawing/2014/chart" uri="{C3380CC4-5D6E-409C-BE32-E72D297353CC}">
              <c16:uniqueId val="{00000004-63A6-4F7E-A4D1-E9D7041B5987}"/>
            </c:ext>
          </c:extLst>
        </c:ser>
        <c:ser>
          <c:idx val="2"/>
          <c:order val="2"/>
          <c:tx>
            <c:strRef>
              <c:f>Sheet1!$D$1</c:f>
              <c:strCache>
                <c:ptCount val="1"/>
                <c:pt idx="0">
                  <c:v>2017</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Sheet1!$D$2</c:f>
              <c:numCache>
                <c:formatCode>General</c:formatCode>
                <c:ptCount val="1"/>
                <c:pt idx="0">
                  <c:v>4.4000000000000004</c:v>
                </c:pt>
              </c:numCache>
            </c:numRef>
          </c:val>
          <c:smooth val="0"/>
          <c:extLst>
            <c:ext xmlns:c16="http://schemas.microsoft.com/office/drawing/2014/chart" uri="{C3380CC4-5D6E-409C-BE32-E72D297353CC}">
              <c16:uniqueId val="{00000005-63A6-4F7E-A4D1-E9D7041B5987}"/>
            </c:ext>
          </c:extLst>
        </c:ser>
        <c:ser>
          <c:idx val="3"/>
          <c:order val="3"/>
          <c:tx>
            <c:strRef>
              <c:f>Sheet1!$E$1</c:f>
              <c:strCache>
                <c:ptCount val="1"/>
                <c:pt idx="0">
                  <c:v>2018</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Sheet1!$E$2</c:f>
              <c:numCache>
                <c:formatCode>General</c:formatCode>
                <c:ptCount val="1"/>
                <c:pt idx="0">
                  <c:v>3.7</c:v>
                </c:pt>
              </c:numCache>
            </c:numRef>
          </c:val>
          <c:smooth val="0"/>
          <c:extLst>
            <c:ext xmlns:c16="http://schemas.microsoft.com/office/drawing/2014/chart" uri="{C3380CC4-5D6E-409C-BE32-E72D297353CC}">
              <c16:uniqueId val="{00000006-63A6-4F7E-A4D1-E9D7041B5987}"/>
            </c:ext>
          </c:extLst>
        </c:ser>
        <c:dLbls>
          <c:showLegendKey val="0"/>
          <c:showVal val="0"/>
          <c:showCatName val="0"/>
          <c:showSerName val="0"/>
          <c:showPercent val="0"/>
          <c:showBubbleSize val="0"/>
        </c:dLbls>
        <c:marker val="1"/>
        <c:smooth val="0"/>
        <c:axId val="144318848"/>
        <c:axId val="144320768"/>
      </c:lineChart>
      <c:catAx>
        <c:axId val="1443188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44320768"/>
        <c:crosses val="autoZero"/>
        <c:auto val="1"/>
        <c:lblAlgn val="ctr"/>
        <c:lblOffset val="100"/>
        <c:noMultiLvlLbl val="0"/>
      </c:catAx>
      <c:valAx>
        <c:axId val="14432076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General" sourceLinked="1"/>
        <c:majorTickMark val="out"/>
        <c:minorTickMark val="none"/>
        <c:tickLblPos val="nextTo"/>
        <c:txPr>
          <a:bodyPr/>
          <a:lstStyle/>
          <a:p>
            <a:pPr>
              <a:defRPr lang="en-GB"/>
            </a:pPr>
            <a:endParaRPr lang="ar-SA"/>
          </a:p>
        </c:txPr>
        <c:crossAx val="144318848"/>
        <c:crosses val="autoZero"/>
        <c:crossBetween val="between"/>
        <c:majorUnit val="2"/>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828171436472768E-2"/>
          <c:y val="0.11792607174103252"/>
          <c:w val="0.88629193815587615"/>
          <c:h val="0.77151072332174708"/>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c:f>
              <c:numCache>
                <c:formatCode>General</c:formatCode>
                <c:ptCount val="1"/>
              </c:numCache>
            </c:numRef>
          </c:cat>
          <c:val>
            <c:numRef>
              <c:f>Sheet1!$B$2</c:f>
              <c:numCache>
                <c:formatCode>0.0</c:formatCode>
                <c:ptCount val="1"/>
                <c:pt idx="0">
                  <c:v>42.8</c:v>
                </c:pt>
              </c:numCache>
            </c:numRef>
          </c:val>
          <c:extLst>
            <c:ext xmlns:c16="http://schemas.microsoft.com/office/drawing/2014/chart" uri="{C3380CC4-5D6E-409C-BE32-E72D297353CC}">
              <c16:uniqueId val="{00000000-F822-447F-9450-9D72F34E617C}"/>
            </c:ext>
          </c:extLst>
        </c:ser>
        <c:ser>
          <c:idx val="1"/>
          <c:order val="1"/>
          <c:tx>
            <c:strRef>
              <c:f>Sheet1!$C$1</c:f>
              <c:strCache>
                <c:ptCount val="1"/>
                <c:pt idx="0">
                  <c:v>West Bank</c:v>
                </c:pt>
              </c:strCache>
            </c:strRef>
          </c:tx>
          <c:spPr>
            <a:solidFill>
              <a:srgbClr val="C0504D">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c:f>
              <c:numCache>
                <c:formatCode>General</c:formatCode>
                <c:ptCount val="1"/>
              </c:numCache>
            </c:numRef>
          </c:cat>
          <c:val>
            <c:numRef>
              <c:f>Sheet1!$C$2</c:f>
              <c:numCache>
                <c:formatCode>0.0</c:formatCode>
                <c:ptCount val="1"/>
                <c:pt idx="0">
                  <c:v>39.5</c:v>
                </c:pt>
              </c:numCache>
            </c:numRef>
          </c:val>
          <c:extLst>
            <c:ext xmlns:c16="http://schemas.microsoft.com/office/drawing/2014/chart" uri="{C3380CC4-5D6E-409C-BE32-E72D297353CC}">
              <c16:uniqueId val="{00000001-F822-447F-9450-9D72F34E617C}"/>
            </c:ext>
          </c:extLst>
        </c:ser>
        <c:ser>
          <c:idx val="2"/>
          <c:order val="2"/>
          <c:tx>
            <c:strRef>
              <c:f>Sheet1!$D$1</c:f>
              <c:strCache>
                <c:ptCount val="1"/>
                <c:pt idx="0">
                  <c:v>Gaza Strip</c:v>
                </c:pt>
              </c:strCache>
            </c:strRef>
          </c:tx>
          <c:spPr>
            <a:solidFill>
              <a:srgbClr val="9BBB59">
                <a:lumMod val="60000"/>
                <a:lumOff val="4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c:f>
              <c:numCache>
                <c:formatCode>General</c:formatCode>
                <c:ptCount val="1"/>
              </c:numCache>
            </c:numRef>
          </c:cat>
          <c:val>
            <c:numRef>
              <c:f>Sheet1!$D$2</c:f>
              <c:numCache>
                <c:formatCode>0.0</c:formatCode>
                <c:ptCount val="1"/>
                <c:pt idx="0">
                  <c:v>47.7</c:v>
                </c:pt>
              </c:numCache>
            </c:numRef>
          </c:val>
          <c:extLst>
            <c:ext xmlns:c16="http://schemas.microsoft.com/office/drawing/2014/chart" uri="{C3380CC4-5D6E-409C-BE32-E72D297353CC}">
              <c16:uniqueId val="{00000002-F822-447F-9450-9D72F34E617C}"/>
            </c:ext>
          </c:extLst>
        </c:ser>
        <c:dLbls>
          <c:showLegendKey val="0"/>
          <c:showVal val="1"/>
          <c:showCatName val="0"/>
          <c:showSerName val="0"/>
          <c:showPercent val="0"/>
          <c:showBubbleSize val="0"/>
        </c:dLbls>
        <c:gapWidth val="150"/>
        <c:axId val="144418304"/>
        <c:axId val="144420224"/>
      </c:barChart>
      <c:catAx>
        <c:axId val="144418304"/>
        <c:scaling>
          <c:orientation val="minMax"/>
        </c:scaling>
        <c:delete val="0"/>
        <c:axPos val="b"/>
        <c:title>
          <c:tx>
            <c:rich>
              <a:bodyPr/>
              <a:lstStyle/>
              <a:p>
                <a:pPr>
                  <a:defRPr/>
                </a:pPr>
                <a:r>
                  <a:rPr lang="en-US"/>
                  <a:t>Region</a:t>
                </a:r>
              </a:p>
            </c:rich>
          </c:tx>
          <c:layout>
            <c:manualLayout>
              <c:xMode val="edge"/>
              <c:yMode val="edge"/>
              <c:x val="0.49048727791799246"/>
              <c:y val="0.92586089238845215"/>
            </c:manualLayout>
          </c:layout>
          <c:overlay val="0"/>
        </c:title>
        <c:numFmt formatCode="General" sourceLinked="1"/>
        <c:majorTickMark val="out"/>
        <c:minorTickMark val="none"/>
        <c:tickLblPos val="nextTo"/>
        <c:txPr>
          <a:bodyPr/>
          <a:lstStyle/>
          <a:p>
            <a:pPr>
              <a:defRPr lang="en-GB"/>
            </a:pPr>
            <a:endParaRPr lang="ar-SA"/>
          </a:p>
        </c:txPr>
        <c:crossAx val="144420224"/>
        <c:crossesAt val="0"/>
        <c:auto val="1"/>
        <c:lblAlgn val="ctr"/>
        <c:lblOffset val="100"/>
        <c:noMultiLvlLbl val="0"/>
      </c:catAx>
      <c:valAx>
        <c:axId val="144420224"/>
        <c:scaling>
          <c:orientation val="minMax"/>
          <c:max val="80"/>
        </c:scaling>
        <c:delete val="0"/>
        <c:axPos val="l"/>
        <c:title>
          <c:tx>
            <c:rich>
              <a:bodyPr/>
              <a:lstStyle/>
              <a:p>
                <a:pPr>
                  <a:defRPr lang="en-GB" sz="900" b="1" i="0" u="none" strike="noStrike" baseline="0">
                    <a:solidFill>
                      <a:srgbClr val="000000"/>
                    </a:solidFill>
                    <a:latin typeface="Arial"/>
                    <a:ea typeface="Arial"/>
                    <a:cs typeface="Arial"/>
                  </a:defRPr>
                </a:pPr>
                <a:r>
                  <a:rPr lang="en-US"/>
                  <a:t>Per 1,000 women</a:t>
                </a:r>
              </a:p>
            </c:rich>
          </c:tx>
          <c:layout>
            <c:manualLayout>
              <c:xMode val="edge"/>
              <c:yMode val="edge"/>
              <c:x val="8.8144588544080242E-3"/>
              <c:y val="0.19956679657467091"/>
            </c:manualLayout>
          </c:layout>
          <c:overlay val="0"/>
        </c:title>
        <c:numFmt formatCode="0" sourceLinked="0"/>
        <c:majorTickMark val="out"/>
        <c:minorTickMark val="none"/>
        <c:tickLblPos val="nextTo"/>
        <c:txPr>
          <a:bodyPr/>
          <a:lstStyle/>
          <a:p>
            <a:pPr>
              <a:defRPr lang="en-GB"/>
            </a:pPr>
            <a:endParaRPr lang="ar-SA"/>
          </a:p>
        </c:txPr>
        <c:crossAx val="144418304"/>
        <c:crosses val="autoZero"/>
        <c:crossBetween val="between"/>
        <c:majorUnit val="10"/>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505157681524908E-2"/>
          <c:y val="0.12797946716837391"/>
          <c:w val="0.88629193815587615"/>
          <c:h val="0.67922326782322962"/>
        </c:manualLayout>
      </c:layout>
      <c:barChart>
        <c:barDir val="col"/>
        <c:grouping val="clustered"/>
        <c:varyColors val="0"/>
        <c:ser>
          <c:idx val="0"/>
          <c:order val="0"/>
          <c:tx>
            <c:strRef>
              <c:f>Sheet1!$B$1</c:f>
              <c:strCache>
                <c:ptCount val="1"/>
                <c:pt idx="0">
                  <c:v>Palestine</c:v>
                </c:pt>
              </c:strCache>
            </c:strRef>
          </c:tx>
          <c:invertIfNegative val="0"/>
          <c:dLbls>
            <c:numFmt formatCode="#,##0" sourceLinked="0"/>
            <c:spPr>
              <a:noFill/>
              <a:ln w="2539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Sheet1!$A$5:$A$7</c:f>
              <c:numCache>
                <c:formatCode>General</c:formatCode>
                <c:ptCount val="3"/>
                <c:pt idx="0">
                  <c:v>2015</c:v>
                </c:pt>
                <c:pt idx="1">
                  <c:v>2017</c:v>
                </c:pt>
                <c:pt idx="2">
                  <c:v>2019</c:v>
                </c:pt>
              </c:numCache>
            </c:numRef>
          </c:cat>
          <c:val>
            <c:numRef>
              <c:f>Sheet1!$B$5:$B$7</c:f>
              <c:numCache>
                <c:formatCode>0.0</c:formatCode>
                <c:ptCount val="3"/>
                <c:pt idx="0">
                  <c:v>69</c:v>
                </c:pt>
                <c:pt idx="1">
                  <c:v>69</c:v>
                </c:pt>
                <c:pt idx="2">
                  <c:v>65</c:v>
                </c:pt>
              </c:numCache>
            </c:numRef>
          </c:val>
          <c:extLst>
            <c:ext xmlns:c16="http://schemas.microsoft.com/office/drawing/2014/chart" uri="{C3380CC4-5D6E-409C-BE32-E72D297353CC}">
              <c16:uniqueId val="{00000000-A803-48A0-8E98-A752324BF612}"/>
            </c:ext>
          </c:extLst>
        </c:ser>
        <c:dLbls>
          <c:showLegendKey val="0"/>
          <c:showVal val="0"/>
          <c:showCatName val="0"/>
          <c:showSerName val="0"/>
          <c:showPercent val="0"/>
          <c:showBubbleSize val="0"/>
        </c:dLbls>
        <c:gapWidth val="150"/>
        <c:axId val="144474112"/>
        <c:axId val="144476032"/>
      </c:barChart>
      <c:catAx>
        <c:axId val="14447411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49487933265017381"/>
              <c:y val="0.92854061916959263"/>
            </c:manualLayout>
          </c:layout>
          <c:overlay val="0"/>
        </c:title>
        <c:numFmt formatCode="General" sourceLinked="1"/>
        <c:majorTickMark val="out"/>
        <c:minorTickMark val="none"/>
        <c:tickLblPos val="nextTo"/>
        <c:txPr>
          <a:bodyPr/>
          <a:lstStyle/>
          <a:p>
            <a:pPr>
              <a:defRPr lang="en-GB"/>
            </a:pPr>
            <a:endParaRPr lang="ar-SA"/>
          </a:p>
        </c:txPr>
        <c:crossAx val="144476032"/>
        <c:crossesAt val="0"/>
        <c:auto val="1"/>
        <c:lblAlgn val="ctr"/>
        <c:lblOffset val="100"/>
        <c:noMultiLvlLbl val="0"/>
      </c:catAx>
      <c:valAx>
        <c:axId val="144476032"/>
        <c:scaling>
          <c:orientation val="minMax"/>
          <c:max val="80"/>
        </c:scaling>
        <c:delete val="0"/>
        <c:axPos val="l"/>
        <c:title>
          <c:tx>
            <c:rich>
              <a:bodyPr/>
              <a:lstStyle/>
              <a:p>
                <a:pPr>
                  <a:defRPr lang="en-GB" sz="900" b="1" i="0" u="none" strike="noStrike" baseline="0">
                    <a:solidFill>
                      <a:srgbClr val="000000"/>
                    </a:solidFill>
                    <a:latin typeface="Arial"/>
                    <a:ea typeface="Arial"/>
                    <a:cs typeface="Arial"/>
                  </a:defRPr>
                </a:pPr>
                <a:r>
                  <a:rPr lang="en-US"/>
                  <a:t>Index</a:t>
                </a:r>
              </a:p>
            </c:rich>
          </c:tx>
          <c:layout>
            <c:manualLayout>
              <c:xMode val="edge"/>
              <c:yMode val="edge"/>
              <c:x val="2.2683961779053647E-3"/>
              <c:y val="0.38706695705590055"/>
            </c:manualLayout>
          </c:layout>
          <c:overlay val="0"/>
        </c:title>
        <c:numFmt formatCode="0" sourceLinked="0"/>
        <c:majorTickMark val="out"/>
        <c:minorTickMark val="none"/>
        <c:tickLblPos val="nextTo"/>
        <c:txPr>
          <a:bodyPr/>
          <a:lstStyle/>
          <a:p>
            <a:pPr>
              <a:defRPr lang="en-GB"/>
            </a:pPr>
            <a:endParaRPr lang="ar-SA"/>
          </a:p>
        </c:txPr>
        <c:crossAx val="144474112"/>
        <c:crosses val="autoZero"/>
        <c:crossBetween val="between"/>
        <c:majorUnit val="10"/>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366551213061894E-2"/>
          <c:y val="7.7192780677696304E-2"/>
          <c:w val="0.92163337299879367"/>
          <c:h val="0.78512280701754389"/>
        </c:manualLayout>
      </c:layout>
      <c:barChart>
        <c:barDir val="col"/>
        <c:grouping val="clustered"/>
        <c:varyColors val="0"/>
        <c:ser>
          <c:idx val="1"/>
          <c:order val="0"/>
          <c:tx>
            <c:strRef>
              <c:f>Sheet1!$A$2</c:f>
              <c:strCache>
                <c:ptCount val="1"/>
                <c:pt idx="0">
                  <c:v>Palestine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Sheet1!$B$1:$C$1</c:f>
              <c:strCache>
                <c:ptCount val="2"/>
                <c:pt idx="0">
                  <c:v> vaccine (DTP3)</c:v>
                </c:pt>
                <c:pt idx="1">
                  <c:v>vaccine (PCV3)</c:v>
                </c:pt>
              </c:strCache>
            </c:strRef>
          </c:cat>
          <c:val>
            <c:numRef>
              <c:f>Sheet1!$B$2:$C$2</c:f>
              <c:numCache>
                <c:formatCode>General</c:formatCode>
                <c:ptCount val="2"/>
                <c:pt idx="0">
                  <c:v>94.6</c:v>
                </c:pt>
                <c:pt idx="1">
                  <c:v>91.7</c:v>
                </c:pt>
              </c:numCache>
            </c:numRef>
          </c:val>
          <c:extLst>
            <c:ext xmlns:c16="http://schemas.microsoft.com/office/drawing/2014/chart" uri="{C3380CC4-5D6E-409C-BE32-E72D297353CC}">
              <c16:uniqueId val="{00000000-989E-4471-AA59-90616B123B40}"/>
            </c:ext>
          </c:extLst>
        </c:ser>
        <c:ser>
          <c:idx val="0"/>
          <c:order val="1"/>
          <c:tx>
            <c:strRef>
              <c:f>Sheet1!$A$3</c:f>
              <c:strCache>
                <c:ptCount val="1"/>
                <c:pt idx="0">
                  <c:v>West Bank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Sheet1!$B$1:$C$1</c:f>
              <c:strCache>
                <c:ptCount val="2"/>
                <c:pt idx="0">
                  <c:v> vaccine (DTP3)</c:v>
                </c:pt>
                <c:pt idx="1">
                  <c:v>vaccine (PCV3)</c:v>
                </c:pt>
              </c:strCache>
            </c:strRef>
          </c:cat>
          <c:val>
            <c:numRef>
              <c:f>Sheet1!$B$3:$C$3</c:f>
              <c:numCache>
                <c:formatCode>General</c:formatCode>
                <c:ptCount val="2"/>
                <c:pt idx="0">
                  <c:v>92.7</c:v>
                </c:pt>
                <c:pt idx="1">
                  <c:v>89.2</c:v>
                </c:pt>
              </c:numCache>
            </c:numRef>
          </c:val>
          <c:extLst>
            <c:ext xmlns:c16="http://schemas.microsoft.com/office/drawing/2014/chart" uri="{C3380CC4-5D6E-409C-BE32-E72D297353CC}">
              <c16:uniqueId val="{00000001-989E-4471-AA59-90616B123B40}"/>
            </c:ext>
          </c:extLst>
        </c:ser>
        <c:ser>
          <c:idx val="2"/>
          <c:order val="2"/>
          <c:tx>
            <c:strRef>
              <c:f>Sheet1!$A$4</c:f>
              <c:strCache>
                <c:ptCount val="1"/>
                <c:pt idx="0">
                  <c:v>Gaza Strip</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Sheet1!$B$1:$C$1</c:f>
              <c:strCache>
                <c:ptCount val="2"/>
                <c:pt idx="0">
                  <c:v> vaccine (DTP3)</c:v>
                </c:pt>
                <c:pt idx="1">
                  <c:v>vaccine (PCV3)</c:v>
                </c:pt>
              </c:strCache>
            </c:strRef>
          </c:cat>
          <c:val>
            <c:numRef>
              <c:f>Sheet1!$B$4:$C$4</c:f>
              <c:numCache>
                <c:formatCode>General</c:formatCode>
                <c:ptCount val="2"/>
                <c:pt idx="0">
                  <c:v>97.3</c:v>
                </c:pt>
                <c:pt idx="1">
                  <c:v>95.1</c:v>
                </c:pt>
              </c:numCache>
            </c:numRef>
          </c:val>
          <c:extLst>
            <c:ext xmlns:c16="http://schemas.microsoft.com/office/drawing/2014/chart" uri="{C3380CC4-5D6E-409C-BE32-E72D297353CC}">
              <c16:uniqueId val="{00000000-AB23-46EC-B548-BD0438074D67}"/>
            </c:ext>
          </c:extLst>
        </c:ser>
        <c:dLbls>
          <c:showLegendKey val="0"/>
          <c:showVal val="1"/>
          <c:showCatName val="0"/>
          <c:showSerName val="0"/>
          <c:showPercent val="0"/>
          <c:showBubbleSize val="0"/>
        </c:dLbls>
        <c:gapWidth val="219"/>
        <c:overlap val="-27"/>
        <c:axId val="144536704"/>
        <c:axId val="144538240"/>
      </c:barChart>
      <c:catAx>
        <c:axId val="144536704"/>
        <c:scaling>
          <c:orientation val="minMax"/>
        </c:scaling>
        <c:delete val="0"/>
        <c:axPos val="b"/>
        <c:numFmt formatCode="General" sourceLinked="1"/>
        <c:majorTickMark val="out"/>
        <c:minorTickMark val="none"/>
        <c:tickLblPos val="nextTo"/>
        <c:spPr>
          <a:noFill/>
          <a:ln w="9111" cap="flat" cmpd="sng" algn="ctr">
            <a:solidFill>
              <a:schemeClr val="tx1"/>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crossAx val="144538240"/>
        <c:crosses val="autoZero"/>
        <c:auto val="1"/>
        <c:lblAlgn val="ctr"/>
        <c:lblOffset val="100"/>
        <c:noMultiLvlLbl val="0"/>
      </c:catAx>
      <c:valAx>
        <c:axId val="144538240"/>
        <c:scaling>
          <c:orientation val="minMax"/>
          <c:min val="0"/>
        </c:scaling>
        <c:delete val="0"/>
        <c:axPos val="l"/>
        <c:numFmt formatCode="General" sourceLinked="1"/>
        <c:majorTickMark val="out"/>
        <c:minorTickMark val="none"/>
        <c:tickLblPos val="nextTo"/>
        <c:spPr>
          <a:noFill/>
          <a:ln w="6074" cap="flat" cmpd="sng" algn="ctr">
            <a:solidFill>
              <a:schemeClr val="tx1"/>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crossAx val="144536704"/>
        <c:crosses val="autoZero"/>
        <c:crossBetween val="between"/>
      </c:valAx>
      <c:spPr>
        <a:noFill/>
        <a:ln w="25409">
          <a:noFill/>
        </a:ln>
        <a:effectLst/>
      </c:spPr>
    </c:plotArea>
    <c:legend>
      <c:legendPos val="r"/>
      <c:layout>
        <c:manualLayout>
          <c:xMode val="edge"/>
          <c:yMode val="edge"/>
          <c:x val="0.38959947813329798"/>
          <c:y val="2.2803453916086586E-2"/>
          <c:w val="0.36319858902987506"/>
          <c:h val="9.6343967642342584E-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875856612129342E-2"/>
          <c:y val="0.16242089530475357"/>
          <c:w val="0.89989422483844905"/>
          <c:h val="0.70334193629290964"/>
        </c:manualLayout>
      </c:layout>
      <c:barChart>
        <c:barDir val="col"/>
        <c:grouping val="clustered"/>
        <c:varyColors val="0"/>
        <c:ser>
          <c:idx val="0"/>
          <c:order val="0"/>
          <c:tx>
            <c:strRef>
              <c:f>Sheet1!$B$10</c:f>
              <c:strCache>
                <c:ptCount val="1"/>
                <c:pt idx="0">
                  <c:v>Male</c:v>
                </c:pt>
              </c:strCache>
            </c:strRef>
          </c:tx>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Sheet1!$A$11:$A$14</c:f>
              <c:numCache>
                <c:formatCode>General</c:formatCode>
                <c:ptCount val="4"/>
                <c:pt idx="0">
                  <c:v>2009</c:v>
                </c:pt>
                <c:pt idx="1">
                  <c:v>2010</c:v>
                </c:pt>
                <c:pt idx="2">
                  <c:v>2011</c:v>
                </c:pt>
                <c:pt idx="3">
                  <c:v>2017</c:v>
                </c:pt>
              </c:numCache>
            </c:numRef>
          </c:cat>
          <c:val>
            <c:numRef>
              <c:f>Sheet1!$B$11:$B$14</c:f>
              <c:numCache>
                <c:formatCode>0.0</c:formatCode>
                <c:ptCount val="4"/>
                <c:pt idx="0">
                  <c:v>26.1</c:v>
                </c:pt>
                <c:pt idx="1">
                  <c:v>25.3</c:v>
                </c:pt>
                <c:pt idx="2">
                  <c:v>25.5</c:v>
                </c:pt>
                <c:pt idx="3">
                  <c:v>28.8</c:v>
                </c:pt>
              </c:numCache>
            </c:numRef>
          </c:val>
          <c:extLst>
            <c:ext xmlns:c16="http://schemas.microsoft.com/office/drawing/2014/chart" uri="{C3380CC4-5D6E-409C-BE32-E72D297353CC}">
              <c16:uniqueId val="{00000000-5786-41FE-8391-E4B9E8E8A6C1}"/>
            </c:ext>
          </c:extLst>
        </c:ser>
        <c:ser>
          <c:idx val="1"/>
          <c:order val="1"/>
          <c:tx>
            <c:strRef>
              <c:f>Sheet1!$C$10</c:f>
              <c:strCache>
                <c:ptCount val="1"/>
                <c:pt idx="0">
                  <c:v>Female</c:v>
                </c:pt>
              </c:strCache>
            </c:strRef>
          </c:tx>
          <c:spPr>
            <a:solidFill>
              <a:srgbClr val="4F81BD">
                <a:lumMod val="20000"/>
                <a:lumOff val="80000"/>
              </a:srgbClr>
            </a:solidFill>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Sheet1!$A$11:$A$14</c:f>
              <c:numCache>
                <c:formatCode>General</c:formatCode>
                <c:ptCount val="4"/>
                <c:pt idx="0">
                  <c:v>2009</c:v>
                </c:pt>
                <c:pt idx="1">
                  <c:v>2010</c:v>
                </c:pt>
                <c:pt idx="2">
                  <c:v>2011</c:v>
                </c:pt>
                <c:pt idx="3">
                  <c:v>2017</c:v>
                </c:pt>
              </c:numCache>
            </c:numRef>
          </c:cat>
          <c:val>
            <c:numRef>
              <c:f>Sheet1!$C$11:$C$14</c:f>
              <c:numCache>
                <c:formatCode>0.0</c:formatCode>
                <c:ptCount val="4"/>
                <c:pt idx="0">
                  <c:v>26.4</c:v>
                </c:pt>
                <c:pt idx="1">
                  <c:v>26.2</c:v>
                </c:pt>
                <c:pt idx="2">
                  <c:v>26.2</c:v>
                </c:pt>
                <c:pt idx="3">
                  <c:v>29.7</c:v>
                </c:pt>
              </c:numCache>
            </c:numRef>
          </c:val>
          <c:extLst>
            <c:ext xmlns:c16="http://schemas.microsoft.com/office/drawing/2014/chart" uri="{C3380CC4-5D6E-409C-BE32-E72D297353CC}">
              <c16:uniqueId val="{00000001-5786-41FE-8391-E4B9E8E8A6C1}"/>
            </c:ext>
          </c:extLst>
        </c:ser>
        <c:ser>
          <c:idx val="2"/>
          <c:order val="2"/>
          <c:tx>
            <c:strRef>
              <c:f>Sheet1!$D$10</c:f>
              <c:strCache>
                <c:ptCount val="1"/>
                <c:pt idx="0">
                  <c:v>Palestine</c:v>
                </c:pt>
              </c:strCache>
            </c:strRef>
          </c:tx>
          <c:spPr>
            <a:solidFill>
              <a:srgbClr val="9BBB59">
                <a:lumMod val="50000"/>
              </a:srgbClr>
            </a:solidFill>
            <a:ln>
              <a:solidFill>
                <a:srgbClr val="00B050"/>
              </a:solidFill>
            </a:ln>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Sheet1!$A$11:$A$14</c:f>
              <c:numCache>
                <c:formatCode>General</c:formatCode>
                <c:ptCount val="4"/>
                <c:pt idx="0">
                  <c:v>2009</c:v>
                </c:pt>
                <c:pt idx="1">
                  <c:v>2010</c:v>
                </c:pt>
                <c:pt idx="2">
                  <c:v>2011</c:v>
                </c:pt>
                <c:pt idx="3">
                  <c:v>2017</c:v>
                </c:pt>
              </c:numCache>
            </c:numRef>
          </c:cat>
          <c:val>
            <c:numRef>
              <c:f>Sheet1!$D$11:$D$14</c:f>
              <c:numCache>
                <c:formatCode>General</c:formatCode>
                <c:ptCount val="4"/>
                <c:pt idx="0">
                  <c:v>26.2</c:v>
                </c:pt>
                <c:pt idx="1">
                  <c:v>25.7</c:v>
                </c:pt>
                <c:pt idx="2">
                  <c:v>25.8</c:v>
                </c:pt>
                <c:pt idx="3">
                  <c:v>29.2</c:v>
                </c:pt>
              </c:numCache>
            </c:numRef>
          </c:val>
          <c:extLst>
            <c:ext xmlns:c16="http://schemas.microsoft.com/office/drawing/2014/chart" uri="{C3380CC4-5D6E-409C-BE32-E72D297353CC}">
              <c16:uniqueId val="{00000002-5786-41FE-8391-E4B9E8E8A6C1}"/>
            </c:ext>
          </c:extLst>
        </c:ser>
        <c:dLbls>
          <c:showLegendKey val="0"/>
          <c:showVal val="0"/>
          <c:showCatName val="0"/>
          <c:showSerName val="0"/>
          <c:showPercent val="0"/>
          <c:showBubbleSize val="0"/>
        </c:dLbls>
        <c:gapWidth val="150"/>
        <c:axId val="191557632"/>
        <c:axId val="191559552"/>
      </c:barChart>
      <c:catAx>
        <c:axId val="191557632"/>
        <c:scaling>
          <c:orientation val="minMax"/>
        </c:scaling>
        <c:delete val="0"/>
        <c:axPos val="b"/>
        <c:title>
          <c:tx>
            <c:rich>
              <a:bodyPr/>
              <a:lstStyle/>
              <a:p>
                <a:pPr>
                  <a:defRPr lang="ar-SA" b="1"/>
                </a:pPr>
                <a:r>
                  <a:rPr lang="en-US" b="1"/>
                  <a:t>Year</a:t>
                </a:r>
              </a:p>
            </c:rich>
          </c:tx>
          <c:overlay val="0"/>
        </c:title>
        <c:numFmt formatCode="General" sourceLinked="1"/>
        <c:majorTickMark val="out"/>
        <c:minorTickMark val="none"/>
        <c:tickLblPos val="nextTo"/>
        <c:txPr>
          <a:bodyPr/>
          <a:lstStyle/>
          <a:p>
            <a:pPr>
              <a:defRPr lang="ar-SA"/>
            </a:pPr>
            <a:endParaRPr lang="ar-SA"/>
          </a:p>
        </c:txPr>
        <c:crossAx val="191559552"/>
        <c:crosses val="autoZero"/>
        <c:auto val="1"/>
        <c:lblAlgn val="ctr"/>
        <c:lblOffset val="100"/>
        <c:noMultiLvlLbl val="0"/>
      </c:catAx>
      <c:valAx>
        <c:axId val="191559552"/>
        <c:scaling>
          <c:orientation val="minMax"/>
        </c:scaling>
        <c:delete val="0"/>
        <c:axPos val="l"/>
        <c:title>
          <c:tx>
            <c:rich>
              <a:bodyPr rot="-5400000" vert="horz"/>
              <a:lstStyle/>
              <a:p>
                <a:pPr>
                  <a:defRPr lang="ar-SA"/>
                </a:pPr>
                <a:r>
                  <a:rPr lang="en-US" b="1"/>
                  <a:t>Percentage</a:t>
                </a:r>
              </a:p>
            </c:rich>
          </c:tx>
          <c:overlay val="0"/>
        </c:title>
        <c:numFmt formatCode="0" sourceLinked="0"/>
        <c:majorTickMark val="out"/>
        <c:minorTickMark val="none"/>
        <c:tickLblPos val="nextTo"/>
        <c:txPr>
          <a:bodyPr/>
          <a:lstStyle/>
          <a:p>
            <a:pPr>
              <a:defRPr lang="ar-SA"/>
            </a:pPr>
            <a:endParaRPr lang="ar-SA"/>
          </a:p>
        </c:txPr>
        <c:crossAx val="191557632"/>
        <c:crosses val="autoZero"/>
        <c:crossBetween val="between"/>
      </c:valAx>
    </c:plotArea>
    <c:legend>
      <c:legendPos val="t"/>
      <c:overlay val="0"/>
      <c:spPr>
        <a:ln>
          <a:solidFill>
            <a:sysClr val="window" lastClr="FFFFFF">
              <a:lumMod val="65000"/>
            </a:sysClr>
          </a:solidFill>
        </a:ln>
      </c:spPr>
      <c:txPr>
        <a:bodyPr/>
        <a:lstStyle/>
        <a:p>
          <a:pPr>
            <a:defRPr lang="ar-SA"/>
          </a:pPr>
          <a:endParaRPr lang="ar-SA"/>
        </a:p>
      </c:txPr>
    </c:legend>
    <c:plotVisOnly val="1"/>
    <c:dispBlanksAs val="gap"/>
    <c:showDLblsOverMax val="0"/>
  </c:chart>
  <c:spPr>
    <a:ln>
      <a:noFill/>
    </a:ln>
  </c:spPr>
  <c:txPr>
    <a:bodyPr/>
    <a:lstStyle/>
    <a:p>
      <a:pPr>
        <a:defRPr lang="ar-SA" sz="900" b="0" i="0" u="none" strike="noStrike" kern="1200" baseline="0">
          <a:solidFill>
            <a:sysClr val="windowText" lastClr="000000"/>
          </a:solidFill>
          <a:latin typeface="Arial" pitchFamily="34" charset="0"/>
          <a:ea typeface="+mn-ea"/>
          <a:cs typeface="Arial" pitchFamily="34" charset="0"/>
        </a:defRPr>
      </a:pPr>
      <a:endParaRPr lang="ar-SA"/>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745428515650627E-2"/>
          <c:y val="0.14029810493871753"/>
          <c:w val="0.88552786273616568"/>
          <c:h val="0.64615618001878261"/>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2016</c:v>
                </c:pt>
                <c:pt idx="1">
                  <c:v>2017</c:v>
                </c:pt>
                <c:pt idx="2">
                  <c:v>2018</c:v>
                </c:pt>
                <c:pt idx="3">
                  <c:v>2019</c:v>
                </c:pt>
                <c:pt idx="4">
                  <c:v>2020</c:v>
                </c:pt>
                <c:pt idx="5">
                  <c:v>2021</c:v>
                </c:pt>
              </c:numCache>
            </c:numRef>
          </c:cat>
          <c:val>
            <c:numRef>
              <c:f>Sheet1!$B$2:$B$7</c:f>
              <c:numCache>
                <c:formatCode>General</c:formatCode>
                <c:ptCount val="6"/>
                <c:pt idx="0" formatCode="0.0">
                  <c:v>82</c:v>
                </c:pt>
                <c:pt idx="1">
                  <c:v>167.2</c:v>
                </c:pt>
                <c:pt idx="2">
                  <c:v>104.1</c:v>
                </c:pt>
                <c:pt idx="3" formatCode="0.0">
                  <c:v>120.5</c:v>
                </c:pt>
                <c:pt idx="4" formatCode="0.0">
                  <c:v>126.7</c:v>
                </c:pt>
                <c:pt idx="5" formatCode="0.0">
                  <c:v>80.69</c:v>
                </c:pt>
              </c:numCache>
            </c:numRef>
          </c:val>
          <c:extLst>
            <c:ext xmlns:c16="http://schemas.microsoft.com/office/drawing/2014/chart" uri="{C3380CC4-5D6E-409C-BE32-E72D297353CC}">
              <c16:uniqueId val="{00000000-1E9B-4CEF-8232-678BF316B9AC}"/>
            </c:ext>
          </c:extLst>
        </c:ser>
        <c:dLbls>
          <c:showLegendKey val="0"/>
          <c:showVal val="1"/>
          <c:showCatName val="0"/>
          <c:showSerName val="0"/>
          <c:showPercent val="0"/>
          <c:showBubbleSize val="0"/>
        </c:dLbls>
        <c:gapWidth val="150"/>
        <c:axId val="144657024"/>
        <c:axId val="144675584"/>
      </c:barChart>
      <c:catAx>
        <c:axId val="1446570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49487933265017381"/>
              <c:y val="0.92854061916959263"/>
            </c:manualLayout>
          </c:layout>
          <c:overlay val="0"/>
        </c:title>
        <c:numFmt formatCode="General" sourceLinked="1"/>
        <c:majorTickMark val="out"/>
        <c:minorTickMark val="none"/>
        <c:tickLblPos val="nextTo"/>
        <c:txPr>
          <a:bodyPr/>
          <a:lstStyle/>
          <a:p>
            <a:pPr>
              <a:defRPr lang="en-GB"/>
            </a:pPr>
            <a:endParaRPr lang="ar-SA"/>
          </a:p>
        </c:txPr>
        <c:crossAx val="144675584"/>
        <c:crossesAt val="0"/>
        <c:auto val="1"/>
        <c:lblAlgn val="ctr"/>
        <c:lblOffset val="100"/>
        <c:noMultiLvlLbl val="0"/>
      </c:catAx>
      <c:valAx>
        <c:axId val="144675584"/>
        <c:scaling>
          <c:orientation val="minMax"/>
          <c:max val="170"/>
          <c:min val="50"/>
        </c:scaling>
        <c:delete val="0"/>
        <c:axPos val="l"/>
        <c:title>
          <c:tx>
            <c:rich>
              <a:bodyPr/>
              <a:lstStyle/>
              <a:p>
                <a:pPr>
                  <a:defRPr lang="en-GB" sz="900" b="1" i="0" u="none" strike="noStrike" baseline="0">
                    <a:solidFill>
                      <a:srgbClr val="000000"/>
                    </a:solidFill>
                    <a:latin typeface="Arial"/>
                    <a:ea typeface="Arial"/>
                    <a:cs typeface="Arial"/>
                  </a:defRPr>
                </a:pPr>
                <a:r>
                  <a:rPr lang="en-US"/>
                  <a:t>Million USD</a:t>
                </a:r>
              </a:p>
            </c:rich>
          </c:tx>
          <c:layout>
            <c:manualLayout>
              <c:xMode val="edge"/>
              <c:yMode val="edge"/>
              <c:x val="1.3625627203142797E-2"/>
              <c:y val="0.38164692828030672"/>
            </c:manualLayout>
          </c:layout>
          <c:overlay val="0"/>
        </c:title>
        <c:numFmt formatCode="0" sourceLinked="0"/>
        <c:majorTickMark val="out"/>
        <c:minorTickMark val="none"/>
        <c:tickLblPos val="nextTo"/>
        <c:txPr>
          <a:bodyPr/>
          <a:lstStyle/>
          <a:p>
            <a:pPr>
              <a:defRPr lang="en-GB"/>
            </a:pPr>
            <a:endParaRPr lang="ar-SA"/>
          </a:p>
        </c:txPr>
        <c:crossAx val="14465702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841165015663375E-2"/>
          <c:y val="0.21942879669685594"/>
          <c:w val="0.89869586335663953"/>
          <c:h val="0.61535495332456303"/>
        </c:manualLayout>
      </c:layout>
      <c:barChart>
        <c:barDir val="col"/>
        <c:grouping val="clustered"/>
        <c:varyColors val="0"/>
        <c:ser>
          <c:idx val="0"/>
          <c:order val="0"/>
          <c:tx>
            <c:strRef>
              <c:f>Sheet1!$B$1</c:f>
              <c:strCache>
                <c:ptCount val="1"/>
                <c:pt idx="0">
                  <c:v>Physician</c:v>
                </c:pt>
              </c:strCache>
            </c:strRef>
          </c:tx>
          <c:spPr>
            <a:solidFill>
              <a:schemeClr val="accent2"/>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Sheet1!$B$2:$B$5</c:f>
              <c:numCache>
                <c:formatCode>General</c:formatCode>
                <c:ptCount val="4"/>
                <c:pt idx="0">
                  <c:v>20.100000000000001</c:v>
                </c:pt>
                <c:pt idx="1">
                  <c:v>17.7</c:v>
                </c:pt>
                <c:pt idx="2" formatCode="0.0">
                  <c:v>22.4</c:v>
                </c:pt>
                <c:pt idx="3" formatCode="0.0">
                  <c:v>26.9</c:v>
                </c:pt>
              </c:numCache>
            </c:numRef>
          </c:val>
          <c:extLst>
            <c:ext xmlns:c16="http://schemas.microsoft.com/office/drawing/2014/chart" uri="{C3380CC4-5D6E-409C-BE32-E72D297353CC}">
              <c16:uniqueId val="{00000000-757F-4604-B709-0F6C7AD3774B}"/>
            </c:ext>
          </c:extLst>
        </c:ser>
        <c:ser>
          <c:idx val="1"/>
          <c:order val="1"/>
          <c:tx>
            <c:strRef>
              <c:f>Sheet1!$C$1</c:f>
              <c:strCache>
                <c:ptCount val="1"/>
                <c:pt idx="0">
                  <c:v>Dentists </c:v>
                </c:pt>
              </c:strCache>
            </c:strRef>
          </c:tx>
          <c:spPr>
            <a:solidFill>
              <a:schemeClr val="accent4"/>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Sheet1!$C$2:$C$5</c:f>
              <c:numCache>
                <c:formatCode>General</c:formatCode>
                <c:ptCount val="4"/>
                <c:pt idx="0">
                  <c:v>5.7</c:v>
                </c:pt>
                <c:pt idx="1">
                  <c:v>7.1</c:v>
                </c:pt>
                <c:pt idx="2" formatCode="0.0">
                  <c:v>8.1</c:v>
                </c:pt>
                <c:pt idx="3" formatCode="0.0">
                  <c:v>11.4</c:v>
                </c:pt>
              </c:numCache>
            </c:numRef>
          </c:val>
          <c:extLst>
            <c:ext xmlns:c16="http://schemas.microsoft.com/office/drawing/2014/chart" uri="{C3380CC4-5D6E-409C-BE32-E72D297353CC}">
              <c16:uniqueId val="{00000001-757F-4604-B709-0F6C7AD3774B}"/>
            </c:ext>
          </c:extLst>
        </c:ser>
        <c:ser>
          <c:idx val="2"/>
          <c:order val="2"/>
          <c:tx>
            <c:strRef>
              <c:f>Sheet1!$D$1</c:f>
              <c:strCache>
                <c:ptCount val="1"/>
                <c:pt idx="0">
                  <c:v>Pharmacists</c:v>
                </c:pt>
              </c:strCache>
            </c:strRef>
          </c:tx>
          <c:spPr>
            <a:solidFill>
              <a:schemeClr val="accent6"/>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Sheet1!$D$2:$D$5</c:f>
              <c:numCache>
                <c:formatCode>General</c:formatCode>
                <c:ptCount val="4"/>
                <c:pt idx="0">
                  <c:v>9.7000000000000011</c:v>
                </c:pt>
                <c:pt idx="1">
                  <c:v>10.9</c:v>
                </c:pt>
                <c:pt idx="2" formatCode="0.0">
                  <c:v>11.5</c:v>
                </c:pt>
                <c:pt idx="3" formatCode="0.0">
                  <c:v>16.7</c:v>
                </c:pt>
              </c:numCache>
            </c:numRef>
          </c:val>
          <c:extLst>
            <c:ext xmlns:c16="http://schemas.microsoft.com/office/drawing/2014/chart" uri="{C3380CC4-5D6E-409C-BE32-E72D297353CC}">
              <c16:uniqueId val="{00000002-757F-4604-B709-0F6C7AD3774B}"/>
            </c:ext>
          </c:extLst>
        </c:ser>
        <c:ser>
          <c:idx val="3"/>
          <c:order val="3"/>
          <c:tx>
            <c:strRef>
              <c:f>Sheet1!$E$1</c:f>
              <c:strCache>
                <c:ptCount val="1"/>
                <c:pt idx="0">
                  <c:v>Nurses</c:v>
                </c:pt>
              </c:strCache>
            </c:strRef>
          </c:tx>
          <c:spPr>
            <a:solidFill>
              <a:schemeClr val="accent2">
                <a:lumMod val="60000"/>
              </a:schemeClr>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Sheet1!$E$2:$E$5</c:f>
              <c:numCache>
                <c:formatCode>General</c:formatCode>
                <c:ptCount val="4"/>
                <c:pt idx="0">
                  <c:v>20.100000000000001</c:v>
                </c:pt>
                <c:pt idx="1">
                  <c:v>23.2</c:v>
                </c:pt>
                <c:pt idx="2" formatCode="0.0">
                  <c:v>27.8</c:v>
                </c:pt>
                <c:pt idx="3" formatCode="0.0">
                  <c:v>19.899999999999999</c:v>
                </c:pt>
              </c:numCache>
            </c:numRef>
          </c:val>
          <c:extLst>
            <c:ext xmlns:c16="http://schemas.microsoft.com/office/drawing/2014/chart" uri="{C3380CC4-5D6E-409C-BE32-E72D297353CC}">
              <c16:uniqueId val="{00000003-757F-4604-B709-0F6C7AD3774B}"/>
            </c:ext>
          </c:extLst>
        </c:ser>
        <c:ser>
          <c:idx val="4"/>
          <c:order val="4"/>
          <c:tx>
            <c:strRef>
              <c:f>Sheet1!$F$1</c:f>
              <c:strCache>
                <c:ptCount val="1"/>
                <c:pt idx="0">
                  <c:v>Midwifery</c:v>
                </c:pt>
              </c:strCache>
            </c:strRef>
          </c:tx>
          <c:spPr>
            <a:solidFill>
              <a:schemeClr val="accent4">
                <a:lumMod val="60000"/>
              </a:schemeClr>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Sheet1!$F$2:$F$5</c:f>
              <c:numCache>
                <c:formatCode>General</c:formatCode>
                <c:ptCount val="4"/>
                <c:pt idx="0" formatCode="0.0">
                  <c:v>2.0699999999999998</c:v>
                </c:pt>
                <c:pt idx="1">
                  <c:v>2.5</c:v>
                </c:pt>
                <c:pt idx="2" formatCode="0.0">
                  <c:v>2.7</c:v>
                </c:pt>
                <c:pt idx="3" formatCode="0.0">
                  <c:v>2</c:v>
                </c:pt>
              </c:numCache>
            </c:numRef>
          </c:val>
          <c:extLst>
            <c:ext xmlns:c16="http://schemas.microsoft.com/office/drawing/2014/chart" uri="{C3380CC4-5D6E-409C-BE32-E72D297353CC}">
              <c16:uniqueId val="{00000004-757F-4604-B709-0F6C7AD3774B}"/>
            </c:ext>
          </c:extLst>
        </c:ser>
        <c:dLbls>
          <c:showLegendKey val="0"/>
          <c:showVal val="0"/>
          <c:showCatName val="0"/>
          <c:showSerName val="0"/>
          <c:showPercent val="0"/>
          <c:showBubbleSize val="0"/>
        </c:dLbls>
        <c:gapWidth val="150"/>
        <c:axId val="144624640"/>
        <c:axId val="144708736"/>
      </c:barChart>
      <c:catAx>
        <c:axId val="144624640"/>
        <c:scaling>
          <c:orientation val="minMax"/>
        </c:scaling>
        <c:delete val="0"/>
        <c:axPos val="b"/>
        <c:title>
          <c:tx>
            <c:rich>
              <a:bodyPr rot="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r>
                  <a:rPr lang="en-US"/>
                  <a:t>Health Worker</a:t>
                </a:r>
              </a:p>
            </c:rich>
          </c:tx>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crossAx val="144708736"/>
        <c:crosses val="autoZero"/>
        <c:auto val="1"/>
        <c:lblAlgn val="ctr"/>
        <c:lblOffset val="100"/>
        <c:noMultiLvlLbl val="0"/>
      </c:catAx>
      <c:valAx>
        <c:axId val="144708736"/>
        <c:scaling>
          <c:orientation val="minMax"/>
        </c:scaling>
        <c:delete val="0"/>
        <c:axPos val="l"/>
        <c:title>
          <c:tx>
            <c:rich>
              <a:bodyPr rot="-540000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r>
                  <a:rPr lang="en-US"/>
                  <a:t>Per 10,000 Population</a:t>
                </a:r>
              </a:p>
            </c:rich>
          </c:tx>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crossAx val="144624640"/>
        <c:crosses val="autoZero"/>
        <c:crossBetween val="between"/>
      </c:valAx>
      <c:spPr>
        <a:solidFill>
          <a:schemeClr val="bg1"/>
        </a:solidFill>
        <a:ln>
          <a:noFill/>
        </a:ln>
        <a:effectLst/>
      </c:spPr>
    </c:plotArea>
    <c:legend>
      <c:legendPos val="t"/>
      <c:overlay val="0"/>
      <c:spPr>
        <a:noFill/>
        <a:ln>
          <a:solidFill>
            <a:schemeClr val="tx1"/>
          </a:solid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96E-2"/>
          <c:w val="0.8603708178973416"/>
          <c:h val="0.78512280701754389"/>
        </c:manualLayout>
      </c:layout>
      <c:barChart>
        <c:barDir val="col"/>
        <c:grouping val="clustered"/>
        <c:varyColors val="0"/>
        <c:ser>
          <c:idx val="1"/>
          <c:order val="0"/>
          <c:tx>
            <c:strRef>
              <c:f>Sheet1!$A$2</c:f>
              <c:strCache>
                <c:ptCount val="1"/>
                <c:pt idx="0">
                  <c:v>Male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Reading</c:v>
                </c:pt>
                <c:pt idx="1">
                  <c:v>Mathmatics</c:v>
                </c:pt>
              </c:strCache>
            </c:strRef>
          </c:cat>
          <c:val>
            <c:numRef>
              <c:f>Sheet1!$B$2:$C$2</c:f>
              <c:numCache>
                <c:formatCode>General</c:formatCode>
                <c:ptCount val="2"/>
                <c:pt idx="0">
                  <c:v>47.8</c:v>
                </c:pt>
                <c:pt idx="1">
                  <c:v>45.8</c:v>
                </c:pt>
              </c:numCache>
            </c:numRef>
          </c:val>
          <c:extLst>
            <c:ext xmlns:c16="http://schemas.microsoft.com/office/drawing/2014/chart" uri="{C3380CC4-5D6E-409C-BE32-E72D297353CC}">
              <c16:uniqueId val="{00000000-9843-43EB-B9AC-4F1C02764640}"/>
            </c:ext>
          </c:extLst>
        </c:ser>
        <c:ser>
          <c:idx val="0"/>
          <c:order val="1"/>
          <c:tx>
            <c:strRef>
              <c:f>Sheet1!$A$3</c:f>
              <c:strCache>
                <c:ptCount val="1"/>
                <c:pt idx="0">
                  <c:v>Female</c:v>
                </c:pt>
              </c:strCache>
            </c:strRef>
          </c:tx>
          <c:spPr>
            <a:solidFill>
              <a:srgbClr val="4F81BD">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Reading</c:v>
                </c:pt>
                <c:pt idx="1">
                  <c:v>Mathmatics</c:v>
                </c:pt>
              </c:strCache>
            </c:strRef>
          </c:cat>
          <c:val>
            <c:numRef>
              <c:f>Sheet1!$B$3:$C$3</c:f>
              <c:numCache>
                <c:formatCode>General</c:formatCode>
                <c:ptCount val="2"/>
                <c:pt idx="0">
                  <c:v>57.3</c:v>
                </c:pt>
                <c:pt idx="1">
                  <c:v>45.8</c:v>
                </c:pt>
              </c:numCache>
            </c:numRef>
          </c:val>
          <c:extLst>
            <c:ext xmlns:c16="http://schemas.microsoft.com/office/drawing/2014/chart" uri="{C3380CC4-5D6E-409C-BE32-E72D297353CC}">
              <c16:uniqueId val="{00000001-9843-43EB-B9AC-4F1C02764640}"/>
            </c:ext>
          </c:extLst>
        </c:ser>
        <c:dLbls>
          <c:showLegendKey val="0"/>
          <c:showVal val="0"/>
          <c:showCatName val="0"/>
          <c:showSerName val="0"/>
          <c:showPercent val="0"/>
          <c:showBubbleSize val="0"/>
        </c:dLbls>
        <c:gapWidth val="219"/>
        <c:overlap val="-27"/>
        <c:axId val="144743424"/>
        <c:axId val="144798464"/>
      </c:barChart>
      <c:catAx>
        <c:axId val="144743424"/>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44798464"/>
        <c:crosses val="autoZero"/>
        <c:auto val="1"/>
        <c:lblAlgn val="ctr"/>
        <c:lblOffset val="100"/>
        <c:noMultiLvlLbl val="0"/>
      </c:catAx>
      <c:valAx>
        <c:axId val="144798464"/>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144743424"/>
        <c:crosses val="autoZero"/>
        <c:crossBetween val="between"/>
      </c:valAx>
      <c:spPr>
        <a:noFill/>
        <a:ln w="25409">
          <a:noFill/>
        </a:ln>
      </c:spPr>
    </c:plotArea>
    <c:legend>
      <c:legendPos val="r"/>
      <c:overlay val="0"/>
    </c:legend>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87496331329265E-2"/>
          <c:y val="5.6177172249265675E-2"/>
          <c:w val="0.8603708178973416"/>
          <c:h val="0.82014920639298439"/>
        </c:manualLayout>
      </c:layout>
      <c:barChart>
        <c:barDir val="col"/>
        <c:grouping val="clustered"/>
        <c:varyColors val="0"/>
        <c:ser>
          <c:idx val="1"/>
          <c:order val="0"/>
          <c:tx>
            <c:strRef>
              <c:f>Sheet1!$A$2</c:f>
              <c:strCache>
                <c:ptCount val="1"/>
                <c:pt idx="0">
                  <c:v>Male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Primary education</c:v>
                </c:pt>
                <c:pt idx="1">
                  <c:v>Lower secondary education</c:v>
                </c:pt>
                <c:pt idx="2">
                  <c:v>Upper secondary education</c:v>
                </c:pt>
              </c:strCache>
            </c:strRef>
          </c:cat>
          <c:val>
            <c:numRef>
              <c:f>Sheet1!$B$2:$D$2</c:f>
              <c:numCache>
                <c:formatCode>General</c:formatCode>
                <c:ptCount val="3"/>
                <c:pt idx="0">
                  <c:v>98.9</c:v>
                </c:pt>
                <c:pt idx="1">
                  <c:v>89.5</c:v>
                </c:pt>
                <c:pt idx="2">
                  <c:v>52.2</c:v>
                </c:pt>
              </c:numCache>
            </c:numRef>
          </c:val>
          <c:extLst>
            <c:ext xmlns:c16="http://schemas.microsoft.com/office/drawing/2014/chart" uri="{C3380CC4-5D6E-409C-BE32-E72D297353CC}">
              <c16:uniqueId val="{00000000-2C92-4947-858A-A987B387C535}"/>
            </c:ext>
          </c:extLst>
        </c:ser>
        <c:ser>
          <c:idx val="0"/>
          <c:order val="1"/>
          <c:tx>
            <c:strRef>
              <c:f>Sheet1!$A$3</c:f>
              <c:strCache>
                <c:ptCount val="1"/>
                <c:pt idx="0">
                  <c:v>Female</c:v>
                </c:pt>
              </c:strCache>
            </c:strRef>
          </c:tx>
          <c:spPr>
            <a:solidFill>
              <a:srgbClr val="4F81BD">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Primary education</c:v>
                </c:pt>
                <c:pt idx="1">
                  <c:v>Lower secondary education</c:v>
                </c:pt>
                <c:pt idx="2">
                  <c:v>Upper secondary education</c:v>
                </c:pt>
              </c:strCache>
            </c:strRef>
          </c:cat>
          <c:val>
            <c:numRef>
              <c:f>Sheet1!$B$3:$D$3</c:f>
              <c:numCache>
                <c:formatCode>General</c:formatCode>
                <c:ptCount val="3"/>
                <c:pt idx="0">
                  <c:v>99.5</c:v>
                </c:pt>
                <c:pt idx="1">
                  <c:v>97.5</c:v>
                </c:pt>
                <c:pt idx="2">
                  <c:v>75.3</c:v>
                </c:pt>
              </c:numCache>
            </c:numRef>
          </c:val>
          <c:extLst>
            <c:ext xmlns:c16="http://schemas.microsoft.com/office/drawing/2014/chart" uri="{C3380CC4-5D6E-409C-BE32-E72D297353CC}">
              <c16:uniqueId val="{00000001-2C92-4947-858A-A987B387C535}"/>
            </c:ext>
          </c:extLst>
        </c:ser>
        <c:dLbls>
          <c:showLegendKey val="0"/>
          <c:showVal val="0"/>
          <c:showCatName val="0"/>
          <c:showSerName val="0"/>
          <c:showPercent val="0"/>
          <c:showBubbleSize val="0"/>
        </c:dLbls>
        <c:gapWidth val="219"/>
        <c:overlap val="-27"/>
        <c:axId val="144763520"/>
        <c:axId val="144994688"/>
      </c:barChart>
      <c:catAx>
        <c:axId val="144763520"/>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44994688"/>
        <c:crosses val="autoZero"/>
        <c:auto val="1"/>
        <c:lblAlgn val="ctr"/>
        <c:lblOffset val="100"/>
        <c:noMultiLvlLbl val="0"/>
      </c:catAx>
      <c:valAx>
        <c:axId val="144994688"/>
        <c:scaling>
          <c:orientation val="minMax"/>
          <c:min val="0"/>
        </c:scaling>
        <c:delete val="0"/>
        <c:axPos val="l"/>
        <c:title>
          <c:tx>
            <c:rich>
              <a:bodyPr/>
              <a:lstStyle/>
              <a:p>
                <a:pPr>
                  <a:defRPr/>
                </a:pPr>
                <a:r>
                  <a:rPr lang="en-US"/>
                  <a:t>Percentage</a:t>
                </a:r>
              </a:p>
            </c:rich>
          </c:tx>
          <c:overlay val="0"/>
        </c:title>
        <c:numFmt formatCode="General" sourceLinked="1"/>
        <c:majorTickMark val="out"/>
        <c:minorTickMark val="none"/>
        <c:tickLblPos val="nextTo"/>
        <c:spPr>
          <a:ln w="6074">
            <a:solidFill>
              <a:schemeClr val="tx1"/>
            </a:solidFill>
          </a:ln>
        </c:spPr>
        <c:txPr>
          <a:bodyPr rot="-60000000" vert="horz"/>
          <a:lstStyle/>
          <a:p>
            <a:pPr>
              <a:defRPr lang="en-GB"/>
            </a:pPr>
            <a:endParaRPr lang="ar-SA"/>
          </a:p>
        </c:txPr>
        <c:crossAx val="144763520"/>
        <c:crosses val="autoZero"/>
        <c:crossBetween val="between"/>
      </c:valAx>
      <c:spPr>
        <a:noFill/>
        <a:ln w="25409">
          <a:noFill/>
        </a:ln>
      </c:spPr>
    </c:plotArea>
    <c:legend>
      <c:legendPos val="r"/>
      <c:layout>
        <c:manualLayout>
          <c:xMode val="edge"/>
          <c:yMode val="edge"/>
          <c:x val="0.68126799218590828"/>
          <c:y val="5.2017044279272472E-2"/>
          <c:w val="0.30046716763144388"/>
          <c:h val="0.11838217245611389"/>
        </c:manualLayout>
      </c:layout>
      <c:overlay val="0"/>
    </c:legend>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96E-2"/>
          <c:w val="0.8603708178973416"/>
          <c:h val="0.78512280701754389"/>
        </c:manualLayout>
      </c:layout>
      <c:barChart>
        <c:barDir val="col"/>
        <c:grouping val="clustered"/>
        <c:varyColors val="0"/>
        <c:ser>
          <c:idx val="1"/>
          <c:order val="0"/>
          <c:tx>
            <c:strRef>
              <c:f>Sheet1!$B$1</c:f>
              <c:strCache>
                <c:ptCount val="1"/>
                <c:pt idx="0">
                  <c:v>palestine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West Bank</c:v>
                </c:pt>
                <c:pt idx="1">
                  <c:v>Gaza strip</c:v>
                </c:pt>
              </c:strCache>
            </c:strRef>
          </c:cat>
          <c:val>
            <c:numRef>
              <c:f>Sheet1!$B$2:$B$3</c:f>
              <c:numCache>
                <c:formatCode>General</c:formatCode>
                <c:ptCount val="2"/>
                <c:pt idx="0">
                  <c:v>84.2</c:v>
                </c:pt>
                <c:pt idx="1">
                  <c:v>83.4</c:v>
                </c:pt>
              </c:numCache>
            </c:numRef>
          </c:val>
          <c:extLst>
            <c:ext xmlns:c16="http://schemas.microsoft.com/office/drawing/2014/chart" uri="{C3380CC4-5D6E-409C-BE32-E72D297353CC}">
              <c16:uniqueId val="{00000000-2408-47CC-BCEB-DEE5499C26EE}"/>
            </c:ext>
          </c:extLst>
        </c:ser>
        <c:dLbls>
          <c:showLegendKey val="0"/>
          <c:showVal val="0"/>
          <c:showCatName val="0"/>
          <c:showSerName val="0"/>
          <c:showPercent val="0"/>
          <c:showBubbleSize val="0"/>
        </c:dLbls>
        <c:gapWidth val="219"/>
        <c:overlap val="-27"/>
        <c:axId val="118137600"/>
        <c:axId val="118139136"/>
      </c:barChart>
      <c:catAx>
        <c:axId val="118137600"/>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18139136"/>
        <c:crosses val="autoZero"/>
        <c:auto val="1"/>
        <c:lblAlgn val="ctr"/>
        <c:lblOffset val="100"/>
        <c:noMultiLvlLbl val="0"/>
      </c:catAx>
      <c:valAx>
        <c:axId val="118139136"/>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118137600"/>
        <c:crosses val="autoZero"/>
        <c:crossBetween val="between"/>
      </c:valAx>
      <c:spPr>
        <a:noFill/>
        <a:ln w="25409">
          <a:noFill/>
        </a:ln>
      </c:spPr>
    </c:plotArea>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96E-2"/>
          <c:w val="0.8603708178973416"/>
          <c:h val="0.78512280701754389"/>
        </c:manualLayout>
      </c:layout>
      <c:barChart>
        <c:barDir val="col"/>
        <c:grouping val="clustered"/>
        <c:varyColors val="0"/>
        <c:ser>
          <c:idx val="1"/>
          <c:order val="0"/>
          <c:tx>
            <c:strRef>
              <c:f>Sheet1!$B$1</c:f>
              <c:strCache>
                <c:ptCount val="1"/>
                <c:pt idx="0">
                  <c:v>palestine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Sheet1!$B$2:$B$3</c:f>
              <c:numCache>
                <c:formatCode>General</c:formatCode>
                <c:ptCount val="2"/>
                <c:pt idx="0" formatCode="0.0">
                  <c:v>67.7</c:v>
                </c:pt>
                <c:pt idx="1">
                  <c:v>78.3</c:v>
                </c:pt>
              </c:numCache>
            </c:numRef>
          </c:val>
          <c:extLst>
            <c:ext xmlns:c16="http://schemas.microsoft.com/office/drawing/2014/chart" uri="{C3380CC4-5D6E-409C-BE32-E72D297353CC}">
              <c16:uniqueId val="{00000000-C99E-4DFD-AB05-A27EB358DD9B}"/>
            </c:ext>
          </c:extLst>
        </c:ser>
        <c:dLbls>
          <c:showLegendKey val="0"/>
          <c:showVal val="0"/>
          <c:showCatName val="0"/>
          <c:showSerName val="0"/>
          <c:showPercent val="0"/>
          <c:showBubbleSize val="0"/>
        </c:dLbls>
        <c:gapWidth val="219"/>
        <c:overlap val="-27"/>
        <c:axId val="118159616"/>
        <c:axId val="145117184"/>
      </c:barChart>
      <c:catAx>
        <c:axId val="118159616"/>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45117184"/>
        <c:crosses val="autoZero"/>
        <c:auto val="1"/>
        <c:lblAlgn val="ctr"/>
        <c:lblOffset val="100"/>
        <c:noMultiLvlLbl val="0"/>
      </c:catAx>
      <c:valAx>
        <c:axId val="145117184"/>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none"/>
        <c:minorTickMark val="none"/>
        <c:tickLblPos val="nextTo"/>
        <c:spPr>
          <a:ln w="6074">
            <a:solidFill>
              <a:schemeClr val="tx1"/>
            </a:solidFill>
          </a:ln>
        </c:spPr>
        <c:txPr>
          <a:bodyPr rot="-60000000" vert="horz"/>
          <a:lstStyle/>
          <a:p>
            <a:pPr>
              <a:defRPr lang="en-GB"/>
            </a:pPr>
            <a:endParaRPr lang="ar-SA"/>
          </a:p>
        </c:txPr>
        <c:crossAx val="118159616"/>
        <c:crosses val="autoZero"/>
        <c:crossBetween val="between"/>
      </c:valAx>
      <c:spPr>
        <a:noFill/>
        <a:ln w="25409">
          <a:noFill/>
        </a:ln>
      </c:spPr>
    </c:plotArea>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96E-2"/>
          <c:w val="0.8603708178973416"/>
          <c:h val="0.78512280701754389"/>
        </c:manualLayout>
      </c:layout>
      <c:barChart>
        <c:barDir val="col"/>
        <c:grouping val="clustered"/>
        <c:varyColors val="0"/>
        <c:ser>
          <c:idx val="1"/>
          <c:order val="0"/>
          <c:tx>
            <c:strRef>
              <c:f>Sheet1!$B$1</c:f>
              <c:strCache>
                <c:ptCount val="1"/>
                <c:pt idx="0">
                  <c:v>palestine</c:v>
                </c:pt>
              </c:strCache>
            </c:strRef>
          </c:tx>
          <c:spPr>
            <a:solidFill>
              <a:srgbClr val="EC6B2F"/>
            </a:solidFill>
            <a:ln w="24297">
              <a:solidFill>
                <a:srgbClr val="EC6B2F"/>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Sheet1!$A$2:$A$3</c:f>
              <c:strCache>
                <c:ptCount val="2"/>
                <c:pt idx="0">
                  <c:v>Male</c:v>
                </c:pt>
                <c:pt idx="1">
                  <c:v>Female</c:v>
                </c:pt>
              </c:strCache>
            </c:strRef>
          </c:cat>
          <c:val>
            <c:numRef>
              <c:f>Sheet1!$B$2:$B$3</c:f>
              <c:numCache>
                <c:formatCode>General</c:formatCode>
                <c:ptCount val="2"/>
                <c:pt idx="0" formatCode="0.0">
                  <c:v>17</c:v>
                </c:pt>
                <c:pt idx="1">
                  <c:v>20.9</c:v>
                </c:pt>
              </c:numCache>
            </c:numRef>
          </c:val>
          <c:extLst>
            <c:ext xmlns:c16="http://schemas.microsoft.com/office/drawing/2014/chart" uri="{C3380CC4-5D6E-409C-BE32-E72D297353CC}">
              <c16:uniqueId val="{00000000-43B5-4262-9FC6-99AD25ABDC8F}"/>
            </c:ext>
          </c:extLst>
        </c:ser>
        <c:dLbls>
          <c:showLegendKey val="0"/>
          <c:showVal val="1"/>
          <c:showCatName val="0"/>
          <c:showSerName val="0"/>
          <c:showPercent val="0"/>
          <c:showBubbleSize val="0"/>
        </c:dLbls>
        <c:gapWidth val="219"/>
        <c:overlap val="-27"/>
        <c:axId val="145035264"/>
        <c:axId val="145036800"/>
      </c:barChart>
      <c:catAx>
        <c:axId val="145035264"/>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45036800"/>
        <c:crosses val="autoZero"/>
        <c:auto val="1"/>
        <c:lblAlgn val="ctr"/>
        <c:lblOffset val="100"/>
        <c:noMultiLvlLbl val="0"/>
      </c:catAx>
      <c:valAx>
        <c:axId val="145036800"/>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0" sourceLinked="1"/>
        <c:majorTickMark val="none"/>
        <c:minorTickMark val="none"/>
        <c:tickLblPos val="nextTo"/>
        <c:spPr>
          <a:ln w="6074">
            <a:solidFill>
              <a:schemeClr val="tx1"/>
            </a:solidFill>
          </a:ln>
        </c:spPr>
        <c:txPr>
          <a:bodyPr rot="-60000000" vert="horz"/>
          <a:lstStyle/>
          <a:p>
            <a:pPr>
              <a:defRPr lang="en-GB"/>
            </a:pPr>
            <a:endParaRPr lang="ar-SA"/>
          </a:p>
        </c:txPr>
        <c:crossAx val="145035264"/>
        <c:crosses val="autoZero"/>
        <c:crossBetween val="between"/>
      </c:valAx>
      <c:spPr>
        <a:noFill/>
        <a:ln w="25409">
          <a:noFill/>
        </a:ln>
      </c:spPr>
    </c:plotArea>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204928164888141E-2"/>
          <c:y val="9.9419586769663254E-2"/>
          <c:w val="0.89411001888133679"/>
          <c:h val="0.83063823052269303"/>
        </c:manualLayout>
      </c:layout>
      <c:barChart>
        <c:barDir val="col"/>
        <c:grouping val="stacked"/>
        <c:varyColors val="0"/>
        <c:ser>
          <c:idx val="0"/>
          <c:order val="0"/>
          <c:tx>
            <c:strRef>
              <c:f>Sheet1!$B$1</c:f>
              <c:strCache>
                <c:ptCount val="1"/>
                <c:pt idx="0">
                  <c:v>Sales</c:v>
                </c:pt>
              </c:strCache>
            </c:strRef>
          </c:tx>
          <c:spPr>
            <a:solidFill>
              <a:srgbClr val="CD9931"/>
            </a:solidFill>
            <a:ln>
              <a:solidFill>
                <a:srgbClr val="CD9931"/>
              </a:solidFill>
            </a:ln>
          </c:spPr>
          <c:invertIfNegative val="0"/>
          <c:dLbls>
            <c:dLbl>
              <c:idx val="0"/>
              <c:layout>
                <c:manualLayout>
                  <c:x val="-4.2169342260031863E-17"/>
                  <c:y val="-0.4107424960505529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A60-405F-8DFD-F5F845EE52F9}"/>
                </c:ext>
              </c:extLst>
            </c:dLbl>
            <c:dLbl>
              <c:idx val="1"/>
              <c:layout>
                <c:manualLayout>
                  <c:x val="0"/>
                  <c:y val="-5.236973029588909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004-4455-8E59-C51F7F7AFD4B}"/>
                </c:ext>
              </c:extLst>
            </c:dLbl>
            <c:dLbl>
              <c:idx val="2"/>
              <c:layout>
                <c:manualLayout>
                  <c:x val="-6.9244085401039511E-3"/>
                  <c:y val="-6.284367635506683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004-4455-8E59-C51F7F7AFD4B}"/>
                </c:ext>
              </c:extLst>
            </c:dLbl>
            <c:dLbl>
              <c:idx val="3"/>
              <c:layout>
                <c:manualLayout>
                  <c:x val="-4.6162723600694138E-3"/>
                  <c:y val="-4.7132757266300083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004-4455-8E59-C51F7F7AFD4B}"/>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Sheet1!$A$2:$A$5</c:f>
              <c:strCache>
                <c:ptCount val="4"/>
                <c:pt idx="0">
                  <c:v>15-24</c:v>
                </c:pt>
                <c:pt idx="1">
                  <c:v>25-35</c:v>
                </c:pt>
                <c:pt idx="2">
                  <c:v>36-64</c:v>
                </c:pt>
                <c:pt idx="3">
                  <c:v>+65</c:v>
                </c:pt>
              </c:strCache>
            </c:strRef>
          </c:cat>
          <c:val>
            <c:numRef>
              <c:f>Sheet1!$B$2:$B$5</c:f>
              <c:numCache>
                <c:formatCode>0.0</c:formatCode>
                <c:ptCount val="4"/>
                <c:pt idx="0">
                  <c:v>55.1</c:v>
                </c:pt>
                <c:pt idx="1">
                  <c:v>3.8</c:v>
                </c:pt>
                <c:pt idx="2">
                  <c:v>1.5</c:v>
                </c:pt>
                <c:pt idx="3" formatCode="General">
                  <c:v>0.30000000000000016</c:v>
                </c:pt>
              </c:numCache>
            </c:numRef>
          </c:val>
          <c:extLst>
            <c:ext xmlns:c16="http://schemas.microsoft.com/office/drawing/2014/chart" uri="{C3380CC4-5D6E-409C-BE32-E72D297353CC}">
              <c16:uniqueId val="{00000003-3004-4455-8E59-C51F7F7AFD4B}"/>
            </c:ext>
          </c:extLst>
        </c:ser>
        <c:dLbls>
          <c:showLegendKey val="0"/>
          <c:showVal val="1"/>
          <c:showCatName val="0"/>
          <c:showSerName val="0"/>
          <c:showPercent val="0"/>
          <c:showBubbleSize val="0"/>
        </c:dLbls>
        <c:gapWidth val="300"/>
        <c:overlap val="100"/>
        <c:axId val="145107968"/>
        <c:axId val="145179776"/>
      </c:barChart>
      <c:catAx>
        <c:axId val="14510796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Age Group</a:t>
                </a:r>
              </a:p>
            </c:rich>
          </c:tx>
          <c:layout>
            <c:manualLayout>
              <c:xMode val="edge"/>
              <c:yMode val="edge"/>
              <c:x val="0.49187957600757115"/>
              <c:y val="0.90681664791901018"/>
            </c:manualLayout>
          </c:layout>
          <c:overlay val="0"/>
        </c:title>
        <c:numFmt formatCode="General" sourceLinked="0"/>
        <c:majorTickMark val="none"/>
        <c:minorTickMark val="none"/>
        <c:tickLblPos val="nextTo"/>
        <c:txPr>
          <a:bodyPr/>
          <a:lstStyle/>
          <a:p>
            <a:pPr>
              <a:defRPr lang="en-GB"/>
            </a:pPr>
            <a:endParaRPr lang="ar-SA"/>
          </a:p>
        </c:txPr>
        <c:crossAx val="145179776"/>
        <c:crosses val="autoZero"/>
        <c:auto val="1"/>
        <c:lblAlgn val="ctr"/>
        <c:lblOffset val="100"/>
        <c:noMultiLvlLbl val="0"/>
      </c:catAx>
      <c:valAx>
        <c:axId val="145179776"/>
        <c:scaling>
          <c:orientation val="minMax"/>
          <c:max val="55"/>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0.0" sourceLinked="1"/>
        <c:majorTickMark val="out"/>
        <c:minorTickMark val="none"/>
        <c:tickLblPos val="nextTo"/>
        <c:txPr>
          <a:bodyPr/>
          <a:lstStyle/>
          <a:p>
            <a:pPr>
              <a:defRPr lang="en-GB"/>
            </a:pPr>
            <a:endParaRPr lang="ar-SA"/>
          </a:p>
        </c:txPr>
        <c:crossAx val="145107968"/>
        <c:crosses val="autoZero"/>
        <c:crossBetween val="between"/>
      </c:valAx>
      <c:spPr>
        <a:noFill/>
        <a:ln w="25359">
          <a:noFill/>
        </a:ln>
      </c:spPr>
    </c:plotArea>
    <c:plotVisOnly val="1"/>
    <c:dispBlanksAs val="zero"/>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2867261013861144"/>
          <c:y val="5.331463020804323E-2"/>
          <c:w val="0.44526568204916772"/>
          <c:h val="0.83184201074886355"/>
        </c:manualLayout>
      </c:layout>
      <c:barChart>
        <c:barDir val="bar"/>
        <c:grouping val="clustered"/>
        <c:varyColors val="0"/>
        <c:ser>
          <c:idx val="0"/>
          <c:order val="0"/>
          <c:tx>
            <c:strRef>
              <c:f>Sheet1!$B$1</c:f>
              <c:strCache>
                <c:ptCount val="1"/>
                <c:pt idx="0">
                  <c:v>Column1</c:v>
                </c:pt>
              </c:strCache>
            </c:strRef>
          </c:tx>
          <c:spPr>
            <a:solidFill>
              <a:srgbClr val="B83235"/>
            </a:solidFill>
            <a:ln>
              <a:solidFill>
                <a:srgbClr val="B83235"/>
              </a:solidFill>
            </a:ln>
          </c:spPr>
          <c:invertIfNegative val="0"/>
          <c:dLbls>
            <c:spPr>
              <a:noFill/>
              <a:ln w="2536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Sheet1!$A$2:$A$10</c:f>
              <c:strCache>
                <c:ptCount val="9"/>
                <c:pt idx="0">
                  <c:v>Copying or moving a file or folder</c:v>
                </c:pt>
                <c:pt idx="1">
                  <c:v>Using copy and paste tools to duplicate or move information within a document </c:v>
                </c:pt>
                <c:pt idx="2">
                  <c:v>Sending e-mails with attached files (e.g. document, picture, video) </c:v>
                </c:pt>
                <c:pt idx="3">
                  <c:v>Transferring files between computers and other devices</c:v>
                </c:pt>
                <c:pt idx="4">
                  <c:v>Using basic arithmetic formulas in a spreadsheet</c:v>
                </c:pt>
                <c:pt idx="5">
                  <c:v>Connecting and installing new devices (e.g. a modem, camera, printer) </c:v>
                </c:pt>
                <c:pt idx="6">
                  <c:v>Creating electronic presentations with presentation software (including images, sound, video or charts) </c:v>
                </c:pt>
                <c:pt idx="7">
                  <c:v>Finding, downloading,installing and configuring software</c:v>
                </c:pt>
                <c:pt idx="8">
                  <c:v>Writing a computer program using a specialized programming language </c:v>
                </c:pt>
              </c:strCache>
            </c:strRef>
          </c:cat>
          <c:val>
            <c:numRef>
              <c:f>Sheet1!$B$2:$B$10</c:f>
              <c:numCache>
                <c:formatCode>#,##0.0</c:formatCode>
                <c:ptCount val="9"/>
                <c:pt idx="0" formatCode="General">
                  <c:v>70.900000000000006</c:v>
                </c:pt>
                <c:pt idx="1">
                  <c:v>67</c:v>
                </c:pt>
                <c:pt idx="2" formatCode="General">
                  <c:v>59.2</c:v>
                </c:pt>
                <c:pt idx="3" formatCode="General">
                  <c:v>54.7</c:v>
                </c:pt>
                <c:pt idx="4">
                  <c:v>36</c:v>
                </c:pt>
                <c:pt idx="5" formatCode="General">
                  <c:v>35.300000000000004</c:v>
                </c:pt>
                <c:pt idx="6" formatCode="General">
                  <c:v>29.2</c:v>
                </c:pt>
                <c:pt idx="7" formatCode="0.0">
                  <c:v>23.9</c:v>
                </c:pt>
                <c:pt idx="8" formatCode="General">
                  <c:v>14.6</c:v>
                </c:pt>
              </c:numCache>
            </c:numRef>
          </c:val>
          <c:extLst>
            <c:ext xmlns:c16="http://schemas.microsoft.com/office/drawing/2014/chart" uri="{C3380CC4-5D6E-409C-BE32-E72D297353CC}">
              <c16:uniqueId val="{00000000-F562-462F-AF26-6C5B618B83D5}"/>
            </c:ext>
          </c:extLst>
        </c:ser>
        <c:dLbls>
          <c:showLegendKey val="0"/>
          <c:showVal val="0"/>
          <c:showCatName val="0"/>
          <c:showSerName val="0"/>
          <c:showPercent val="0"/>
          <c:showBubbleSize val="0"/>
        </c:dLbls>
        <c:gapWidth val="150"/>
        <c:axId val="145216640"/>
        <c:axId val="145218560"/>
      </c:barChart>
      <c:catAx>
        <c:axId val="14521664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Type of Skill</a:t>
                </a:r>
              </a:p>
            </c:rich>
          </c:tx>
          <c:layout>
            <c:manualLayout>
              <c:xMode val="edge"/>
              <c:yMode val="edge"/>
              <c:x val="0"/>
              <c:y val="0.45498201215530032"/>
            </c:manualLayout>
          </c:layout>
          <c:overlay val="0"/>
        </c:title>
        <c:numFmt formatCode="General" sourceLinked="1"/>
        <c:majorTickMark val="out"/>
        <c:minorTickMark val="none"/>
        <c:tickLblPos val="nextTo"/>
        <c:txPr>
          <a:bodyPr rot="0" vert="horz"/>
          <a:lstStyle/>
          <a:p>
            <a:pPr rtl="0">
              <a:defRPr lang="en-GB" baseline="0"/>
            </a:pPr>
            <a:endParaRPr lang="ar-SA"/>
          </a:p>
        </c:txPr>
        <c:crossAx val="145218560"/>
        <c:crosses val="autoZero"/>
        <c:auto val="1"/>
        <c:lblAlgn val="ctr"/>
        <c:lblOffset val="100"/>
        <c:noMultiLvlLbl val="0"/>
      </c:catAx>
      <c:valAx>
        <c:axId val="145218560"/>
        <c:scaling>
          <c:orientation val="minMax"/>
          <c:max val="80"/>
        </c:scaling>
        <c:delete val="0"/>
        <c:axPos val="b"/>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General" sourceLinked="0"/>
        <c:majorTickMark val="out"/>
        <c:minorTickMark val="none"/>
        <c:tickLblPos val="nextTo"/>
        <c:txPr>
          <a:bodyPr/>
          <a:lstStyle/>
          <a:p>
            <a:pPr>
              <a:defRPr lang="en-GB"/>
            </a:pPr>
            <a:endParaRPr lang="ar-SA"/>
          </a:p>
        </c:txPr>
        <c:crossAx val="145216640"/>
        <c:crosses val="autoZero"/>
        <c:crossBetween val="between"/>
      </c:valAx>
      <c:spPr>
        <a:noFill/>
        <a:ln w="25363">
          <a:noFill/>
        </a:ln>
      </c:spPr>
    </c:plotArea>
    <c:plotVisOnly val="1"/>
    <c:dispBlanksAs val="gap"/>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51324553559802766"/>
          <c:y val="5.331463020804323E-2"/>
          <c:w val="0.46069173271752856"/>
          <c:h val="0.84820521586769093"/>
        </c:manualLayout>
      </c:layout>
      <c:barChart>
        <c:barDir val="bar"/>
        <c:grouping val="clustered"/>
        <c:varyColors val="0"/>
        <c:ser>
          <c:idx val="0"/>
          <c:order val="0"/>
          <c:tx>
            <c:strRef>
              <c:f>Sheet1!$B$1</c:f>
              <c:strCache>
                <c:ptCount val="1"/>
                <c:pt idx="0">
                  <c:v>Male</c:v>
                </c:pt>
              </c:strCache>
            </c:strRef>
          </c:tx>
          <c:spPr>
            <a:solidFill>
              <a:srgbClr val="4F81BD">
                <a:lumMod val="40000"/>
                <a:lumOff val="60000"/>
              </a:srgbClr>
            </a:solidFill>
          </c:spPr>
          <c:invertIfNegative val="0"/>
          <c:dLbls>
            <c:dLbl>
              <c:idx val="6"/>
              <c:layout>
                <c:manualLayout>
                  <c:x val="0"/>
                  <c:y val="1.34228187919462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335-4394-81BC-147212259295}"/>
                </c:ext>
              </c:extLst>
            </c:dLbl>
            <c:dLbl>
              <c:idx val="8"/>
              <c:layout>
                <c:manualLayout>
                  <c:x val="0"/>
                  <c:y val="1.789709172259505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335-4394-81BC-147212259295}"/>
                </c:ext>
              </c:extLst>
            </c:dLbl>
            <c:spPr>
              <a:noFill/>
              <a:ln w="25386">
                <a:noFill/>
              </a:ln>
            </c:spPr>
            <c:txPr>
              <a:bodyPr/>
              <a:lstStyle/>
              <a:p>
                <a:pPr>
                  <a:defRPr lang="en-GB" sz="800"/>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Sheet1!$A$2:$A$10</c:f>
              <c:strCache>
                <c:ptCount val="9"/>
                <c:pt idx="0">
                  <c:v>Copying or moving a file or folder</c:v>
                </c:pt>
                <c:pt idx="1">
                  <c:v>Using copy and paste tools to duplicate or move information within a document </c:v>
                </c:pt>
                <c:pt idx="2">
                  <c:v>Sending e-mails with attached files (e.g. document, picture, video) </c:v>
                </c:pt>
                <c:pt idx="3">
                  <c:v>Transferring files between computers and other devices</c:v>
                </c:pt>
                <c:pt idx="4">
                  <c:v>Using basic arithmetic formulas in a spreadsheet</c:v>
                </c:pt>
                <c:pt idx="5">
                  <c:v>Connecting and installing new devices (e.g. a modem, camera, printer) </c:v>
                </c:pt>
                <c:pt idx="6">
                  <c:v>Creating electronic presentations with presentation software (including images, sound, video or charts) </c:v>
                </c:pt>
                <c:pt idx="7">
                  <c:v>Finding, downloading,installing and configuring software</c:v>
                </c:pt>
                <c:pt idx="8">
                  <c:v>Writing a computer program using a specialized programming language </c:v>
                </c:pt>
              </c:strCache>
            </c:strRef>
          </c:cat>
          <c:val>
            <c:numRef>
              <c:f>Sheet1!$B$2:$B$10</c:f>
              <c:numCache>
                <c:formatCode>General</c:formatCode>
                <c:ptCount val="9"/>
                <c:pt idx="0">
                  <c:v>74.3</c:v>
                </c:pt>
                <c:pt idx="1">
                  <c:v>71.7</c:v>
                </c:pt>
                <c:pt idx="2">
                  <c:v>67.5</c:v>
                </c:pt>
                <c:pt idx="3">
                  <c:v>61.4</c:v>
                </c:pt>
                <c:pt idx="4">
                  <c:v>43.9</c:v>
                </c:pt>
                <c:pt idx="5" formatCode="#,##0.0">
                  <c:v>41</c:v>
                </c:pt>
                <c:pt idx="6">
                  <c:v>31.1</c:v>
                </c:pt>
                <c:pt idx="7">
                  <c:v>26.4</c:v>
                </c:pt>
                <c:pt idx="8">
                  <c:v>14.4</c:v>
                </c:pt>
              </c:numCache>
            </c:numRef>
          </c:val>
          <c:extLst>
            <c:ext xmlns:c16="http://schemas.microsoft.com/office/drawing/2014/chart" uri="{C3380CC4-5D6E-409C-BE32-E72D297353CC}">
              <c16:uniqueId val="{00000000-BA93-485E-A123-973E362C3720}"/>
            </c:ext>
          </c:extLst>
        </c:ser>
        <c:ser>
          <c:idx val="1"/>
          <c:order val="1"/>
          <c:tx>
            <c:strRef>
              <c:f>Sheet1!$C$1</c:f>
              <c:strCache>
                <c:ptCount val="1"/>
                <c:pt idx="0">
                  <c:v>Female</c:v>
                </c:pt>
              </c:strCache>
            </c:strRef>
          </c:tx>
          <c:invertIfNegative val="0"/>
          <c:dLbls>
            <c:spPr>
              <a:noFill/>
              <a:ln w="25386">
                <a:noFill/>
              </a:ln>
            </c:spPr>
            <c:txPr>
              <a:bodyPr/>
              <a:lstStyle/>
              <a:p>
                <a:pPr>
                  <a:defRPr lang="en-GB" sz="800"/>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Sheet1!$A$2:$A$10</c:f>
              <c:strCache>
                <c:ptCount val="9"/>
                <c:pt idx="0">
                  <c:v>Copying or moving a file or folder</c:v>
                </c:pt>
                <c:pt idx="1">
                  <c:v>Using copy and paste tools to duplicate or move information within a document </c:v>
                </c:pt>
                <c:pt idx="2">
                  <c:v>Sending e-mails with attached files (e.g. document, picture, video) </c:v>
                </c:pt>
                <c:pt idx="3">
                  <c:v>Transferring files between computers and other devices</c:v>
                </c:pt>
                <c:pt idx="4">
                  <c:v>Using basic arithmetic formulas in a spreadsheet</c:v>
                </c:pt>
                <c:pt idx="5">
                  <c:v>Connecting and installing new devices (e.g. a modem, camera, printer) </c:v>
                </c:pt>
                <c:pt idx="6">
                  <c:v>Creating electronic presentations with presentation software (including images, sound, video or charts) </c:v>
                </c:pt>
                <c:pt idx="7">
                  <c:v>Finding, downloading,installing and configuring software</c:v>
                </c:pt>
                <c:pt idx="8">
                  <c:v>Writing a computer program using a specialized programming language </c:v>
                </c:pt>
              </c:strCache>
            </c:strRef>
          </c:cat>
          <c:val>
            <c:numRef>
              <c:f>Sheet1!$C$2:$C$10</c:f>
              <c:numCache>
                <c:formatCode>General</c:formatCode>
                <c:ptCount val="9"/>
                <c:pt idx="0">
                  <c:v>67.099999999999994</c:v>
                </c:pt>
                <c:pt idx="1">
                  <c:v>61.5</c:v>
                </c:pt>
                <c:pt idx="2">
                  <c:v>49.7</c:v>
                </c:pt>
                <c:pt idx="3">
                  <c:v>46.9</c:v>
                </c:pt>
                <c:pt idx="4">
                  <c:v>26.8</c:v>
                </c:pt>
                <c:pt idx="5">
                  <c:v>28.7</c:v>
                </c:pt>
                <c:pt idx="6">
                  <c:v>27.1</c:v>
                </c:pt>
                <c:pt idx="7" formatCode="#,##0.0">
                  <c:v>21</c:v>
                </c:pt>
                <c:pt idx="8">
                  <c:v>14.8</c:v>
                </c:pt>
              </c:numCache>
            </c:numRef>
          </c:val>
          <c:extLst>
            <c:ext xmlns:c16="http://schemas.microsoft.com/office/drawing/2014/chart" uri="{C3380CC4-5D6E-409C-BE32-E72D297353CC}">
              <c16:uniqueId val="{00000001-BA93-485E-A123-973E362C3720}"/>
            </c:ext>
          </c:extLst>
        </c:ser>
        <c:dLbls>
          <c:showLegendKey val="0"/>
          <c:showVal val="0"/>
          <c:showCatName val="0"/>
          <c:showSerName val="0"/>
          <c:showPercent val="0"/>
          <c:showBubbleSize val="0"/>
        </c:dLbls>
        <c:gapWidth val="150"/>
        <c:axId val="145323520"/>
        <c:axId val="145325440"/>
      </c:barChart>
      <c:catAx>
        <c:axId val="145323520"/>
        <c:scaling>
          <c:orientation val="minMax"/>
        </c:scaling>
        <c:delete val="0"/>
        <c:axPos val="l"/>
        <c:title>
          <c:tx>
            <c:rich>
              <a:bodyPr/>
              <a:lstStyle/>
              <a:p>
                <a:pPr>
                  <a:defRPr lang="en-GB" sz="700" b="1" i="0" u="none" strike="noStrike" baseline="0">
                    <a:solidFill>
                      <a:srgbClr val="000000"/>
                    </a:solidFill>
                    <a:latin typeface="Arial"/>
                    <a:ea typeface="Arial"/>
                    <a:cs typeface="Arial"/>
                  </a:defRPr>
                </a:pPr>
                <a:r>
                  <a:rPr lang="en-US"/>
                  <a:t>Type of skill</a:t>
                </a:r>
              </a:p>
            </c:rich>
          </c:tx>
          <c:layout/>
          <c:overlay val="0"/>
        </c:title>
        <c:numFmt formatCode="General" sourceLinked="1"/>
        <c:majorTickMark val="none"/>
        <c:minorTickMark val="none"/>
        <c:tickLblPos val="nextTo"/>
        <c:spPr>
          <a:ln/>
        </c:spPr>
        <c:txPr>
          <a:bodyPr rot="0" vert="horz" anchor="t" anchorCtr="0"/>
          <a:lstStyle/>
          <a:p>
            <a:pPr rtl="0">
              <a:defRPr lang="en-GB" sz="800"/>
            </a:pPr>
            <a:endParaRPr lang="ar-SA"/>
          </a:p>
        </c:txPr>
        <c:crossAx val="145325440"/>
        <c:crosses val="autoZero"/>
        <c:auto val="0"/>
        <c:lblAlgn val="l"/>
        <c:lblOffset val="100"/>
        <c:noMultiLvlLbl val="0"/>
      </c:catAx>
      <c:valAx>
        <c:axId val="145325440"/>
        <c:scaling>
          <c:orientation val="minMax"/>
          <c:max val="80"/>
        </c:scaling>
        <c:delete val="0"/>
        <c:axPos val="t"/>
        <c:numFmt formatCode="General" sourceLinked="0"/>
        <c:majorTickMark val="out"/>
        <c:minorTickMark val="none"/>
        <c:tickLblPos val="nextTo"/>
        <c:txPr>
          <a:bodyPr/>
          <a:lstStyle/>
          <a:p>
            <a:pPr>
              <a:defRPr lang="en-GB"/>
            </a:pPr>
            <a:endParaRPr lang="ar-SA"/>
          </a:p>
        </c:txPr>
        <c:crossAx val="145323520"/>
        <c:crosses val="max"/>
        <c:crossBetween val="between"/>
      </c:valAx>
      <c:spPr>
        <a:noFill/>
        <a:ln w="25386">
          <a:noFill/>
        </a:ln>
      </c:spPr>
    </c:plotArea>
    <c:legend>
      <c:legendPos val="r"/>
      <c:layout>
        <c:manualLayout>
          <c:xMode val="edge"/>
          <c:yMode val="edge"/>
          <c:x val="0.89916094813656511"/>
          <c:y val="8.2044073349891708E-2"/>
          <c:w val="8.1687520224355437E-2"/>
          <c:h val="0.12295020414114922"/>
        </c:manualLayout>
      </c:layout>
      <c:overlay val="0"/>
      <c:spPr>
        <a:ln>
          <a:solidFill>
            <a:sysClr val="window" lastClr="FFFFFF">
              <a:lumMod val="75000"/>
            </a:sysClr>
          </a:solidFill>
        </a:ln>
      </c:spPr>
      <c:txPr>
        <a:bodyPr/>
        <a:lstStyle/>
        <a:p>
          <a:pPr>
            <a:defRPr lang="en-GB"/>
          </a:pPr>
          <a:endParaRPr lang="ar-SA"/>
        </a:p>
      </c:txPr>
    </c:legend>
    <c:plotVisOnly val="1"/>
    <c:dispBlanksAs val="gap"/>
    <c:showDLblsOverMax val="0"/>
  </c:chart>
  <c:spPr>
    <a:noFill/>
    <a:ln>
      <a:noFill/>
    </a:ln>
  </c:spPr>
  <c:txPr>
    <a:bodyPr/>
    <a:lstStyle/>
    <a:p>
      <a:pPr>
        <a:defRPr sz="700">
          <a:latin typeface="Arial" pitchFamily="34" charset="0"/>
          <a:cs typeface="Arial" pitchFamily="34" charset="0"/>
        </a:defRPr>
      </a:pPr>
      <a:endParaRPr lang="ar-S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521739130434779E-2"/>
          <c:y val="4.3668122270742356E-2"/>
          <c:w val="0.87652173913043474"/>
          <c:h val="0.7816593886462887"/>
        </c:manualLayout>
      </c:layout>
      <c:lineChart>
        <c:grouping val="standard"/>
        <c:varyColors val="0"/>
        <c:ser>
          <c:idx val="0"/>
          <c:order val="0"/>
          <c:tx>
            <c:strRef>
              <c:f>Sheet1!$B$1</c:f>
              <c:strCache>
                <c:ptCount val="1"/>
                <c:pt idx="0">
                  <c:v>2009</c:v>
                </c:pt>
              </c:strCache>
            </c:strRef>
          </c:tx>
          <c:spPr>
            <a:ln>
              <a:solidFill>
                <a:srgbClr val="4F81BD">
                  <a:lumMod val="20000"/>
                  <a:lumOff val="80000"/>
                </a:srgbClr>
              </a:solidFill>
            </a:ln>
          </c:spPr>
          <c:marker>
            <c:spPr>
              <a:ln>
                <a:solidFill>
                  <a:srgbClr val="4F81BD">
                    <a:lumMod val="20000"/>
                    <a:lumOff val="80000"/>
                  </a:srgbClr>
                </a:solidFill>
              </a:ln>
            </c:spPr>
          </c:marker>
          <c:dLbls>
            <c:dLbl>
              <c:idx val="0"/>
              <c:delete val="1"/>
              <c:extLst>
                <c:ext xmlns:c15="http://schemas.microsoft.com/office/drawing/2012/chart" uri="{CE6537A1-D6FC-4f65-9D91-7224C49458BB}"/>
                <c:ext xmlns:c16="http://schemas.microsoft.com/office/drawing/2014/chart" uri="{C3380CC4-5D6E-409C-BE32-E72D297353CC}">
                  <c16:uniqueId val="{00000006-0D5A-43A9-A7EA-D5809FA408FE}"/>
                </c:ext>
              </c:extLst>
            </c:dLbl>
            <c:dLbl>
              <c:idx val="1"/>
              <c:delete val="1"/>
              <c:extLst>
                <c:ext xmlns:c15="http://schemas.microsoft.com/office/drawing/2012/chart" uri="{CE6537A1-D6FC-4f65-9D91-7224C49458BB}"/>
                <c:ext xmlns:c16="http://schemas.microsoft.com/office/drawing/2014/chart" uri="{C3380CC4-5D6E-409C-BE32-E72D297353CC}">
                  <c16:uniqueId val="{00000005-0D5A-43A9-A7EA-D5809FA408FE}"/>
                </c:ext>
              </c:extLst>
            </c:dLbl>
            <c:dLbl>
              <c:idx val="2"/>
              <c:delete val="1"/>
              <c:extLst>
                <c:ext xmlns:c15="http://schemas.microsoft.com/office/drawing/2012/chart" uri="{CE6537A1-D6FC-4f65-9D91-7224C49458BB}"/>
                <c:ext xmlns:c16="http://schemas.microsoft.com/office/drawing/2014/chart" uri="{C3380CC4-5D6E-409C-BE32-E72D297353CC}">
                  <c16:uniqueId val="{00000004-0D5A-43A9-A7EA-D5809FA408FE}"/>
                </c:ext>
              </c:extLst>
            </c:dLbl>
            <c:dLbl>
              <c:idx val="3"/>
              <c:delete val="1"/>
              <c:extLst>
                <c:ext xmlns:c15="http://schemas.microsoft.com/office/drawing/2012/chart" uri="{CE6537A1-D6FC-4f65-9D91-7224C49458BB}"/>
                <c:ext xmlns:c16="http://schemas.microsoft.com/office/drawing/2014/chart" uri="{C3380CC4-5D6E-409C-BE32-E72D297353CC}">
                  <c16:uniqueId val="{00000003-0D5A-43A9-A7EA-D5809FA408FE}"/>
                </c:ext>
              </c:extLst>
            </c:dLbl>
            <c:dLbl>
              <c:idx val="4"/>
              <c:delete val="1"/>
              <c:extLst>
                <c:ext xmlns:c15="http://schemas.microsoft.com/office/drawing/2012/chart" uri="{CE6537A1-D6FC-4f65-9D91-7224C49458BB}"/>
                <c:ext xmlns:c16="http://schemas.microsoft.com/office/drawing/2014/chart" uri="{C3380CC4-5D6E-409C-BE32-E72D297353CC}">
                  <c16:uniqueId val="{00000002-0D5A-43A9-A7EA-D5809FA408FE}"/>
                </c:ext>
              </c:extLst>
            </c:dLbl>
            <c:dLbl>
              <c:idx val="5"/>
              <c:delete val="1"/>
              <c:extLst>
                <c:ext xmlns:c15="http://schemas.microsoft.com/office/drawing/2012/chart" uri="{CE6537A1-D6FC-4f65-9D91-7224C49458BB}"/>
                <c:ext xmlns:c16="http://schemas.microsoft.com/office/drawing/2014/chart" uri="{C3380CC4-5D6E-409C-BE32-E72D297353CC}">
                  <c16:uniqueId val="{00000001-0D5A-43A9-A7EA-D5809FA408FE}"/>
                </c:ext>
              </c:extLst>
            </c:dLbl>
            <c:dLbl>
              <c:idx val="6"/>
              <c:delete val="1"/>
              <c:extLst>
                <c:ext xmlns:c15="http://schemas.microsoft.com/office/drawing/2012/chart" uri="{CE6537A1-D6FC-4f65-9D91-7224C49458BB}"/>
                <c:ext xmlns:c16="http://schemas.microsoft.com/office/drawing/2014/chart" uri="{C3380CC4-5D6E-409C-BE32-E72D297353CC}">
                  <c16:uniqueId val="{00000000-0D5A-43A9-A7EA-D5809FA408FE}"/>
                </c:ext>
              </c:extLst>
            </c:dLbl>
            <c:dLbl>
              <c:idx val="7"/>
              <c:layout>
                <c:manualLayout>
                  <c:x val="0"/>
                  <c:y val="-5.52995391705069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D5A-43A9-A7EA-D5809FA408F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9-0</c:v>
                </c:pt>
                <c:pt idx="1">
                  <c:v>10-17</c:v>
                </c:pt>
                <c:pt idx="2">
                  <c:v>18-19</c:v>
                </c:pt>
                <c:pt idx="3">
                  <c:v>20-29</c:v>
                </c:pt>
                <c:pt idx="4">
                  <c:v>30-39</c:v>
                </c:pt>
                <c:pt idx="5">
                  <c:v>40-49</c:v>
                </c:pt>
                <c:pt idx="6">
                  <c:v>50-59</c:v>
                </c:pt>
                <c:pt idx="7">
                  <c:v>+60</c:v>
                </c:pt>
              </c:strCache>
            </c:strRef>
          </c:cat>
          <c:val>
            <c:numRef>
              <c:f>Sheet1!$B$2:$B$9</c:f>
              <c:numCache>
                <c:formatCode>0.0</c:formatCode>
                <c:ptCount val="8"/>
                <c:pt idx="0">
                  <c:v>26.8</c:v>
                </c:pt>
                <c:pt idx="1">
                  <c:v>27.7</c:v>
                </c:pt>
                <c:pt idx="2">
                  <c:v>29.8</c:v>
                </c:pt>
                <c:pt idx="3">
                  <c:v>25.5</c:v>
                </c:pt>
                <c:pt idx="4">
                  <c:v>23.9</c:v>
                </c:pt>
                <c:pt idx="5">
                  <c:v>23.6</c:v>
                </c:pt>
                <c:pt idx="6">
                  <c:v>24.3</c:v>
                </c:pt>
                <c:pt idx="7">
                  <c:v>27.4</c:v>
                </c:pt>
              </c:numCache>
            </c:numRef>
          </c:val>
          <c:smooth val="0"/>
          <c:extLst>
            <c:ext xmlns:c16="http://schemas.microsoft.com/office/drawing/2014/chart" uri="{C3380CC4-5D6E-409C-BE32-E72D297353CC}">
              <c16:uniqueId val="{00000000-4F71-4A1B-BEE6-C44FA8B04273}"/>
            </c:ext>
          </c:extLst>
        </c:ser>
        <c:ser>
          <c:idx val="1"/>
          <c:order val="1"/>
          <c:tx>
            <c:strRef>
              <c:f>Sheet1!$C$1</c:f>
              <c:strCache>
                <c:ptCount val="1"/>
                <c:pt idx="0">
                  <c:v>2010</c:v>
                </c:pt>
              </c:strCache>
            </c:strRef>
          </c:tx>
          <c:spPr>
            <a:ln>
              <a:solidFill>
                <a:srgbClr val="C0504D">
                  <a:lumMod val="60000"/>
                  <a:lumOff val="40000"/>
                </a:srgbClr>
              </a:solidFill>
            </a:ln>
          </c:spPr>
          <c:marker>
            <c:spPr>
              <a:ln>
                <a:solidFill>
                  <a:srgbClr val="C0504D">
                    <a:lumMod val="60000"/>
                    <a:lumOff val="40000"/>
                  </a:srgbClr>
                </a:solidFill>
              </a:ln>
            </c:spPr>
          </c:marker>
          <c:dLbls>
            <c:dLbl>
              <c:idx val="0"/>
              <c:layout>
                <c:manualLayout>
                  <c:x val="-7.0999387427508581E-2"/>
                  <c:y val="-3.1781994992561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D5A-43A9-A7EA-D5809FA408FE}"/>
                </c:ext>
              </c:extLst>
            </c:dLbl>
            <c:dLbl>
              <c:idx val="1"/>
              <c:delete val="1"/>
              <c:extLst>
                <c:ext xmlns:c15="http://schemas.microsoft.com/office/drawing/2012/chart" uri="{CE6537A1-D6FC-4f65-9D91-7224C49458BB}"/>
                <c:ext xmlns:c16="http://schemas.microsoft.com/office/drawing/2014/chart" uri="{C3380CC4-5D6E-409C-BE32-E72D297353CC}">
                  <c16:uniqueId val="{00000009-0D5A-43A9-A7EA-D5809FA408FE}"/>
                </c:ext>
              </c:extLst>
            </c:dLbl>
            <c:dLbl>
              <c:idx val="2"/>
              <c:delete val="1"/>
              <c:extLst>
                <c:ext xmlns:c15="http://schemas.microsoft.com/office/drawing/2012/chart" uri="{CE6537A1-D6FC-4f65-9D91-7224C49458BB}"/>
                <c:ext xmlns:c16="http://schemas.microsoft.com/office/drawing/2014/chart" uri="{C3380CC4-5D6E-409C-BE32-E72D297353CC}">
                  <c16:uniqueId val="{0000000A-0D5A-43A9-A7EA-D5809FA408FE}"/>
                </c:ext>
              </c:extLst>
            </c:dLbl>
            <c:dLbl>
              <c:idx val="3"/>
              <c:delete val="1"/>
              <c:extLst>
                <c:ext xmlns:c15="http://schemas.microsoft.com/office/drawing/2012/chart" uri="{CE6537A1-D6FC-4f65-9D91-7224C49458BB}"/>
                <c:ext xmlns:c16="http://schemas.microsoft.com/office/drawing/2014/chart" uri="{C3380CC4-5D6E-409C-BE32-E72D297353CC}">
                  <c16:uniqueId val="{0000000E-0D5A-43A9-A7EA-D5809FA408FE}"/>
                </c:ext>
              </c:extLst>
            </c:dLbl>
            <c:dLbl>
              <c:idx val="4"/>
              <c:delete val="1"/>
              <c:extLst>
                <c:ext xmlns:c15="http://schemas.microsoft.com/office/drawing/2012/chart" uri="{CE6537A1-D6FC-4f65-9D91-7224C49458BB}"/>
                <c:ext xmlns:c16="http://schemas.microsoft.com/office/drawing/2014/chart" uri="{C3380CC4-5D6E-409C-BE32-E72D297353CC}">
                  <c16:uniqueId val="{0000000B-0D5A-43A9-A7EA-D5809FA408FE}"/>
                </c:ext>
              </c:extLst>
            </c:dLbl>
            <c:dLbl>
              <c:idx val="5"/>
              <c:delete val="1"/>
              <c:extLst>
                <c:ext xmlns:c15="http://schemas.microsoft.com/office/drawing/2012/chart" uri="{CE6537A1-D6FC-4f65-9D91-7224C49458BB}"/>
                <c:ext xmlns:c16="http://schemas.microsoft.com/office/drawing/2014/chart" uri="{C3380CC4-5D6E-409C-BE32-E72D297353CC}">
                  <c16:uniqueId val="{0000000C-0D5A-43A9-A7EA-D5809FA408FE}"/>
                </c:ext>
              </c:extLst>
            </c:dLbl>
            <c:dLbl>
              <c:idx val="6"/>
              <c:delete val="1"/>
              <c:extLst>
                <c:ext xmlns:c15="http://schemas.microsoft.com/office/drawing/2012/chart" uri="{CE6537A1-D6FC-4f65-9D91-7224C49458BB}"/>
                <c:ext xmlns:c16="http://schemas.microsoft.com/office/drawing/2014/chart" uri="{C3380CC4-5D6E-409C-BE32-E72D297353CC}">
                  <c16:uniqueId val="{0000000D-0D5A-43A9-A7EA-D5809FA408FE}"/>
                </c:ext>
              </c:extLst>
            </c:dLbl>
            <c:dLbl>
              <c:idx val="7"/>
              <c:layout>
                <c:manualLayout>
                  <c:x val="-2.8562869164352753E-3"/>
                  <c:y val="1.12287576956106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B0A-4B8B-9740-22C7A390CFB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9-0</c:v>
                </c:pt>
                <c:pt idx="1">
                  <c:v>10-17</c:v>
                </c:pt>
                <c:pt idx="2">
                  <c:v>18-19</c:v>
                </c:pt>
                <c:pt idx="3">
                  <c:v>20-29</c:v>
                </c:pt>
                <c:pt idx="4">
                  <c:v>30-39</c:v>
                </c:pt>
                <c:pt idx="5">
                  <c:v>40-49</c:v>
                </c:pt>
                <c:pt idx="6">
                  <c:v>50-59</c:v>
                </c:pt>
                <c:pt idx="7">
                  <c:v>+60</c:v>
                </c:pt>
              </c:strCache>
            </c:strRef>
          </c:cat>
          <c:val>
            <c:numRef>
              <c:f>Sheet1!$C$2:$C$9</c:f>
              <c:numCache>
                <c:formatCode>0.0</c:formatCode>
                <c:ptCount val="8"/>
                <c:pt idx="0">
                  <c:v>26.3</c:v>
                </c:pt>
                <c:pt idx="1">
                  <c:v>27.2</c:v>
                </c:pt>
                <c:pt idx="2">
                  <c:v>28.4</c:v>
                </c:pt>
                <c:pt idx="3">
                  <c:v>26.1</c:v>
                </c:pt>
                <c:pt idx="4">
                  <c:v>24</c:v>
                </c:pt>
                <c:pt idx="5">
                  <c:v>22.6</c:v>
                </c:pt>
                <c:pt idx="6">
                  <c:v>22.7</c:v>
                </c:pt>
                <c:pt idx="7">
                  <c:v>24.7</c:v>
                </c:pt>
              </c:numCache>
            </c:numRef>
          </c:val>
          <c:smooth val="0"/>
          <c:extLst>
            <c:ext xmlns:c16="http://schemas.microsoft.com/office/drawing/2014/chart" uri="{C3380CC4-5D6E-409C-BE32-E72D297353CC}">
              <c16:uniqueId val="{00000001-4F71-4A1B-BEE6-C44FA8B04273}"/>
            </c:ext>
          </c:extLst>
        </c:ser>
        <c:ser>
          <c:idx val="2"/>
          <c:order val="2"/>
          <c:tx>
            <c:strRef>
              <c:f>Sheet1!$D$1</c:f>
              <c:strCache>
                <c:ptCount val="1"/>
                <c:pt idx="0">
                  <c:v>2011</c:v>
                </c:pt>
              </c:strCache>
            </c:strRef>
          </c:tx>
          <c:dLbls>
            <c:dLbl>
              <c:idx val="0"/>
              <c:layout>
                <c:manualLayout>
                  <c:x val="-4.8433718512458673E-2"/>
                  <c:y val="7.69475810515338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B0A-4B8B-9740-22C7A390CFB3}"/>
                </c:ext>
              </c:extLst>
            </c:dLbl>
            <c:dLbl>
              <c:idx val="7"/>
              <c:layout>
                <c:manualLayout>
                  <c:x val="-5.1087651522266717E-3"/>
                  <c:y val="5.27053473154564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B0A-4B8B-9740-22C7A390CFB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Sheet1!$A$2:$A$9</c:f>
              <c:strCache>
                <c:ptCount val="8"/>
                <c:pt idx="0">
                  <c:v>9-0</c:v>
                </c:pt>
                <c:pt idx="1">
                  <c:v>10-17</c:v>
                </c:pt>
                <c:pt idx="2">
                  <c:v>18-19</c:v>
                </c:pt>
                <c:pt idx="3">
                  <c:v>20-29</c:v>
                </c:pt>
                <c:pt idx="4">
                  <c:v>30-39</c:v>
                </c:pt>
                <c:pt idx="5">
                  <c:v>40-49</c:v>
                </c:pt>
                <c:pt idx="6">
                  <c:v>50-59</c:v>
                </c:pt>
                <c:pt idx="7">
                  <c:v>+60</c:v>
                </c:pt>
              </c:strCache>
            </c:strRef>
          </c:cat>
          <c:val>
            <c:numRef>
              <c:f>Sheet1!$D$2:$D$9</c:f>
              <c:numCache>
                <c:formatCode>0.0</c:formatCode>
                <c:ptCount val="8"/>
                <c:pt idx="0">
                  <c:v>25.9</c:v>
                </c:pt>
                <c:pt idx="1">
                  <c:v>28.7</c:v>
                </c:pt>
                <c:pt idx="2">
                  <c:v>29.9</c:v>
                </c:pt>
                <c:pt idx="3">
                  <c:v>25.6</c:v>
                </c:pt>
                <c:pt idx="4">
                  <c:v>22.7</c:v>
                </c:pt>
                <c:pt idx="5">
                  <c:v>24.4</c:v>
                </c:pt>
                <c:pt idx="6">
                  <c:v>23.6</c:v>
                </c:pt>
                <c:pt idx="7">
                  <c:v>22.2</c:v>
                </c:pt>
              </c:numCache>
            </c:numRef>
          </c:val>
          <c:smooth val="0"/>
          <c:extLst>
            <c:ext xmlns:c16="http://schemas.microsoft.com/office/drawing/2014/chart" uri="{C3380CC4-5D6E-409C-BE32-E72D297353CC}">
              <c16:uniqueId val="{00000002-4F71-4A1B-BEE6-C44FA8B04273}"/>
            </c:ext>
          </c:extLst>
        </c:ser>
        <c:ser>
          <c:idx val="3"/>
          <c:order val="3"/>
          <c:tx>
            <c:strRef>
              <c:f>Sheet1!$E$1</c:f>
              <c:strCache>
                <c:ptCount val="1"/>
                <c:pt idx="0">
                  <c:v>2017</c:v>
                </c:pt>
              </c:strCache>
            </c:strRef>
          </c:tx>
          <c:spPr>
            <a:ln>
              <a:solidFill>
                <a:srgbClr val="8064A2">
                  <a:lumMod val="75000"/>
                </a:srgbClr>
              </a:solidFill>
            </a:ln>
          </c:spPr>
          <c:marker>
            <c:spPr>
              <a:ln>
                <a:solidFill>
                  <a:srgbClr val="8064A2">
                    <a:lumMod val="75000"/>
                  </a:srgbClr>
                </a:solidFill>
              </a:ln>
            </c:spPr>
          </c:marker>
          <c:dLbls>
            <c:dLbl>
              <c:idx val="0"/>
              <c:layout>
                <c:manualLayout>
                  <c:x val="-3.1897926634768772E-2"/>
                  <c:y val="-7.23427935447969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0A-4B8B-9740-22C7A390CFB3}"/>
                </c:ext>
              </c:extLst>
            </c:dLbl>
            <c:dLbl>
              <c:idx val="1"/>
              <c:delete val="1"/>
              <c:extLst>
                <c:ext xmlns:c15="http://schemas.microsoft.com/office/drawing/2012/chart" uri="{CE6537A1-D6FC-4f65-9D91-7224C49458BB}"/>
                <c:ext xmlns:c16="http://schemas.microsoft.com/office/drawing/2014/chart" uri="{C3380CC4-5D6E-409C-BE32-E72D297353CC}">
                  <c16:uniqueId val="{00000001-DB0A-4B8B-9740-22C7A390CFB3}"/>
                </c:ext>
              </c:extLst>
            </c:dLbl>
            <c:dLbl>
              <c:idx val="2"/>
              <c:delete val="1"/>
              <c:extLst>
                <c:ext xmlns:c15="http://schemas.microsoft.com/office/drawing/2012/chart" uri="{CE6537A1-D6FC-4f65-9D91-7224C49458BB}"/>
                <c:ext xmlns:c16="http://schemas.microsoft.com/office/drawing/2014/chart" uri="{C3380CC4-5D6E-409C-BE32-E72D297353CC}">
                  <c16:uniqueId val="{00000002-DB0A-4B8B-9740-22C7A390CFB3}"/>
                </c:ext>
              </c:extLst>
            </c:dLbl>
            <c:dLbl>
              <c:idx val="3"/>
              <c:delete val="1"/>
              <c:extLst>
                <c:ext xmlns:c15="http://schemas.microsoft.com/office/drawing/2012/chart" uri="{CE6537A1-D6FC-4f65-9D91-7224C49458BB}"/>
                <c:ext xmlns:c16="http://schemas.microsoft.com/office/drawing/2014/chart" uri="{C3380CC4-5D6E-409C-BE32-E72D297353CC}">
                  <c16:uniqueId val="{00000003-DB0A-4B8B-9740-22C7A390CFB3}"/>
                </c:ext>
              </c:extLst>
            </c:dLbl>
            <c:dLbl>
              <c:idx val="4"/>
              <c:delete val="1"/>
              <c:extLst>
                <c:ext xmlns:c15="http://schemas.microsoft.com/office/drawing/2012/chart" uri="{CE6537A1-D6FC-4f65-9D91-7224C49458BB}"/>
                <c:ext xmlns:c16="http://schemas.microsoft.com/office/drawing/2014/chart" uri="{C3380CC4-5D6E-409C-BE32-E72D297353CC}">
                  <c16:uniqueId val="{00000004-DB0A-4B8B-9740-22C7A390CFB3}"/>
                </c:ext>
              </c:extLst>
            </c:dLbl>
            <c:dLbl>
              <c:idx val="5"/>
              <c:delete val="1"/>
              <c:extLst>
                <c:ext xmlns:c15="http://schemas.microsoft.com/office/drawing/2012/chart" uri="{CE6537A1-D6FC-4f65-9D91-7224C49458BB}"/>
                <c:ext xmlns:c16="http://schemas.microsoft.com/office/drawing/2014/chart" uri="{C3380CC4-5D6E-409C-BE32-E72D297353CC}">
                  <c16:uniqueId val="{00000005-DB0A-4B8B-9740-22C7A390CFB3}"/>
                </c:ext>
              </c:extLst>
            </c:dLbl>
            <c:dLbl>
              <c:idx val="6"/>
              <c:delete val="1"/>
              <c:extLst>
                <c:ext xmlns:c15="http://schemas.microsoft.com/office/drawing/2012/chart" uri="{CE6537A1-D6FC-4f65-9D91-7224C49458BB}"/>
                <c:ext xmlns:c16="http://schemas.microsoft.com/office/drawing/2014/chart" uri="{C3380CC4-5D6E-409C-BE32-E72D297353CC}">
                  <c16:uniqueId val="{00000006-DB0A-4B8B-9740-22C7A390CFB3}"/>
                </c:ext>
              </c:extLst>
            </c:dLbl>
            <c:dLbl>
              <c:idx val="7"/>
              <c:layout>
                <c:manualLayout>
                  <c:x val="2.2154556063796972E-3"/>
                  <c:y val="-9.739589002987474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B0A-4B8B-9740-22C7A390CFB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9-0</c:v>
                </c:pt>
                <c:pt idx="1">
                  <c:v>10-17</c:v>
                </c:pt>
                <c:pt idx="2">
                  <c:v>18-19</c:v>
                </c:pt>
                <c:pt idx="3">
                  <c:v>20-29</c:v>
                </c:pt>
                <c:pt idx="4">
                  <c:v>30-39</c:v>
                </c:pt>
                <c:pt idx="5">
                  <c:v>40-49</c:v>
                </c:pt>
                <c:pt idx="6">
                  <c:v>50-59</c:v>
                </c:pt>
                <c:pt idx="7">
                  <c:v>+60</c:v>
                </c:pt>
              </c:strCache>
            </c:strRef>
          </c:cat>
          <c:val>
            <c:numRef>
              <c:f>Sheet1!$E$2:$E$9</c:f>
              <c:numCache>
                <c:formatCode>0.0</c:formatCode>
                <c:ptCount val="8"/>
                <c:pt idx="0">
                  <c:v>31</c:v>
                </c:pt>
                <c:pt idx="1">
                  <c:v>29.7</c:v>
                </c:pt>
                <c:pt idx="2">
                  <c:v>27.5</c:v>
                </c:pt>
                <c:pt idx="3">
                  <c:v>30.2</c:v>
                </c:pt>
                <c:pt idx="4">
                  <c:v>29.9</c:v>
                </c:pt>
                <c:pt idx="5">
                  <c:v>25.7</c:v>
                </c:pt>
                <c:pt idx="6">
                  <c:v>25.2</c:v>
                </c:pt>
                <c:pt idx="7">
                  <c:v>26.5</c:v>
                </c:pt>
              </c:numCache>
            </c:numRef>
          </c:val>
          <c:smooth val="0"/>
          <c:extLst>
            <c:ext xmlns:c16="http://schemas.microsoft.com/office/drawing/2014/chart" uri="{C3380CC4-5D6E-409C-BE32-E72D297353CC}">
              <c16:uniqueId val="{00000003-4F71-4A1B-BEE6-C44FA8B04273}"/>
            </c:ext>
          </c:extLst>
        </c:ser>
        <c:dLbls>
          <c:showLegendKey val="0"/>
          <c:showVal val="0"/>
          <c:showCatName val="0"/>
          <c:showSerName val="0"/>
          <c:showPercent val="0"/>
          <c:showBubbleSize val="0"/>
        </c:dLbls>
        <c:marker val="1"/>
        <c:smooth val="0"/>
        <c:axId val="191632896"/>
        <c:axId val="191634816"/>
      </c:lineChart>
      <c:catAx>
        <c:axId val="19163289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Age Group</a:t>
                </a:r>
              </a:p>
            </c:rich>
          </c:tx>
          <c:overlay val="0"/>
        </c:title>
        <c:numFmt formatCode="General" sourceLinked="1"/>
        <c:majorTickMark val="out"/>
        <c:minorTickMark val="none"/>
        <c:tickLblPos val="nextTo"/>
        <c:txPr>
          <a:bodyPr/>
          <a:lstStyle/>
          <a:p>
            <a:pPr>
              <a:defRPr lang="en-GB"/>
            </a:pPr>
            <a:endParaRPr lang="ar-SA"/>
          </a:p>
        </c:txPr>
        <c:crossAx val="191634816"/>
        <c:crosses val="autoZero"/>
        <c:auto val="1"/>
        <c:lblAlgn val="ctr"/>
        <c:lblOffset val="100"/>
        <c:noMultiLvlLbl val="0"/>
      </c:catAx>
      <c:valAx>
        <c:axId val="191634816"/>
        <c:scaling>
          <c:orientation val="minMax"/>
          <c:max val="35"/>
          <c:min val="2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0"/>
        <c:majorTickMark val="out"/>
        <c:minorTickMark val="none"/>
        <c:tickLblPos val="nextTo"/>
        <c:txPr>
          <a:bodyPr/>
          <a:lstStyle/>
          <a:p>
            <a:pPr>
              <a:defRPr lang="en-GB"/>
            </a:pPr>
            <a:endParaRPr lang="ar-SA"/>
          </a:p>
        </c:txPr>
        <c:crossAx val="191632896"/>
        <c:crosses val="autoZero"/>
        <c:crossBetween val="between"/>
        <c:majorUnit val="5"/>
      </c:valAx>
    </c:plotArea>
    <c:legend>
      <c:legendPos val="r"/>
      <c:layout>
        <c:manualLayout>
          <c:xMode val="edge"/>
          <c:yMode val="edge"/>
          <c:x val="0.22629638251740539"/>
          <c:y val="5.4137010166305823E-2"/>
          <c:w val="0.5746296930275081"/>
          <c:h val="0.11569278730988319"/>
        </c:manualLayout>
      </c:layout>
      <c:overlay val="0"/>
      <c:spPr>
        <a:ln>
          <a:solidFill>
            <a:schemeClr val="tx1"/>
          </a:solidFill>
        </a:ln>
      </c:spPr>
      <c:txPr>
        <a:bodyPr/>
        <a:lstStyle/>
        <a:p>
          <a:pPr>
            <a:defRPr lang="en-GB"/>
          </a:pPr>
          <a:endParaRPr lang="ar-SA"/>
        </a:p>
      </c:txPr>
    </c:legend>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796633452492759E-2"/>
          <c:y val="8.9891263592051157E-2"/>
          <c:w val="0.87245451461424461"/>
          <c:h val="0.78512280701754389"/>
        </c:manualLayout>
      </c:layout>
      <c:barChart>
        <c:barDir val="col"/>
        <c:grouping val="clustered"/>
        <c:varyColors val="0"/>
        <c:ser>
          <c:idx val="1"/>
          <c:order val="0"/>
          <c:tx>
            <c:strRef>
              <c:f>Sheet1!$A$2</c:f>
              <c:strCache>
                <c:ptCount val="1"/>
                <c:pt idx="0">
                  <c:v>Urban</c:v>
                </c:pt>
              </c:strCache>
            </c:strRef>
          </c:tx>
          <c:spPr>
            <a:solidFill>
              <a:srgbClr val="EC6B2F"/>
            </a:solidFill>
            <a:ln w="24297">
              <a:solidFill>
                <a:srgbClr val="EC6B2F"/>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Sheet1!$B$1:$C$1</c:f>
              <c:strCache>
                <c:ptCount val="2"/>
                <c:pt idx="0">
                  <c:v>Basic Stage</c:v>
                </c:pt>
                <c:pt idx="1">
                  <c:v>Secondary Stage</c:v>
                </c:pt>
              </c:strCache>
            </c:strRef>
          </c:cat>
          <c:val>
            <c:numRef>
              <c:f>Sheet1!$B$2:$C$2</c:f>
              <c:numCache>
                <c:formatCode>0.0</c:formatCode>
                <c:ptCount val="2"/>
                <c:pt idx="0" formatCode="0.00">
                  <c:v>1.0303347280334729</c:v>
                </c:pt>
                <c:pt idx="1">
                  <c:v>1.2551622418879056</c:v>
                </c:pt>
              </c:numCache>
            </c:numRef>
          </c:val>
          <c:extLst>
            <c:ext xmlns:c16="http://schemas.microsoft.com/office/drawing/2014/chart" uri="{C3380CC4-5D6E-409C-BE32-E72D297353CC}">
              <c16:uniqueId val="{00000000-AA74-4357-974E-9CB76C94AD18}"/>
            </c:ext>
          </c:extLst>
        </c:ser>
        <c:ser>
          <c:idx val="0"/>
          <c:order val="1"/>
          <c:tx>
            <c:strRef>
              <c:f>Sheet1!$A$3</c:f>
              <c:strCache>
                <c:ptCount val="1"/>
                <c:pt idx="0">
                  <c:v>Rural </c:v>
                </c:pt>
              </c:strCache>
            </c:strRef>
          </c:tx>
          <c:spPr>
            <a:solidFill>
              <a:srgbClr val="4F81BD">
                <a:lumMod val="40000"/>
                <a:lumOff val="6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Sheet1!$B$1:$C$1</c:f>
              <c:strCache>
                <c:ptCount val="2"/>
                <c:pt idx="0">
                  <c:v>Basic Stage</c:v>
                </c:pt>
                <c:pt idx="1">
                  <c:v>Secondary Stage</c:v>
                </c:pt>
              </c:strCache>
            </c:strRef>
          </c:cat>
          <c:val>
            <c:numRef>
              <c:f>Sheet1!$B$3:$C$3</c:f>
              <c:numCache>
                <c:formatCode>0.0</c:formatCode>
                <c:ptCount val="2"/>
                <c:pt idx="0" formatCode="0.00">
                  <c:v>1.0460385438972162</c:v>
                </c:pt>
                <c:pt idx="1">
                  <c:v>1.4831858407079646</c:v>
                </c:pt>
              </c:numCache>
            </c:numRef>
          </c:val>
          <c:extLst>
            <c:ext xmlns:c16="http://schemas.microsoft.com/office/drawing/2014/chart" uri="{C3380CC4-5D6E-409C-BE32-E72D297353CC}">
              <c16:uniqueId val="{00000001-AA74-4357-974E-9CB76C94AD18}"/>
            </c:ext>
          </c:extLst>
        </c:ser>
        <c:ser>
          <c:idx val="2"/>
          <c:order val="2"/>
          <c:tx>
            <c:strRef>
              <c:f>Sheet1!$A$4</c:f>
              <c:strCache>
                <c:ptCount val="1"/>
                <c:pt idx="0">
                  <c:v>Camps</c:v>
                </c:pt>
              </c:strCache>
            </c:strRef>
          </c:tx>
          <c:spPr>
            <a:solidFill>
              <a:srgbClr val="9BBB59">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Sheet1!$B$1:$C$1</c:f>
              <c:strCache>
                <c:ptCount val="2"/>
                <c:pt idx="0">
                  <c:v>Basic Stage</c:v>
                </c:pt>
                <c:pt idx="1">
                  <c:v>Secondary Stage</c:v>
                </c:pt>
              </c:strCache>
            </c:strRef>
          </c:cat>
          <c:val>
            <c:numRef>
              <c:f>Sheet1!$B$4:$C$4</c:f>
              <c:numCache>
                <c:formatCode>0.0</c:formatCode>
                <c:ptCount val="2"/>
                <c:pt idx="0" formatCode="0.00">
                  <c:v>1.02711157455683</c:v>
                </c:pt>
                <c:pt idx="1">
                  <c:v>1.3270440251572329</c:v>
                </c:pt>
              </c:numCache>
            </c:numRef>
          </c:val>
          <c:extLst>
            <c:ext xmlns:c16="http://schemas.microsoft.com/office/drawing/2014/chart" uri="{C3380CC4-5D6E-409C-BE32-E72D297353CC}">
              <c16:uniqueId val="{00000002-AA74-4357-974E-9CB76C94AD18}"/>
            </c:ext>
          </c:extLst>
        </c:ser>
        <c:dLbls>
          <c:showLegendKey val="0"/>
          <c:showVal val="1"/>
          <c:showCatName val="0"/>
          <c:showSerName val="0"/>
          <c:showPercent val="0"/>
          <c:showBubbleSize val="0"/>
        </c:dLbls>
        <c:gapWidth val="219"/>
        <c:overlap val="-27"/>
        <c:axId val="145410688"/>
        <c:axId val="145420672"/>
      </c:barChart>
      <c:catAx>
        <c:axId val="145410688"/>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45420672"/>
        <c:crosses val="autoZero"/>
        <c:auto val="1"/>
        <c:lblAlgn val="ctr"/>
        <c:lblOffset val="100"/>
        <c:noMultiLvlLbl val="0"/>
      </c:catAx>
      <c:valAx>
        <c:axId val="145420672"/>
        <c:scaling>
          <c:orientation val="minMax"/>
          <c:min val="0"/>
        </c:scaling>
        <c:delete val="0"/>
        <c:axPos val="l"/>
        <c:title>
          <c:tx>
            <c:rich>
              <a:bodyPr/>
              <a:lstStyle/>
              <a:p>
                <a:pPr>
                  <a:defRPr/>
                </a:pPr>
                <a:r>
                  <a:rPr lang="en-US"/>
                  <a:t>Percentage</a:t>
                </a:r>
              </a:p>
            </c:rich>
          </c:tx>
          <c:layout>
            <c:manualLayout>
              <c:xMode val="edge"/>
              <c:yMode val="edge"/>
              <c:x val="2.1180587720652587E-2"/>
              <c:y val="0.30464291963504603"/>
            </c:manualLayout>
          </c:layout>
          <c:overlay val="0"/>
        </c:title>
        <c:numFmt formatCode="0.00" sourceLinked="1"/>
        <c:majorTickMark val="out"/>
        <c:minorTickMark val="none"/>
        <c:tickLblPos val="nextTo"/>
        <c:spPr>
          <a:ln w="6074">
            <a:solidFill>
              <a:schemeClr val="tx1"/>
            </a:solidFill>
          </a:ln>
        </c:spPr>
        <c:txPr>
          <a:bodyPr rot="-60000000" vert="horz"/>
          <a:lstStyle/>
          <a:p>
            <a:pPr>
              <a:defRPr lang="en-GB"/>
            </a:pPr>
            <a:endParaRPr lang="ar-SA"/>
          </a:p>
        </c:txPr>
        <c:crossAx val="145410688"/>
        <c:crosses val="autoZero"/>
        <c:crossBetween val="between"/>
      </c:valAx>
      <c:spPr>
        <a:noFill/>
        <a:ln w="25409">
          <a:noFill/>
        </a:ln>
      </c:spPr>
    </c:plotArea>
    <c:legend>
      <c:legendPos val="r"/>
      <c:layout>
        <c:manualLayout>
          <c:xMode val="edge"/>
          <c:yMode val="edge"/>
          <c:x val="0.28135893727569766"/>
          <c:y val="1.3666291713535809E-2"/>
          <c:w val="0.27444282134416498"/>
          <c:h val="0.13836620422447193"/>
        </c:manualLayout>
      </c:layout>
      <c:overlay val="0"/>
    </c:legend>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dLbl>
              <c:idx val="0"/>
              <c:layout>
                <c:manualLayout>
                  <c:x val="-4.6296296296296377E-2"/>
                  <c:y val="8.49673202614380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A09-40FF-8831-0891C89C0230}"/>
                </c:ext>
              </c:extLst>
            </c:dLbl>
            <c:dLbl>
              <c:idx val="1"/>
              <c:delete val="1"/>
              <c:extLst>
                <c:ext xmlns:c15="http://schemas.microsoft.com/office/drawing/2012/chart" uri="{CE6537A1-D6FC-4f65-9D91-7224C49458BB}"/>
                <c:ext xmlns:c16="http://schemas.microsoft.com/office/drawing/2014/chart" uri="{C3380CC4-5D6E-409C-BE32-E72D297353CC}">
                  <c16:uniqueId val="{00000000-3CAF-4F43-8036-F2A8ED9C3677}"/>
                </c:ext>
              </c:extLst>
            </c:dLbl>
            <c:dLbl>
              <c:idx val="2"/>
              <c:delete val="1"/>
              <c:extLst>
                <c:ext xmlns:c15="http://schemas.microsoft.com/office/drawing/2012/chart" uri="{CE6537A1-D6FC-4f65-9D91-7224C49458BB}"/>
                <c:ext xmlns:c16="http://schemas.microsoft.com/office/drawing/2014/chart" uri="{C3380CC4-5D6E-409C-BE32-E72D297353CC}">
                  <c16:uniqueId val="{00000001-3CAF-4F43-8036-F2A8ED9C3677}"/>
                </c:ext>
              </c:extLst>
            </c:dLbl>
            <c:dLbl>
              <c:idx val="3"/>
              <c:delete val="1"/>
              <c:extLst>
                <c:ext xmlns:c15="http://schemas.microsoft.com/office/drawing/2012/chart" uri="{CE6537A1-D6FC-4f65-9D91-7224C49458BB}"/>
                <c:ext xmlns:c16="http://schemas.microsoft.com/office/drawing/2014/chart" uri="{C3380CC4-5D6E-409C-BE32-E72D297353CC}">
                  <c16:uniqueId val="{00000002-3CAF-4F43-8036-F2A8ED9C3677}"/>
                </c:ext>
              </c:extLst>
            </c:dLbl>
            <c:dLbl>
              <c:idx val="4"/>
              <c:delete val="1"/>
              <c:extLst>
                <c:ext xmlns:c15="http://schemas.microsoft.com/office/drawing/2012/chart" uri="{CE6537A1-D6FC-4f65-9D91-7224C49458BB}"/>
                <c:ext xmlns:c16="http://schemas.microsoft.com/office/drawing/2014/chart" uri="{C3380CC4-5D6E-409C-BE32-E72D297353CC}">
                  <c16:uniqueId val="{00000003-3CAF-4F43-8036-F2A8ED9C3677}"/>
                </c:ext>
              </c:extLst>
            </c:dLbl>
            <c:dLbl>
              <c:idx val="5"/>
              <c:delete val="1"/>
              <c:extLst>
                <c:ext xmlns:c15="http://schemas.microsoft.com/office/drawing/2012/chart" uri="{CE6537A1-D6FC-4f65-9D91-7224C49458BB}"/>
                <c:ext xmlns:c16="http://schemas.microsoft.com/office/drawing/2014/chart" uri="{C3380CC4-5D6E-409C-BE32-E72D297353CC}">
                  <c16:uniqueId val="{00000000-5C23-4D93-955E-B08D9E81D49A}"/>
                </c:ext>
              </c:extLst>
            </c:dLbl>
            <c:dLbl>
              <c:idx val="6"/>
              <c:layout>
                <c:manualLayout>
                  <c:x val="-5.3240740740740741E-2"/>
                  <c:y val="6.03015075376884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CAF-4F43-8036-F2A8ED9C3677}"/>
                </c:ext>
              </c:extLst>
            </c:dLbl>
            <c:dLbl>
              <c:idx val="7"/>
              <c:delete val="1"/>
              <c:extLst>
                <c:ext xmlns:c15="http://schemas.microsoft.com/office/drawing/2012/chart" uri="{CE6537A1-D6FC-4f65-9D91-7224C49458BB}"/>
                <c:ext xmlns:c16="http://schemas.microsoft.com/office/drawing/2014/chart" uri="{C3380CC4-5D6E-409C-BE32-E72D297353CC}">
                  <c16:uniqueId val="{00000006-3CAF-4F43-8036-F2A8ED9C3677}"/>
                </c:ext>
              </c:extLst>
            </c:dLbl>
            <c:dLbl>
              <c:idx val="8"/>
              <c:delete val="1"/>
              <c:extLst>
                <c:ext xmlns:c15="http://schemas.microsoft.com/office/drawing/2012/chart" uri="{CE6537A1-D6FC-4f65-9D91-7224C49458BB}"/>
                <c:ext xmlns:c16="http://schemas.microsoft.com/office/drawing/2014/chart" uri="{C3380CC4-5D6E-409C-BE32-E72D297353CC}">
                  <c16:uniqueId val="{00000007-3CAF-4F43-8036-F2A8ED9C3677}"/>
                </c:ext>
              </c:extLst>
            </c:dLbl>
            <c:dLbl>
              <c:idx val="9"/>
              <c:delete val="1"/>
              <c:extLst>
                <c:ext xmlns:c15="http://schemas.microsoft.com/office/drawing/2012/chart" uri="{CE6537A1-D6FC-4f65-9D91-7224C49458BB}"/>
                <c:ext xmlns:c16="http://schemas.microsoft.com/office/drawing/2014/chart" uri="{C3380CC4-5D6E-409C-BE32-E72D297353CC}">
                  <c16:uniqueId val="{00000008-3CAF-4F43-8036-F2A8ED9C3677}"/>
                </c:ext>
              </c:extLst>
            </c:dLbl>
            <c:dLbl>
              <c:idx val="10"/>
              <c:delete val="1"/>
              <c:extLst>
                <c:ext xmlns:c15="http://schemas.microsoft.com/office/drawing/2012/chart" uri="{CE6537A1-D6FC-4f65-9D91-7224C49458BB}"/>
                <c:ext xmlns:c16="http://schemas.microsoft.com/office/drawing/2014/chart" uri="{C3380CC4-5D6E-409C-BE32-E72D297353CC}">
                  <c16:uniqueId val="{00000000-EBD6-4772-9DAE-ADFB5903A023}"/>
                </c:ext>
              </c:extLst>
            </c:dLbl>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100</c:v>
                </c:pt>
                <c:pt idx="1">
                  <c:v>100</c:v>
                </c:pt>
                <c:pt idx="2">
                  <c:v>100</c:v>
                </c:pt>
                <c:pt idx="3">
                  <c:v>100</c:v>
                </c:pt>
                <c:pt idx="4">
                  <c:v>100</c:v>
                </c:pt>
                <c:pt idx="5">
                  <c:v>100</c:v>
                </c:pt>
                <c:pt idx="6">
                  <c:v>100</c:v>
                </c:pt>
              </c:numCache>
            </c:numRef>
          </c:val>
          <c:smooth val="0"/>
          <c:extLst>
            <c:ext xmlns:c16="http://schemas.microsoft.com/office/drawing/2014/chart" uri="{C3380CC4-5D6E-409C-BE32-E72D297353CC}">
              <c16:uniqueId val="{00000009-3CAF-4F43-8036-F2A8ED9C3677}"/>
            </c:ext>
          </c:extLst>
        </c:ser>
        <c:dLbls>
          <c:showLegendKey val="0"/>
          <c:showVal val="0"/>
          <c:showCatName val="0"/>
          <c:showSerName val="0"/>
          <c:showPercent val="0"/>
          <c:showBubbleSize val="0"/>
        </c:dLbls>
        <c:marker val="1"/>
        <c:smooth val="0"/>
        <c:axId val="145474688"/>
        <c:axId val="145476608"/>
      </c:lineChart>
      <c:catAx>
        <c:axId val="14547468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out"/>
        <c:minorTickMark val="none"/>
        <c:tickLblPos val="nextTo"/>
        <c:txPr>
          <a:bodyPr/>
          <a:lstStyle/>
          <a:p>
            <a:pPr>
              <a:defRPr lang="en-GB"/>
            </a:pPr>
            <a:endParaRPr lang="ar-SA"/>
          </a:p>
        </c:txPr>
        <c:crossAx val="145476608"/>
        <c:crosses val="autoZero"/>
        <c:auto val="1"/>
        <c:lblAlgn val="ctr"/>
        <c:lblOffset val="100"/>
        <c:noMultiLvlLbl val="0"/>
      </c:catAx>
      <c:valAx>
        <c:axId val="145476608"/>
        <c:scaling>
          <c:orientation val="minMax"/>
          <c:max val="102"/>
          <c:min val="8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txPr>
          <a:bodyPr/>
          <a:lstStyle/>
          <a:p>
            <a:pPr>
              <a:defRPr lang="en-GB"/>
            </a:pPr>
            <a:endParaRPr lang="ar-SA"/>
          </a:p>
        </c:txPr>
        <c:crossAx val="145474688"/>
        <c:crosses val="autoZero"/>
        <c:crossBetween val="between"/>
        <c:majorUnit val="5"/>
      </c:valAx>
    </c:plotArea>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79.099999999999994</c:v>
                </c:pt>
                <c:pt idx="1">
                  <c:v>91.5</c:v>
                </c:pt>
                <c:pt idx="2">
                  <c:v>93</c:v>
                </c:pt>
                <c:pt idx="3">
                  <c:v>95.9</c:v>
                </c:pt>
                <c:pt idx="4">
                  <c:v>96.4</c:v>
                </c:pt>
                <c:pt idx="5">
                  <c:v>97.8</c:v>
                </c:pt>
                <c:pt idx="6">
                  <c:v>98.8</c:v>
                </c:pt>
              </c:numCache>
            </c:numRef>
          </c:val>
          <c:smooth val="0"/>
          <c:extLst>
            <c:ext xmlns:c16="http://schemas.microsoft.com/office/drawing/2014/chart" uri="{C3380CC4-5D6E-409C-BE32-E72D297353CC}">
              <c16:uniqueId val="{00000000-6F13-4B45-892C-ECA07ECF7711}"/>
            </c:ext>
          </c:extLst>
        </c:ser>
        <c:dLbls>
          <c:showLegendKey val="0"/>
          <c:showVal val="0"/>
          <c:showCatName val="0"/>
          <c:showSerName val="0"/>
          <c:showPercent val="0"/>
          <c:showBubbleSize val="0"/>
        </c:dLbls>
        <c:marker val="1"/>
        <c:smooth val="0"/>
        <c:axId val="145542144"/>
        <c:axId val="145650816"/>
      </c:lineChart>
      <c:catAx>
        <c:axId val="1455421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out"/>
        <c:minorTickMark val="none"/>
        <c:tickLblPos val="nextTo"/>
        <c:txPr>
          <a:bodyPr/>
          <a:lstStyle/>
          <a:p>
            <a:pPr>
              <a:defRPr lang="en-GB"/>
            </a:pPr>
            <a:endParaRPr lang="ar-SA"/>
          </a:p>
        </c:txPr>
        <c:crossAx val="145650816"/>
        <c:crosses val="autoZero"/>
        <c:auto val="1"/>
        <c:lblAlgn val="ctr"/>
        <c:lblOffset val="100"/>
        <c:noMultiLvlLbl val="0"/>
      </c:catAx>
      <c:valAx>
        <c:axId val="145650816"/>
        <c:scaling>
          <c:orientation val="minMax"/>
          <c:max val="100"/>
          <c:min val="7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txPr>
          <a:bodyPr/>
          <a:lstStyle/>
          <a:p>
            <a:pPr>
              <a:defRPr lang="en-GB"/>
            </a:pPr>
            <a:endParaRPr lang="ar-SA"/>
          </a:p>
        </c:txPr>
        <c:crossAx val="14554214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9442948379131067"/>
          <c:w val="0.86203703703703705"/>
          <c:h val="0.63425457994455403"/>
        </c:manualLayout>
      </c:layout>
      <c:lineChart>
        <c:grouping val="standard"/>
        <c:varyColors val="0"/>
        <c:ser>
          <c:idx val="0"/>
          <c:order val="0"/>
          <c:tx>
            <c:strRef>
              <c:f>Sheet1!$B$1</c:f>
              <c:strCache>
                <c:ptCount val="1"/>
                <c:pt idx="0">
                  <c:v>primary</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0-4572-46DA-A707-0721BDBB0D3F}"/>
                </c:ext>
              </c:extLst>
            </c:dLbl>
            <c:dLbl>
              <c:idx val="2"/>
              <c:delete val="1"/>
              <c:extLst>
                <c:ext xmlns:c15="http://schemas.microsoft.com/office/drawing/2012/chart" uri="{CE6537A1-D6FC-4f65-9D91-7224C49458BB}"/>
                <c:ext xmlns:c16="http://schemas.microsoft.com/office/drawing/2014/chart" uri="{C3380CC4-5D6E-409C-BE32-E72D297353CC}">
                  <c16:uniqueId val="{00000001-4572-46DA-A707-0721BDBB0D3F}"/>
                </c:ext>
              </c:extLst>
            </c:dLbl>
            <c:dLbl>
              <c:idx val="3"/>
              <c:delete val="1"/>
              <c:extLst>
                <c:ext xmlns:c15="http://schemas.microsoft.com/office/drawing/2012/chart" uri="{CE6537A1-D6FC-4f65-9D91-7224C49458BB}"/>
                <c:ext xmlns:c16="http://schemas.microsoft.com/office/drawing/2014/chart" uri="{C3380CC4-5D6E-409C-BE32-E72D297353CC}">
                  <c16:uniqueId val="{00000002-4572-46DA-A707-0721BDBB0D3F}"/>
                </c:ext>
              </c:extLst>
            </c:dLbl>
            <c:dLbl>
              <c:idx val="4"/>
              <c:delete val="1"/>
              <c:extLst>
                <c:ext xmlns:c15="http://schemas.microsoft.com/office/drawing/2012/chart" uri="{CE6537A1-D6FC-4f65-9D91-7224C49458BB}"/>
                <c:ext xmlns:c16="http://schemas.microsoft.com/office/drawing/2014/chart" uri="{C3380CC4-5D6E-409C-BE32-E72D297353CC}">
                  <c16:uniqueId val="{00000003-4572-46DA-A707-0721BDBB0D3F}"/>
                </c:ext>
              </c:extLst>
            </c:dLbl>
            <c:dLbl>
              <c:idx val="5"/>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572-46DA-A707-0721BDBB0D3F}"/>
                </c:ext>
              </c:extLst>
            </c:dLbl>
            <c:dLbl>
              <c:idx val="6"/>
              <c:delete val="1"/>
              <c:extLst>
                <c:ext xmlns:c15="http://schemas.microsoft.com/office/drawing/2012/chart" uri="{CE6537A1-D6FC-4f65-9D91-7224C49458BB}"/>
                <c:ext xmlns:c16="http://schemas.microsoft.com/office/drawing/2014/chart" uri="{C3380CC4-5D6E-409C-BE32-E72D297353CC}">
                  <c16:uniqueId val="{00000005-4572-46DA-A707-0721BDBB0D3F}"/>
                </c:ext>
              </c:extLst>
            </c:dLbl>
            <c:dLbl>
              <c:idx val="7"/>
              <c:delete val="1"/>
              <c:extLst>
                <c:ext xmlns:c15="http://schemas.microsoft.com/office/drawing/2012/chart" uri="{CE6537A1-D6FC-4f65-9D91-7224C49458BB}"/>
                <c:ext xmlns:c16="http://schemas.microsoft.com/office/drawing/2014/chart" uri="{C3380CC4-5D6E-409C-BE32-E72D297353CC}">
                  <c16:uniqueId val="{00000006-4572-46DA-A707-0721BDBB0D3F}"/>
                </c:ext>
              </c:extLst>
            </c:dLbl>
            <c:dLbl>
              <c:idx val="8"/>
              <c:delete val="1"/>
              <c:extLst>
                <c:ext xmlns:c15="http://schemas.microsoft.com/office/drawing/2012/chart" uri="{CE6537A1-D6FC-4f65-9D91-7224C49458BB}"/>
                <c:ext xmlns:c16="http://schemas.microsoft.com/office/drawing/2014/chart" uri="{C3380CC4-5D6E-409C-BE32-E72D297353CC}">
                  <c16:uniqueId val="{00000007-4572-46DA-A707-0721BDBB0D3F}"/>
                </c:ext>
              </c:extLst>
            </c:dLbl>
            <c:dLbl>
              <c:idx val="9"/>
              <c:delete val="1"/>
              <c:extLst>
                <c:ext xmlns:c15="http://schemas.microsoft.com/office/drawing/2012/chart" uri="{CE6537A1-D6FC-4f65-9D91-7224C49458BB}"/>
                <c:ext xmlns:c16="http://schemas.microsoft.com/office/drawing/2014/chart" uri="{C3380CC4-5D6E-409C-BE32-E72D297353CC}">
                  <c16:uniqueId val="{00000008-4572-46DA-A707-0721BDBB0D3F}"/>
                </c:ext>
              </c:extLst>
            </c:dLbl>
            <c:dLbl>
              <c:idx val="10"/>
              <c:delete val="1"/>
              <c:extLst>
                <c:ext xmlns:c15="http://schemas.microsoft.com/office/drawing/2012/chart" uri="{CE6537A1-D6FC-4f65-9D91-7224C49458BB}"/>
                <c:ext xmlns:c16="http://schemas.microsoft.com/office/drawing/2014/chart" uri="{C3380CC4-5D6E-409C-BE32-E72D297353CC}">
                  <c16:uniqueId val="{00000000-CE0C-4773-95CC-19EDEF8A8553}"/>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Sheet1!$A$2:$A$7</c:f>
              <c:numCache>
                <c:formatCode>General</c:formatCode>
                <c:ptCount val="6"/>
                <c:pt idx="0">
                  <c:v>2016</c:v>
                </c:pt>
                <c:pt idx="1">
                  <c:v>2017</c:v>
                </c:pt>
                <c:pt idx="2">
                  <c:v>2018</c:v>
                </c:pt>
                <c:pt idx="3">
                  <c:v>2019</c:v>
                </c:pt>
                <c:pt idx="4">
                  <c:v>2020</c:v>
                </c:pt>
                <c:pt idx="5">
                  <c:v>2021</c:v>
                </c:pt>
              </c:numCache>
            </c:numRef>
          </c:cat>
          <c:val>
            <c:numRef>
              <c:f>Sheet1!$B$2:$B$7</c:f>
              <c:numCache>
                <c:formatCode>0.0</c:formatCode>
                <c:ptCount val="6"/>
                <c:pt idx="0">
                  <c:v>71.099999999999994</c:v>
                </c:pt>
                <c:pt idx="1">
                  <c:v>81.099999999999994</c:v>
                </c:pt>
                <c:pt idx="2">
                  <c:v>90.7</c:v>
                </c:pt>
                <c:pt idx="3">
                  <c:v>91.6</c:v>
                </c:pt>
                <c:pt idx="4">
                  <c:v>97.2</c:v>
                </c:pt>
                <c:pt idx="5">
                  <c:v>98.2</c:v>
                </c:pt>
              </c:numCache>
            </c:numRef>
          </c:val>
          <c:smooth val="0"/>
          <c:extLst>
            <c:ext xmlns:c16="http://schemas.microsoft.com/office/drawing/2014/chart" uri="{C3380CC4-5D6E-409C-BE32-E72D297353CC}">
              <c16:uniqueId val="{00000009-4572-46DA-A707-0721BDBB0D3F}"/>
            </c:ext>
          </c:extLst>
        </c:ser>
        <c:ser>
          <c:idx val="1"/>
          <c:order val="1"/>
          <c:tx>
            <c:strRef>
              <c:f>Sheet1!$C$1</c:f>
              <c:strCache>
                <c:ptCount val="1"/>
                <c:pt idx="0">
                  <c:v>lower secondary</c:v>
                </c:pt>
              </c:strCache>
            </c:strRef>
          </c:tx>
          <c:spPr>
            <a:ln>
              <a:solidFill>
                <a:srgbClr val="C0504D">
                  <a:lumMod val="50000"/>
                </a:srgbClr>
              </a:solidFill>
            </a:ln>
          </c:spPr>
          <c:marker>
            <c:spPr>
              <a:solidFill>
                <a:srgbClr val="9BBB59">
                  <a:lumMod val="50000"/>
                </a:srgbClr>
              </a:solidFill>
              <a:ln>
                <a:solidFill>
                  <a:srgbClr val="C0504D">
                    <a:lumMod val="50000"/>
                  </a:srgbClr>
                </a:solidFill>
              </a:ln>
            </c:spPr>
          </c:marker>
          <c:dLbls>
            <c:dLbl>
              <c:idx val="0"/>
              <c:layout>
                <c:manualLayout>
                  <c:x val="-9.2592592592592778E-3"/>
                  <c:y val="5.83709206686124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572-46DA-A707-0721BDBB0D3F}"/>
                </c:ext>
              </c:extLst>
            </c:dLbl>
            <c:dLbl>
              <c:idx val="1"/>
              <c:delete val="1"/>
              <c:extLst>
                <c:ext xmlns:c15="http://schemas.microsoft.com/office/drawing/2012/chart" uri="{CE6537A1-D6FC-4f65-9D91-7224C49458BB}"/>
                <c:ext xmlns:c16="http://schemas.microsoft.com/office/drawing/2014/chart" uri="{C3380CC4-5D6E-409C-BE32-E72D297353CC}">
                  <c16:uniqueId val="{0000000B-4572-46DA-A707-0721BDBB0D3F}"/>
                </c:ext>
              </c:extLst>
            </c:dLbl>
            <c:dLbl>
              <c:idx val="2"/>
              <c:delete val="1"/>
              <c:extLst>
                <c:ext xmlns:c15="http://schemas.microsoft.com/office/drawing/2012/chart" uri="{CE6537A1-D6FC-4f65-9D91-7224C49458BB}"/>
                <c:ext xmlns:c16="http://schemas.microsoft.com/office/drawing/2014/chart" uri="{C3380CC4-5D6E-409C-BE32-E72D297353CC}">
                  <c16:uniqueId val="{0000000C-4572-46DA-A707-0721BDBB0D3F}"/>
                </c:ext>
              </c:extLst>
            </c:dLbl>
            <c:dLbl>
              <c:idx val="3"/>
              <c:delete val="1"/>
              <c:extLst>
                <c:ext xmlns:c15="http://schemas.microsoft.com/office/drawing/2012/chart" uri="{CE6537A1-D6FC-4f65-9D91-7224C49458BB}"/>
                <c:ext xmlns:c16="http://schemas.microsoft.com/office/drawing/2014/chart" uri="{C3380CC4-5D6E-409C-BE32-E72D297353CC}">
                  <c16:uniqueId val="{0000000D-4572-46DA-A707-0721BDBB0D3F}"/>
                </c:ext>
              </c:extLst>
            </c:dLbl>
            <c:dLbl>
              <c:idx val="4"/>
              <c:delete val="1"/>
              <c:extLst>
                <c:ext xmlns:c15="http://schemas.microsoft.com/office/drawing/2012/chart" uri="{CE6537A1-D6FC-4f65-9D91-7224C49458BB}"/>
                <c:ext xmlns:c16="http://schemas.microsoft.com/office/drawing/2014/chart" uri="{C3380CC4-5D6E-409C-BE32-E72D297353CC}">
                  <c16:uniqueId val="{0000000E-4572-46DA-A707-0721BDBB0D3F}"/>
                </c:ext>
              </c:extLst>
            </c:dLbl>
            <c:dLbl>
              <c:idx val="5"/>
              <c:layout>
                <c:manualLayout>
                  <c:x val="-1.6203703703703703E-2"/>
                  <c:y val="0.1220482886707349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CDA-40F9-B099-F9A4C080F410}"/>
                </c:ext>
              </c:extLst>
            </c:dLbl>
            <c:dLbl>
              <c:idx val="6"/>
              <c:delete val="1"/>
              <c:extLst>
                <c:ext xmlns:c15="http://schemas.microsoft.com/office/drawing/2012/chart" uri="{CE6537A1-D6FC-4f65-9D91-7224C49458BB}"/>
                <c:ext xmlns:c16="http://schemas.microsoft.com/office/drawing/2014/chart" uri="{C3380CC4-5D6E-409C-BE32-E72D297353CC}">
                  <c16:uniqueId val="{00000010-4572-46DA-A707-0721BDBB0D3F}"/>
                </c:ext>
              </c:extLst>
            </c:dLbl>
            <c:dLbl>
              <c:idx val="7"/>
              <c:delete val="1"/>
              <c:extLst>
                <c:ext xmlns:c15="http://schemas.microsoft.com/office/drawing/2012/chart" uri="{CE6537A1-D6FC-4f65-9D91-7224C49458BB}"/>
                <c:ext xmlns:c16="http://schemas.microsoft.com/office/drawing/2014/chart" uri="{C3380CC4-5D6E-409C-BE32-E72D297353CC}">
                  <c16:uniqueId val="{00000011-4572-46DA-A707-0721BDBB0D3F}"/>
                </c:ext>
              </c:extLst>
            </c:dLbl>
            <c:dLbl>
              <c:idx val="8"/>
              <c:delete val="1"/>
              <c:extLst>
                <c:ext xmlns:c15="http://schemas.microsoft.com/office/drawing/2012/chart" uri="{CE6537A1-D6FC-4f65-9D91-7224C49458BB}"/>
                <c:ext xmlns:c16="http://schemas.microsoft.com/office/drawing/2014/chart" uri="{C3380CC4-5D6E-409C-BE32-E72D297353CC}">
                  <c16:uniqueId val="{00000012-4572-46DA-A707-0721BDBB0D3F}"/>
                </c:ext>
              </c:extLst>
            </c:dLbl>
            <c:dLbl>
              <c:idx val="9"/>
              <c:delete val="1"/>
              <c:extLst>
                <c:ext xmlns:c15="http://schemas.microsoft.com/office/drawing/2012/chart" uri="{CE6537A1-D6FC-4f65-9D91-7224C49458BB}"/>
                <c:ext xmlns:c16="http://schemas.microsoft.com/office/drawing/2014/chart" uri="{C3380CC4-5D6E-409C-BE32-E72D297353CC}">
                  <c16:uniqueId val="{00000013-4572-46DA-A707-0721BDBB0D3F}"/>
                </c:ext>
              </c:extLst>
            </c:dLbl>
            <c:dLbl>
              <c:idx val="10"/>
              <c:delete val="1"/>
              <c:extLst>
                <c:ext xmlns:c15="http://schemas.microsoft.com/office/drawing/2012/chart" uri="{CE6537A1-D6FC-4f65-9D91-7224C49458BB}"/>
                <c:ext xmlns:c16="http://schemas.microsoft.com/office/drawing/2014/chart" uri="{C3380CC4-5D6E-409C-BE32-E72D297353CC}">
                  <c16:uniqueId val="{00000001-CE0C-4773-95CC-19EDEF8A8553}"/>
                </c:ext>
              </c:extLst>
            </c:dLbl>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2016</c:v>
                </c:pt>
                <c:pt idx="1">
                  <c:v>2017</c:v>
                </c:pt>
                <c:pt idx="2">
                  <c:v>2018</c:v>
                </c:pt>
                <c:pt idx="3">
                  <c:v>2019</c:v>
                </c:pt>
                <c:pt idx="4">
                  <c:v>2020</c:v>
                </c:pt>
                <c:pt idx="5">
                  <c:v>2021</c:v>
                </c:pt>
              </c:numCache>
            </c:numRef>
          </c:cat>
          <c:val>
            <c:numRef>
              <c:f>Sheet1!$C$2:$C$7</c:f>
              <c:numCache>
                <c:formatCode>0.0</c:formatCode>
                <c:ptCount val="6"/>
                <c:pt idx="0">
                  <c:v>91.3</c:v>
                </c:pt>
                <c:pt idx="1">
                  <c:v>90.3</c:v>
                </c:pt>
                <c:pt idx="2">
                  <c:v>95.8</c:v>
                </c:pt>
                <c:pt idx="3">
                  <c:v>96.1</c:v>
                </c:pt>
                <c:pt idx="4">
                  <c:v>96.5</c:v>
                </c:pt>
                <c:pt idx="5">
                  <c:v>99</c:v>
                </c:pt>
              </c:numCache>
            </c:numRef>
          </c:val>
          <c:smooth val="0"/>
          <c:extLst>
            <c:ext xmlns:c16="http://schemas.microsoft.com/office/drawing/2014/chart" uri="{C3380CC4-5D6E-409C-BE32-E72D297353CC}">
              <c16:uniqueId val="{00000014-4572-46DA-A707-0721BDBB0D3F}"/>
            </c:ext>
          </c:extLst>
        </c:ser>
        <c:ser>
          <c:idx val="2"/>
          <c:order val="2"/>
          <c:tx>
            <c:strRef>
              <c:f>Sheet1!$D$1</c:f>
              <c:strCache>
                <c:ptCount val="1"/>
                <c:pt idx="0">
                  <c:v>upper secondary </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15-4572-46DA-A707-0721BDBB0D3F}"/>
                </c:ext>
              </c:extLst>
            </c:dLbl>
            <c:dLbl>
              <c:idx val="2"/>
              <c:delete val="1"/>
              <c:extLst>
                <c:ext xmlns:c15="http://schemas.microsoft.com/office/drawing/2012/chart" uri="{CE6537A1-D6FC-4f65-9D91-7224C49458BB}"/>
                <c:ext xmlns:c16="http://schemas.microsoft.com/office/drawing/2014/chart" uri="{C3380CC4-5D6E-409C-BE32-E72D297353CC}">
                  <c16:uniqueId val="{00000016-4572-46DA-A707-0721BDBB0D3F}"/>
                </c:ext>
              </c:extLst>
            </c:dLbl>
            <c:dLbl>
              <c:idx val="3"/>
              <c:delete val="1"/>
              <c:extLst>
                <c:ext xmlns:c15="http://schemas.microsoft.com/office/drawing/2012/chart" uri="{CE6537A1-D6FC-4f65-9D91-7224C49458BB}"/>
                <c:ext xmlns:c16="http://schemas.microsoft.com/office/drawing/2014/chart" uri="{C3380CC4-5D6E-409C-BE32-E72D297353CC}">
                  <c16:uniqueId val="{00000017-4572-46DA-A707-0721BDBB0D3F}"/>
                </c:ext>
              </c:extLst>
            </c:dLbl>
            <c:dLbl>
              <c:idx val="4"/>
              <c:delete val="1"/>
              <c:extLst>
                <c:ext xmlns:c15="http://schemas.microsoft.com/office/drawing/2012/chart" uri="{CE6537A1-D6FC-4f65-9D91-7224C49458BB}"/>
                <c:ext xmlns:c16="http://schemas.microsoft.com/office/drawing/2014/chart" uri="{C3380CC4-5D6E-409C-BE32-E72D297353CC}">
                  <c16:uniqueId val="{00000018-4572-46DA-A707-0721BDBB0D3F}"/>
                </c:ext>
              </c:extLst>
            </c:dLbl>
            <c:dLbl>
              <c:idx val="5"/>
              <c:layout>
                <c:manualLayout>
                  <c:x val="0"/>
                  <c:y val="-4.77580260015919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4572-46DA-A707-0721BDBB0D3F}"/>
                </c:ext>
              </c:extLst>
            </c:dLbl>
            <c:dLbl>
              <c:idx val="6"/>
              <c:delete val="1"/>
              <c:extLst>
                <c:ext xmlns:c15="http://schemas.microsoft.com/office/drawing/2012/chart" uri="{CE6537A1-D6FC-4f65-9D91-7224C49458BB}"/>
                <c:ext xmlns:c16="http://schemas.microsoft.com/office/drawing/2014/chart" uri="{C3380CC4-5D6E-409C-BE32-E72D297353CC}">
                  <c16:uniqueId val="{0000001A-4572-46DA-A707-0721BDBB0D3F}"/>
                </c:ext>
              </c:extLst>
            </c:dLbl>
            <c:dLbl>
              <c:idx val="7"/>
              <c:delete val="1"/>
              <c:extLst>
                <c:ext xmlns:c15="http://schemas.microsoft.com/office/drawing/2012/chart" uri="{CE6537A1-D6FC-4f65-9D91-7224C49458BB}"/>
                <c:ext xmlns:c16="http://schemas.microsoft.com/office/drawing/2014/chart" uri="{C3380CC4-5D6E-409C-BE32-E72D297353CC}">
                  <c16:uniqueId val="{0000001B-4572-46DA-A707-0721BDBB0D3F}"/>
                </c:ext>
              </c:extLst>
            </c:dLbl>
            <c:dLbl>
              <c:idx val="8"/>
              <c:delete val="1"/>
              <c:extLst>
                <c:ext xmlns:c15="http://schemas.microsoft.com/office/drawing/2012/chart" uri="{CE6537A1-D6FC-4f65-9D91-7224C49458BB}"/>
                <c:ext xmlns:c16="http://schemas.microsoft.com/office/drawing/2014/chart" uri="{C3380CC4-5D6E-409C-BE32-E72D297353CC}">
                  <c16:uniqueId val="{0000001C-4572-46DA-A707-0721BDBB0D3F}"/>
                </c:ext>
              </c:extLst>
            </c:dLbl>
            <c:dLbl>
              <c:idx val="9"/>
              <c:delete val="1"/>
              <c:extLst>
                <c:ext xmlns:c15="http://schemas.microsoft.com/office/drawing/2012/chart" uri="{CE6537A1-D6FC-4f65-9D91-7224C49458BB}"/>
                <c:ext xmlns:c16="http://schemas.microsoft.com/office/drawing/2014/chart" uri="{C3380CC4-5D6E-409C-BE32-E72D297353CC}">
                  <c16:uniqueId val="{0000001D-4572-46DA-A707-0721BDBB0D3F}"/>
                </c:ext>
              </c:extLst>
            </c:dLbl>
            <c:dLbl>
              <c:idx val="10"/>
              <c:delete val="1"/>
              <c:extLst>
                <c:ext xmlns:c15="http://schemas.microsoft.com/office/drawing/2012/chart" uri="{CE6537A1-D6FC-4f65-9D91-7224C49458BB}"/>
                <c:ext xmlns:c16="http://schemas.microsoft.com/office/drawing/2014/chart" uri="{C3380CC4-5D6E-409C-BE32-E72D297353CC}">
                  <c16:uniqueId val="{00000002-CE0C-4773-95CC-19EDEF8A8553}"/>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Sheet1!$A$2:$A$7</c:f>
              <c:numCache>
                <c:formatCode>General</c:formatCode>
                <c:ptCount val="6"/>
                <c:pt idx="0">
                  <c:v>2016</c:v>
                </c:pt>
                <c:pt idx="1">
                  <c:v>2017</c:v>
                </c:pt>
                <c:pt idx="2">
                  <c:v>2018</c:v>
                </c:pt>
                <c:pt idx="3">
                  <c:v>2019</c:v>
                </c:pt>
                <c:pt idx="4">
                  <c:v>2020</c:v>
                </c:pt>
                <c:pt idx="5">
                  <c:v>2021</c:v>
                </c:pt>
              </c:numCache>
            </c:numRef>
          </c:cat>
          <c:val>
            <c:numRef>
              <c:f>Sheet1!$D$2:$D$7</c:f>
              <c:numCache>
                <c:formatCode>0.0</c:formatCode>
                <c:ptCount val="6"/>
                <c:pt idx="0">
                  <c:v>96.1</c:v>
                </c:pt>
                <c:pt idx="1">
                  <c:v>96.5</c:v>
                </c:pt>
                <c:pt idx="2">
                  <c:v>96</c:v>
                </c:pt>
                <c:pt idx="3">
                  <c:v>98.7</c:v>
                </c:pt>
                <c:pt idx="4">
                  <c:v>99.4</c:v>
                </c:pt>
                <c:pt idx="5">
                  <c:v>99.4</c:v>
                </c:pt>
              </c:numCache>
            </c:numRef>
          </c:val>
          <c:smooth val="0"/>
          <c:extLst>
            <c:ext xmlns:c16="http://schemas.microsoft.com/office/drawing/2014/chart" uri="{C3380CC4-5D6E-409C-BE32-E72D297353CC}">
              <c16:uniqueId val="{0000001E-4572-46DA-A707-0721BDBB0D3F}"/>
            </c:ext>
          </c:extLst>
        </c:ser>
        <c:dLbls>
          <c:showLegendKey val="0"/>
          <c:showVal val="0"/>
          <c:showCatName val="0"/>
          <c:showSerName val="0"/>
          <c:showPercent val="0"/>
          <c:showBubbleSize val="0"/>
        </c:dLbls>
        <c:marker val="1"/>
        <c:smooth val="0"/>
        <c:axId val="145810176"/>
        <c:axId val="145812096"/>
      </c:lineChart>
      <c:catAx>
        <c:axId val="1458101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out"/>
        <c:minorTickMark val="none"/>
        <c:tickLblPos val="nextTo"/>
        <c:txPr>
          <a:bodyPr/>
          <a:lstStyle/>
          <a:p>
            <a:pPr>
              <a:defRPr lang="en-GB"/>
            </a:pPr>
            <a:endParaRPr lang="ar-SA"/>
          </a:p>
        </c:txPr>
        <c:crossAx val="145812096"/>
        <c:crosses val="autoZero"/>
        <c:auto val="1"/>
        <c:lblAlgn val="ctr"/>
        <c:lblOffset val="100"/>
        <c:noMultiLvlLbl val="0"/>
      </c:catAx>
      <c:valAx>
        <c:axId val="145812096"/>
        <c:scaling>
          <c:orientation val="minMax"/>
          <c:max val="100"/>
          <c:min val="4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txPr>
          <a:bodyPr/>
          <a:lstStyle/>
          <a:p>
            <a:pPr>
              <a:defRPr lang="en-GB"/>
            </a:pPr>
            <a:endParaRPr lang="ar-SA"/>
          </a:p>
        </c:txPr>
        <c:crossAx val="145810176"/>
        <c:crosses val="autoZero"/>
        <c:crossBetween val="between"/>
        <c:majorUnit val="20"/>
      </c:valAx>
    </c:plotArea>
    <c:legend>
      <c:legendPos val="t"/>
      <c:layout>
        <c:manualLayout>
          <c:xMode val="edge"/>
          <c:yMode val="edge"/>
          <c:x val="0.25640365266841625"/>
          <c:y val="3.1838684001061289E-2"/>
          <c:w val="0.65848880869058157"/>
          <c:h val="8.4635327986495854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037037037037052E-2"/>
          <c:y val="0.12779552715654952"/>
          <c:w val="0.87824074074074054"/>
          <c:h val="0.72127795527156569"/>
        </c:manualLayout>
      </c:layout>
      <c:lineChart>
        <c:grouping val="standard"/>
        <c:varyColors val="0"/>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dLbl>
              <c:idx val="3"/>
              <c:layout>
                <c:manualLayout>
                  <c:x val="-4.2262868183143863E-2"/>
                  <c:y val="-8.913354806355054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7A0-46A6-BBEE-50F5BFB2A7F9}"/>
                </c:ext>
              </c:extLst>
            </c:dLbl>
            <c:dLbl>
              <c:idx val="8"/>
              <c:layout>
                <c:manualLayout>
                  <c:x val="-4.2262868183143773E-2"/>
                  <c:y val="7.5546902661988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7A0-46A6-BBEE-50F5BFB2A7F9}"/>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98.1</c:v>
                </c:pt>
                <c:pt idx="1">
                  <c:v>98.9</c:v>
                </c:pt>
                <c:pt idx="2">
                  <c:v>88.8</c:v>
                </c:pt>
                <c:pt idx="3">
                  <c:v>95.3</c:v>
                </c:pt>
                <c:pt idx="4">
                  <c:v>94.6</c:v>
                </c:pt>
                <c:pt idx="5">
                  <c:v>95.8</c:v>
                </c:pt>
                <c:pt idx="6">
                  <c:v>91.5</c:v>
                </c:pt>
              </c:numCache>
            </c:numRef>
          </c:val>
          <c:smooth val="0"/>
          <c:extLst>
            <c:ext xmlns:c16="http://schemas.microsoft.com/office/drawing/2014/chart" uri="{C3380CC4-5D6E-409C-BE32-E72D297353CC}">
              <c16:uniqueId val="{00000002-17A0-46A6-BBEE-50F5BFB2A7F9}"/>
            </c:ext>
          </c:extLst>
        </c:ser>
        <c:dLbls>
          <c:showLegendKey val="0"/>
          <c:showVal val="0"/>
          <c:showCatName val="0"/>
          <c:showSerName val="0"/>
          <c:showPercent val="0"/>
          <c:showBubbleSize val="0"/>
        </c:dLbls>
        <c:marker val="1"/>
        <c:smooth val="0"/>
        <c:axId val="148762624"/>
        <c:axId val="148764544"/>
      </c:lineChart>
      <c:catAx>
        <c:axId val="1487626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out"/>
        <c:minorTickMark val="none"/>
        <c:tickLblPos val="nextTo"/>
        <c:txPr>
          <a:bodyPr/>
          <a:lstStyle/>
          <a:p>
            <a:pPr>
              <a:defRPr lang="en-GB"/>
            </a:pPr>
            <a:endParaRPr lang="ar-SA"/>
          </a:p>
        </c:txPr>
        <c:crossAx val="148764544"/>
        <c:crosses val="autoZero"/>
        <c:auto val="1"/>
        <c:lblAlgn val="ctr"/>
        <c:lblOffset val="100"/>
        <c:noMultiLvlLbl val="0"/>
      </c:catAx>
      <c:valAx>
        <c:axId val="148764544"/>
        <c:scaling>
          <c:orientation val="minMax"/>
          <c:min val="8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manualLayout>
              <c:xMode val="edge"/>
              <c:yMode val="edge"/>
              <c:x val="1.3888888888888907E-2"/>
              <c:y val="0.27908933108601047"/>
            </c:manualLayout>
          </c:layout>
          <c:overlay val="0"/>
        </c:title>
        <c:numFmt formatCode="0" sourceLinked="0"/>
        <c:majorTickMark val="out"/>
        <c:minorTickMark val="none"/>
        <c:tickLblPos val="nextTo"/>
        <c:txPr>
          <a:bodyPr/>
          <a:lstStyle/>
          <a:p>
            <a:pPr>
              <a:defRPr lang="en-GB"/>
            </a:pPr>
            <a:endParaRPr lang="ar-SA"/>
          </a:p>
        </c:txPr>
        <c:crossAx val="148762624"/>
        <c:crosses val="autoZero"/>
        <c:crossBetween val="between"/>
        <c:majorUnit val="5"/>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296296296296421E-2"/>
          <c:y val="0.18914267449123931"/>
          <c:w val="0.88749999999999951"/>
          <c:h val="0.66077135688365296"/>
        </c:manualLayout>
      </c:layout>
      <c:lineChart>
        <c:grouping val="standard"/>
        <c:varyColors val="0"/>
        <c:ser>
          <c:idx val="0"/>
          <c:order val="0"/>
          <c:tx>
            <c:strRef>
              <c:f>Sheet1!$B$1</c:f>
              <c:strCache>
                <c:ptCount val="1"/>
                <c:pt idx="0">
                  <c:v>primary</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0-9153-41E9-8B99-7CE40A045090}"/>
                </c:ext>
              </c:extLst>
            </c:dLbl>
            <c:dLbl>
              <c:idx val="2"/>
              <c:delete val="1"/>
              <c:extLst>
                <c:ext xmlns:c15="http://schemas.microsoft.com/office/drawing/2012/chart" uri="{CE6537A1-D6FC-4f65-9D91-7224C49458BB}"/>
                <c:ext xmlns:c16="http://schemas.microsoft.com/office/drawing/2014/chart" uri="{C3380CC4-5D6E-409C-BE32-E72D297353CC}">
                  <c16:uniqueId val="{00000001-9153-41E9-8B99-7CE40A045090}"/>
                </c:ext>
              </c:extLst>
            </c:dLbl>
            <c:dLbl>
              <c:idx val="3"/>
              <c:delete val="1"/>
              <c:extLst>
                <c:ext xmlns:c15="http://schemas.microsoft.com/office/drawing/2012/chart" uri="{CE6537A1-D6FC-4f65-9D91-7224C49458BB}"/>
                <c:ext xmlns:c16="http://schemas.microsoft.com/office/drawing/2014/chart" uri="{C3380CC4-5D6E-409C-BE32-E72D297353CC}">
                  <c16:uniqueId val="{00000002-9153-41E9-8B99-7CE40A045090}"/>
                </c:ext>
              </c:extLst>
            </c:dLbl>
            <c:dLbl>
              <c:idx val="4"/>
              <c:delete val="1"/>
              <c:extLst>
                <c:ext xmlns:c15="http://schemas.microsoft.com/office/drawing/2012/chart" uri="{CE6537A1-D6FC-4f65-9D91-7224C49458BB}"/>
                <c:ext xmlns:c16="http://schemas.microsoft.com/office/drawing/2014/chart" uri="{C3380CC4-5D6E-409C-BE32-E72D297353CC}">
                  <c16:uniqueId val="{00000003-9153-41E9-8B99-7CE40A045090}"/>
                </c:ext>
              </c:extLst>
            </c:dLbl>
            <c:dLbl>
              <c:idx val="5"/>
              <c:layout/>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153-41E9-8B99-7CE40A045090}"/>
                </c:ext>
              </c:extLst>
            </c:dLbl>
            <c:dLbl>
              <c:idx val="6"/>
              <c:delete val="1"/>
              <c:extLst>
                <c:ext xmlns:c15="http://schemas.microsoft.com/office/drawing/2012/chart" uri="{CE6537A1-D6FC-4f65-9D91-7224C49458BB}"/>
                <c:ext xmlns:c16="http://schemas.microsoft.com/office/drawing/2014/chart" uri="{C3380CC4-5D6E-409C-BE32-E72D297353CC}">
                  <c16:uniqueId val="{00000005-9153-41E9-8B99-7CE40A045090}"/>
                </c:ext>
              </c:extLst>
            </c:dLbl>
            <c:dLbl>
              <c:idx val="7"/>
              <c:delete val="1"/>
              <c:extLst>
                <c:ext xmlns:c15="http://schemas.microsoft.com/office/drawing/2012/chart" uri="{CE6537A1-D6FC-4f65-9D91-7224C49458BB}"/>
                <c:ext xmlns:c16="http://schemas.microsoft.com/office/drawing/2014/chart" uri="{C3380CC4-5D6E-409C-BE32-E72D297353CC}">
                  <c16:uniqueId val="{00000006-9153-41E9-8B99-7CE40A045090}"/>
                </c:ext>
              </c:extLst>
            </c:dLbl>
            <c:dLbl>
              <c:idx val="8"/>
              <c:delete val="1"/>
              <c:extLst>
                <c:ext xmlns:c15="http://schemas.microsoft.com/office/drawing/2012/chart" uri="{CE6537A1-D6FC-4f65-9D91-7224C49458BB}"/>
                <c:ext xmlns:c16="http://schemas.microsoft.com/office/drawing/2014/chart" uri="{C3380CC4-5D6E-409C-BE32-E72D297353CC}">
                  <c16:uniqueId val="{00000007-9153-41E9-8B99-7CE40A045090}"/>
                </c:ext>
              </c:extLst>
            </c:dLbl>
            <c:dLbl>
              <c:idx val="9"/>
              <c:delete val="1"/>
              <c:extLst>
                <c:ext xmlns:c15="http://schemas.microsoft.com/office/drawing/2012/chart" uri="{CE6537A1-D6FC-4f65-9D91-7224C49458BB}"/>
                <c:ext xmlns:c16="http://schemas.microsoft.com/office/drawing/2014/chart" uri="{C3380CC4-5D6E-409C-BE32-E72D297353CC}">
                  <c16:uniqueId val="{00000008-9153-41E9-8B99-7CE40A045090}"/>
                </c:ext>
              </c:extLst>
            </c:dLbl>
            <c:dLbl>
              <c:idx val="10"/>
              <c:delete val="1"/>
              <c:extLst>
                <c:ext xmlns:c15="http://schemas.microsoft.com/office/drawing/2012/chart" uri="{CE6537A1-D6FC-4f65-9D91-7224C49458BB}"/>
                <c:ext xmlns:c16="http://schemas.microsoft.com/office/drawing/2014/chart" uri="{C3380CC4-5D6E-409C-BE32-E72D297353CC}">
                  <c16:uniqueId val="{00000000-49C0-415F-BFE0-928A9D7045FB}"/>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96.5</c:v>
                </c:pt>
                <c:pt idx="1">
                  <c:v>95.9</c:v>
                </c:pt>
                <c:pt idx="2">
                  <c:v>75</c:v>
                </c:pt>
                <c:pt idx="3">
                  <c:v>86.1</c:v>
                </c:pt>
                <c:pt idx="4">
                  <c:v>83.5</c:v>
                </c:pt>
                <c:pt idx="5">
                  <c:v>87.4</c:v>
                </c:pt>
                <c:pt idx="6">
                  <c:v>90</c:v>
                </c:pt>
              </c:numCache>
            </c:numRef>
          </c:val>
          <c:smooth val="0"/>
          <c:extLst>
            <c:ext xmlns:c16="http://schemas.microsoft.com/office/drawing/2014/chart" uri="{C3380CC4-5D6E-409C-BE32-E72D297353CC}">
              <c16:uniqueId val="{00000009-9153-41E9-8B99-7CE40A045090}"/>
            </c:ext>
          </c:extLst>
        </c:ser>
        <c:ser>
          <c:idx val="1"/>
          <c:order val="1"/>
          <c:tx>
            <c:strRef>
              <c:f>Sheet1!$C$1</c:f>
              <c:strCache>
                <c:ptCount val="1"/>
                <c:pt idx="0">
                  <c:v>lower secondary</c:v>
                </c:pt>
              </c:strCache>
            </c:strRef>
          </c:tx>
          <c:spPr>
            <a:ln>
              <a:solidFill>
                <a:srgbClr val="C0504D">
                  <a:lumMod val="50000"/>
                </a:srgbClr>
              </a:solidFill>
            </a:ln>
          </c:spPr>
          <c:marker>
            <c:spPr>
              <a:ln>
                <a:solidFill>
                  <a:srgbClr val="C0504D">
                    <a:lumMod val="50000"/>
                  </a:srgbClr>
                </a:solidFill>
              </a:ln>
            </c:spPr>
          </c:marker>
          <c:dLbls>
            <c:dLbl>
              <c:idx val="0"/>
              <c:layout>
                <c:manualLayout>
                  <c:x val="-7.8148148148148147E-2"/>
                  <c:y val="-4.867349262424712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9153-41E9-8B99-7CE40A045090}"/>
                </c:ext>
              </c:extLst>
            </c:dLbl>
            <c:dLbl>
              <c:idx val="1"/>
              <c:delete val="1"/>
              <c:extLst>
                <c:ext xmlns:c15="http://schemas.microsoft.com/office/drawing/2012/chart" uri="{CE6537A1-D6FC-4f65-9D91-7224C49458BB}"/>
                <c:ext xmlns:c16="http://schemas.microsoft.com/office/drawing/2014/chart" uri="{C3380CC4-5D6E-409C-BE32-E72D297353CC}">
                  <c16:uniqueId val="{0000000B-9153-41E9-8B99-7CE40A045090}"/>
                </c:ext>
              </c:extLst>
            </c:dLbl>
            <c:dLbl>
              <c:idx val="2"/>
              <c:delete val="1"/>
              <c:extLst>
                <c:ext xmlns:c15="http://schemas.microsoft.com/office/drawing/2012/chart" uri="{CE6537A1-D6FC-4f65-9D91-7224C49458BB}"/>
                <c:ext xmlns:c16="http://schemas.microsoft.com/office/drawing/2014/chart" uri="{C3380CC4-5D6E-409C-BE32-E72D297353CC}">
                  <c16:uniqueId val="{0000000C-9153-41E9-8B99-7CE40A045090}"/>
                </c:ext>
              </c:extLst>
            </c:dLbl>
            <c:dLbl>
              <c:idx val="3"/>
              <c:delete val="1"/>
              <c:extLst>
                <c:ext xmlns:c15="http://schemas.microsoft.com/office/drawing/2012/chart" uri="{CE6537A1-D6FC-4f65-9D91-7224C49458BB}"/>
                <c:ext xmlns:c16="http://schemas.microsoft.com/office/drawing/2014/chart" uri="{C3380CC4-5D6E-409C-BE32-E72D297353CC}">
                  <c16:uniqueId val="{0000000D-9153-41E9-8B99-7CE40A045090}"/>
                </c:ext>
              </c:extLst>
            </c:dLbl>
            <c:dLbl>
              <c:idx val="4"/>
              <c:delete val="1"/>
              <c:extLst>
                <c:ext xmlns:c15="http://schemas.microsoft.com/office/drawing/2012/chart" uri="{CE6537A1-D6FC-4f65-9D91-7224C49458BB}"/>
                <c:ext xmlns:c16="http://schemas.microsoft.com/office/drawing/2014/chart" uri="{C3380CC4-5D6E-409C-BE32-E72D297353CC}">
                  <c16:uniqueId val="{0000000E-9153-41E9-8B99-7CE40A045090}"/>
                </c:ext>
              </c:extLst>
            </c:dLbl>
            <c:dLbl>
              <c:idx val="5"/>
              <c:layout>
                <c:manualLayout>
                  <c:x val="-5.2258311461067363E-3"/>
                  <c:y val="4.3909807108550277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9153-41E9-8B99-7CE40A045090}"/>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c:v>100</c:v>
                </c:pt>
                <c:pt idx="1">
                  <c:v>99.6</c:v>
                </c:pt>
                <c:pt idx="2">
                  <c:v>93.2</c:v>
                </c:pt>
                <c:pt idx="3">
                  <c:v>95.6</c:v>
                </c:pt>
                <c:pt idx="4">
                  <c:v>95.2</c:v>
                </c:pt>
                <c:pt idx="5">
                  <c:v>96.5</c:v>
                </c:pt>
                <c:pt idx="6">
                  <c:v>94.1</c:v>
                </c:pt>
              </c:numCache>
            </c:numRef>
          </c:val>
          <c:smooth val="0"/>
          <c:extLst>
            <c:ext xmlns:c16="http://schemas.microsoft.com/office/drawing/2014/chart" uri="{C3380CC4-5D6E-409C-BE32-E72D297353CC}">
              <c16:uniqueId val="{00000014-9153-41E9-8B99-7CE40A045090}"/>
            </c:ext>
          </c:extLst>
        </c:ser>
        <c:ser>
          <c:idx val="2"/>
          <c:order val="2"/>
          <c:tx>
            <c:strRef>
              <c:f>Sheet1!$D$1</c:f>
              <c:strCache>
                <c:ptCount val="1"/>
                <c:pt idx="0">
                  <c:v>upper secondary </c:v>
                </c:pt>
              </c:strCache>
            </c:strRef>
          </c:tx>
          <c:dLbls>
            <c:dLbl>
              <c:idx val="0"/>
              <c:layout>
                <c:manualLayout>
                  <c:x val="-7.0040645960921577E-2"/>
                  <c:y val="-6.2219139561654263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ECB-4646-91A2-E0905045B769}"/>
                </c:ext>
              </c:extLst>
            </c:dLbl>
            <c:dLbl>
              <c:idx val="1"/>
              <c:delete val="1"/>
              <c:extLst>
                <c:ext xmlns:c15="http://schemas.microsoft.com/office/drawing/2012/chart" uri="{CE6537A1-D6FC-4f65-9D91-7224C49458BB}"/>
                <c:ext xmlns:c16="http://schemas.microsoft.com/office/drawing/2014/chart" uri="{C3380CC4-5D6E-409C-BE32-E72D297353CC}">
                  <c16:uniqueId val="{00000015-9153-41E9-8B99-7CE40A045090}"/>
                </c:ext>
              </c:extLst>
            </c:dLbl>
            <c:dLbl>
              <c:idx val="2"/>
              <c:delete val="1"/>
              <c:extLst>
                <c:ext xmlns:c15="http://schemas.microsoft.com/office/drawing/2012/chart" uri="{CE6537A1-D6FC-4f65-9D91-7224C49458BB}"/>
                <c:ext xmlns:c16="http://schemas.microsoft.com/office/drawing/2014/chart" uri="{C3380CC4-5D6E-409C-BE32-E72D297353CC}">
                  <c16:uniqueId val="{00000016-9153-41E9-8B99-7CE40A045090}"/>
                </c:ext>
              </c:extLst>
            </c:dLbl>
            <c:dLbl>
              <c:idx val="3"/>
              <c:delete val="1"/>
              <c:extLst>
                <c:ext xmlns:c15="http://schemas.microsoft.com/office/drawing/2012/chart" uri="{CE6537A1-D6FC-4f65-9D91-7224C49458BB}"/>
                <c:ext xmlns:c16="http://schemas.microsoft.com/office/drawing/2014/chart" uri="{C3380CC4-5D6E-409C-BE32-E72D297353CC}">
                  <c16:uniqueId val="{00000017-9153-41E9-8B99-7CE40A045090}"/>
                </c:ext>
              </c:extLst>
            </c:dLbl>
            <c:dLbl>
              <c:idx val="4"/>
              <c:delete val="1"/>
              <c:extLst>
                <c:ext xmlns:c15="http://schemas.microsoft.com/office/drawing/2012/chart" uri="{CE6537A1-D6FC-4f65-9D91-7224C49458BB}"/>
                <c:ext xmlns:c16="http://schemas.microsoft.com/office/drawing/2014/chart" uri="{C3380CC4-5D6E-409C-BE32-E72D297353CC}">
                  <c16:uniqueId val="{00000018-9153-41E9-8B99-7CE40A045090}"/>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0.0</c:formatCode>
                <c:ptCount val="7"/>
                <c:pt idx="0">
                  <c:v>97.7</c:v>
                </c:pt>
                <c:pt idx="1">
                  <c:v>99.6</c:v>
                </c:pt>
                <c:pt idx="2">
                  <c:v>98.7</c:v>
                </c:pt>
                <c:pt idx="3">
                  <c:v>98.7</c:v>
                </c:pt>
                <c:pt idx="4">
                  <c:v>98.7</c:v>
                </c:pt>
                <c:pt idx="5">
                  <c:v>97.9</c:v>
                </c:pt>
                <c:pt idx="6">
                  <c:v>96.5</c:v>
                </c:pt>
              </c:numCache>
            </c:numRef>
          </c:val>
          <c:smooth val="0"/>
          <c:extLst>
            <c:ext xmlns:c16="http://schemas.microsoft.com/office/drawing/2014/chart" uri="{C3380CC4-5D6E-409C-BE32-E72D297353CC}">
              <c16:uniqueId val="{0000001E-9153-41E9-8B99-7CE40A045090}"/>
            </c:ext>
          </c:extLst>
        </c:ser>
        <c:dLbls>
          <c:showLegendKey val="0"/>
          <c:showVal val="0"/>
          <c:showCatName val="0"/>
          <c:showSerName val="0"/>
          <c:showPercent val="0"/>
          <c:showBubbleSize val="0"/>
        </c:dLbls>
        <c:marker val="1"/>
        <c:smooth val="0"/>
        <c:axId val="148825600"/>
        <c:axId val="148827520"/>
      </c:lineChart>
      <c:catAx>
        <c:axId val="14882560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out"/>
        <c:minorTickMark val="none"/>
        <c:tickLblPos val="nextTo"/>
        <c:txPr>
          <a:bodyPr/>
          <a:lstStyle/>
          <a:p>
            <a:pPr>
              <a:defRPr lang="en-GB"/>
            </a:pPr>
            <a:endParaRPr lang="ar-SA"/>
          </a:p>
        </c:txPr>
        <c:crossAx val="148827520"/>
        <c:crosses val="autoZero"/>
        <c:auto val="1"/>
        <c:lblAlgn val="ctr"/>
        <c:lblOffset val="100"/>
        <c:noMultiLvlLbl val="0"/>
      </c:catAx>
      <c:valAx>
        <c:axId val="148827520"/>
        <c:scaling>
          <c:orientation val="minMax"/>
          <c:max val="100"/>
          <c:min val="7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manualLayout>
              <c:xMode val="edge"/>
              <c:yMode val="edge"/>
              <c:x val="4.6296296296296337E-3"/>
              <c:y val="0.40669991204668005"/>
            </c:manualLayout>
          </c:layout>
          <c:overlay val="0"/>
        </c:title>
        <c:numFmt formatCode="0" sourceLinked="0"/>
        <c:majorTickMark val="out"/>
        <c:minorTickMark val="none"/>
        <c:tickLblPos val="nextTo"/>
        <c:txPr>
          <a:bodyPr/>
          <a:lstStyle/>
          <a:p>
            <a:pPr>
              <a:defRPr lang="en-GB"/>
            </a:pPr>
            <a:endParaRPr lang="ar-SA"/>
          </a:p>
        </c:txPr>
        <c:crossAx val="148825600"/>
        <c:crosses val="autoZero"/>
        <c:crossBetween val="between"/>
        <c:majorUnit val="10"/>
      </c:valAx>
    </c:plotArea>
    <c:legend>
      <c:legendPos val="t"/>
      <c:layout>
        <c:manualLayout>
          <c:xMode val="edge"/>
          <c:yMode val="edge"/>
          <c:x val="0.19853328229804609"/>
          <c:y val="2.6532236667551092E-2"/>
          <c:w val="0.65848880869058157"/>
          <c:h val="8.4635327986495854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4722222222222224E-2"/>
                  <c:y val="-5.57880055788005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110-480F-BC7F-EA99C6920C81}"/>
                </c:ext>
              </c:extLst>
            </c:dLbl>
            <c:dLbl>
              <c:idx val="1"/>
              <c:layout>
                <c:manualLayout>
                  <c:x val="-2.083333333333336E-2"/>
                  <c:y val="6.136680613668067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110-480F-BC7F-EA99C6920C81}"/>
                </c:ext>
              </c:extLst>
            </c:dLbl>
            <c:dLbl>
              <c:idx val="2"/>
              <c:layout>
                <c:manualLayout>
                  <c:x val="-3.2407407407407489E-2"/>
                  <c:y val="-5.57880055788005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110-480F-BC7F-EA99C6920C81}"/>
                </c:ext>
              </c:extLst>
            </c:dLbl>
            <c:dLbl>
              <c:idx val="3"/>
              <c:layout>
                <c:manualLayout>
                  <c:x val="-3.4722222222222224E-2"/>
                  <c:y val="5.02092050209204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110-480F-BC7F-EA99C6920C81}"/>
                </c:ext>
              </c:extLst>
            </c:dLbl>
            <c:dLbl>
              <c:idx val="4"/>
              <c:layout>
                <c:manualLayout>
                  <c:x val="-2.7777777777777832E-2"/>
                  <c:y val="-5.02092050209204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110-480F-BC7F-EA99C6920C81}"/>
                </c:ext>
              </c:extLst>
            </c:dLbl>
            <c:dLbl>
              <c:idx val="5"/>
              <c:layout>
                <c:manualLayout>
                  <c:x val="-3.2407407407407447E-2"/>
                  <c:y val="-5.02092050209204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110-480F-BC7F-EA99C6920C81}"/>
                </c:ext>
              </c:extLst>
            </c:dLbl>
            <c:dLbl>
              <c:idx val="6"/>
              <c:layout>
                <c:manualLayout>
                  <c:x val="-4.1666666666666664E-2"/>
                  <c:y val="4.46304044630404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110-480F-BC7F-EA99C6920C81}"/>
                </c:ext>
              </c:extLst>
            </c:dLbl>
            <c:dLbl>
              <c:idx val="7"/>
              <c:layout>
                <c:manualLayout>
                  <c:x val="-3.2407407407407447E-2"/>
                  <c:y val="5.02092050209204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110-480F-BC7F-EA99C6920C8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65.400000000000006</c:v>
                </c:pt>
                <c:pt idx="1">
                  <c:v>71.2</c:v>
                </c:pt>
                <c:pt idx="2">
                  <c:v>66.8</c:v>
                </c:pt>
                <c:pt idx="3">
                  <c:v>72.5</c:v>
                </c:pt>
                <c:pt idx="4">
                  <c:v>68.400000000000006</c:v>
                </c:pt>
                <c:pt idx="5">
                  <c:v>70.099999999999994</c:v>
                </c:pt>
                <c:pt idx="6">
                  <c:v>71.2</c:v>
                </c:pt>
              </c:numCache>
            </c:numRef>
          </c:val>
          <c:smooth val="0"/>
          <c:extLst>
            <c:ext xmlns:c16="http://schemas.microsoft.com/office/drawing/2014/chart" uri="{C3380CC4-5D6E-409C-BE32-E72D297353CC}">
              <c16:uniqueId val="{00000008-9110-480F-BC7F-EA99C6920C81}"/>
            </c:ext>
          </c:extLst>
        </c:ser>
        <c:dLbls>
          <c:showLegendKey val="0"/>
          <c:showVal val="0"/>
          <c:showCatName val="0"/>
          <c:showSerName val="0"/>
          <c:showPercent val="0"/>
          <c:showBubbleSize val="0"/>
        </c:dLbls>
        <c:marker val="1"/>
        <c:smooth val="0"/>
        <c:axId val="148917248"/>
        <c:axId val="148935808"/>
      </c:lineChart>
      <c:catAx>
        <c:axId val="1489172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a:t>
                </a:r>
              </a:p>
            </c:rich>
          </c:tx>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48935808"/>
        <c:crosses val="autoZero"/>
        <c:auto val="1"/>
        <c:lblAlgn val="ctr"/>
        <c:lblOffset val="100"/>
        <c:noMultiLvlLbl val="0"/>
      </c:catAx>
      <c:valAx>
        <c:axId val="14893580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endParaRPr lang="ar-SA" b="1"/>
              </a:p>
            </c:rich>
          </c:tx>
          <c:layout/>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48917248"/>
        <c:crosses val="autoZero"/>
        <c:crossBetween val="between"/>
        <c:majorUnit val="20"/>
      </c:valAx>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58"/>
          <c:w val="0.86203703703703705"/>
          <c:h val="0.66077142528711996"/>
        </c:manualLayout>
      </c:layout>
      <c:lineChart>
        <c:grouping val="standard"/>
        <c:varyColors val="0"/>
        <c:ser>
          <c:idx val="0"/>
          <c:order val="0"/>
          <c:tx>
            <c:strRef>
              <c:f>Sheet1!$B$1</c:f>
              <c:strCache>
                <c:ptCount val="1"/>
                <c:pt idx="0">
                  <c:v>primary</c:v>
                </c:pt>
              </c:strCache>
            </c:strRef>
          </c:tx>
          <c:dLbls>
            <c:dLbl>
              <c:idx val="0"/>
              <c:layout>
                <c:manualLayout>
                  <c:x val="-2.6059164479440098E-2"/>
                  <c:y val="6.459283462477777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1B20-4997-AF46-B04FB075C759}"/>
                </c:ext>
              </c:extLst>
            </c:dLbl>
            <c:dLbl>
              <c:idx val="1"/>
              <c:delete val="1"/>
              <c:extLst>
                <c:ext xmlns:c15="http://schemas.microsoft.com/office/drawing/2012/chart" uri="{CE6537A1-D6FC-4f65-9D91-7224C49458BB}"/>
                <c:ext xmlns:c16="http://schemas.microsoft.com/office/drawing/2014/chart" uri="{C3380CC4-5D6E-409C-BE32-E72D297353CC}">
                  <c16:uniqueId val="{00000002-1B20-4997-AF46-B04FB075C759}"/>
                </c:ext>
              </c:extLst>
            </c:dLbl>
            <c:dLbl>
              <c:idx val="2"/>
              <c:delete val="1"/>
              <c:extLst>
                <c:ext xmlns:c15="http://schemas.microsoft.com/office/drawing/2012/chart" uri="{CE6537A1-D6FC-4f65-9D91-7224C49458BB}"/>
                <c:ext xmlns:c16="http://schemas.microsoft.com/office/drawing/2014/chart" uri="{C3380CC4-5D6E-409C-BE32-E72D297353CC}">
                  <c16:uniqueId val="{00000005-1B20-4997-AF46-B04FB075C759}"/>
                </c:ext>
              </c:extLst>
            </c:dLbl>
            <c:dLbl>
              <c:idx val="3"/>
              <c:delete val="1"/>
              <c:extLst>
                <c:ext xmlns:c15="http://schemas.microsoft.com/office/drawing/2012/chart" uri="{CE6537A1-D6FC-4f65-9D91-7224C49458BB}"/>
                <c:ext xmlns:c16="http://schemas.microsoft.com/office/drawing/2014/chart" uri="{C3380CC4-5D6E-409C-BE32-E72D297353CC}">
                  <c16:uniqueId val="{00000008-1B20-4997-AF46-B04FB075C759}"/>
                </c:ext>
              </c:extLst>
            </c:dLbl>
            <c:dLbl>
              <c:idx val="4"/>
              <c:delete val="1"/>
              <c:extLst>
                <c:ext xmlns:c15="http://schemas.microsoft.com/office/drawing/2012/chart" uri="{CE6537A1-D6FC-4f65-9D91-7224C49458BB}"/>
                <c:ext xmlns:c16="http://schemas.microsoft.com/office/drawing/2014/chart" uri="{C3380CC4-5D6E-409C-BE32-E72D297353CC}">
                  <c16:uniqueId val="{0000000A-1B20-4997-AF46-B04FB075C759}"/>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53.9</c:v>
                </c:pt>
                <c:pt idx="1">
                  <c:v>58.6</c:v>
                </c:pt>
                <c:pt idx="2">
                  <c:v>55.6</c:v>
                </c:pt>
                <c:pt idx="3">
                  <c:v>59.4</c:v>
                </c:pt>
                <c:pt idx="4">
                  <c:v>57.1</c:v>
                </c:pt>
                <c:pt idx="5">
                  <c:v>58</c:v>
                </c:pt>
                <c:pt idx="6">
                  <c:v>66.2</c:v>
                </c:pt>
              </c:numCache>
            </c:numRef>
          </c:val>
          <c:smooth val="0"/>
          <c:extLst>
            <c:ext xmlns:c16="http://schemas.microsoft.com/office/drawing/2014/chart" uri="{C3380CC4-5D6E-409C-BE32-E72D297353CC}">
              <c16:uniqueId val="{00000000-7355-4B44-8266-B843F690CE0F}"/>
            </c:ext>
          </c:extLst>
        </c:ser>
        <c:ser>
          <c:idx val="1"/>
          <c:order val="1"/>
          <c:tx>
            <c:strRef>
              <c:f>Sheet1!$C$1</c:f>
              <c:strCache>
                <c:ptCount val="1"/>
                <c:pt idx="0">
                  <c:v>lower secondary</c:v>
                </c:pt>
              </c:strCache>
            </c:strRef>
          </c:tx>
          <c:spPr>
            <a:ln>
              <a:solidFill>
                <a:srgbClr val="C0504D">
                  <a:lumMod val="50000"/>
                </a:srgbClr>
              </a:solidFill>
            </a:ln>
          </c:spPr>
          <c:marker>
            <c:spPr>
              <a:ln>
                <a:solidFill>
                  <a:srgbClr val="C0504D">
                    <a:lumMod val="50000"/>
                  </a:srgbClr>
                </a:solidFill>
              </a:ln>
            </c:spPr>
          </c:marker>
          <c:dLbls>
            <c:dLbl>
              <c:idx val="0"/>
              <c:layout>
                <c:manualLayout>
                  <c:x val="-8.1614720034995647E-2"/>
                  <c:y val="3.80605979572266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1B20-4997-AF46-B04FB075C759}"/>
                </c:ext>
              </c:extLst>
            </c:dLbl>
            <c:dLbl>
              <c:idx val="1"/>
              <c:delete val="1"/>
              <c:extLst>
                <c:ext xmlns:c15="http://schemas.microsoft.com/office/drawing/2012/chart" uri="{CE6537A1-D6FC-4f65-9D91-7224C49458BB}"/>
                <c:ext xmlns:c16="http://schemas.microsoft.com/office/drawing/2014/chart" uri="{C3380CC4-5D6E-409C-BE32-E72D297353CC}">
                  <c16:uniqueId val="{00000001-1B20-4997-AF46-B04FB075C759}"/>
                </c:ext>
              </c:extLst>
            </c:dLbl>
            <c:dLbl>
              <c:idx val="2"/>
              <c:delete val="1"/>
              <c:extLst>
                <c:ext xmlns:c15="http://schemas.microsoft.com/office/drawing/2012/chart" uri="{CE6537A1-D6FC-4f65-9D91-7224C49458BB}"/>
                <c:ext xmlns:c16="http://schemas.microsoft.com/office/drawing/2014/chart" uri="{C3380CC4-5D6E-409C-BE32-E72D297353CC}">
                  <c16:uniqueId val="{00000004-1B20-4997-AF46-B04FB075C759}"/>
                </c:ext>
              </c:extLst>
            </c:dLbl>
            <c:dLbl>
              <c:idx val="3"/>
              <c:delete val="1"/>
              <c:extLst>
                <c:ext xmlns:c15="http://schemas.microsoft.com/office/drawing/2012/chart" uri="{CE6537A1-D6FC-4f65-9D91-7224C49458BB}"/>
                <c:ext xmlns:c16="http://schemas.microsoft.com/office/drawing/2014/chart" uri="{C3380CC4-5D6E-409C-BE32-E72D297353CC}">
                  <c16:uniqueId val="{00000007-1B20-4997-AF46-B04FB075C759}"/>
                </c:ext>
              </c:extLst>
            </c:dLbl>
            <c:dLbl>
              <c:idx val="4"/>
              <c:delete val="1"/>
              <c:extLst>
                <c:ext xmlns:c15="http://schemas.microsoft.com/office/drawing/2012/chart" uri="{CE6537A1-D6FC-4f65-9D91-7224C49458BB}"/>
                <c:ext xmlns:c16="http://schemas.microsoft.com/office/drawing/2014/chart" uri="{C3380CC4-5D6E-409C-BE32-E72D297353CC}">
                  <c16:uniqueId val="{00000009-1B20-4997-AF46-B04FB075C759}"/>
                </c:ext>
              </c:extLst>
            </c:dLbl>
            <c:dLbl>
              <c:idx val="5"/>
              <c:layout>
                <c:manualLayout>
                  <c:x val="1.718613298337538E-3"/>
                  <c:y val="6.2219139561653525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1B20-4997-AF46-B04FB075C759}"/>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c:v>65.5</c:v>
                </c:pt>
                <c:pt idx="1">
                  <c:v>74</c:v>
                </c:pt>
                <c:pt idx="2">
                  <c:v>67.099999999999994</c:v>
                </c:pt>
                <c:pt idx="3">
                  <c:v>75.5</c:v>
                </c:pt>
                <c:pt idx="4">
                  <c:v>72.2</c:v>
                </c:pt>
                <c:pt idx="5">
                  <c:v>71.599999999999994</c:v>
                </c:pt>
                <c:pt idx="6">
                  <c:v>72.5</c:v>
                </c:pt>
              </c:numCache>
            </c:numRef>
          </c:val>
          <c:smooth val="0"/>
          <c:extLst>
            <c:ext xmlns:c16="http://schemas.microsoft.com/office/drawing/2014/chart" uri="{C3380CC4-5D6E-409C-BE32-E72D297353CC}">
              <c16:uniqueId val="{00000001-7355-4B44-8266-B843F690CE0F}"/>
            </c:ext>
          </c:extLst>
        </c:ser>
        <c:ser>
          <c:idx val="2"/>
          <c:order val="2"/>
          <c:tx>
            <c:strRef>
              <c:f>Sheet1!$D$1</c:f>
              <c:strCache>
                <c:ptCount val="1"/>
                <c:pt idx="0">
                  <c:v>upper secondary </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0-1B20-4997-AF46-B04FB075C759}"/>
                </c:ext>
              </c:extLst>
            </c:dLbl>
            <c:dLbl>
              <c:idx val="2"/>
              <c:delete val="1"/>
              <c:extLst>
                <c:ext xmlns:c15="http://schemas.microsoft.com/office/drawing/2012/chart" uri="{CE6537A1-D6FC-4f65-9D91-7224C49458BB}"/>
                <c:ext xmlns:c16="http://schemas.microsoft.com/office/drawing/2014/chart" uri="{C3380CC4-5D6E-409C-BE32-E72D297353CC}">
                  <c16:uniqueId val="{00000003-1B20-4997-AF46-B04FB075C759}"/>
                </c:ext>
              </c:extLst>
            </c:dLbl>
            <c:dLbl>
              <c:idx val="3"/>
              <c:delete val="1"/>
              <c:extLst>
                <c:ext xmlns:c15="http://schemas.microsoft.com/office/drawing/2012/chart" uri="{CE6537A1-D6FC-4f65-9D91-7224C49458BB}"/>
                <c:ext xmlns:c16="http://schemas.microsoft.com/office/drawing/2014/chart" uri="{C3380CC4-5D6E-409C-BE32-E72D297353CC}">
                  <c16:uniqueId val="{00000006-1B20-4997-AF46-B04FB075C759}"/>
                </c:ext>
              </c:extLst>
            </c:dLbl>
            <c:dLbl>
              <c:idx val="4"/>
              <c:delete val="1"/>
              <c:extLst>
                <c:ext xmlns:c15="http://schemas.microsoft.com/office/drawing/2012/chart" uri="{CE6537A1-D6FC-4f65-9D91-7224C49458BB}"/>
                <c:ext xmlns:c16="http://schemas.microsoft.com/office/drawing/2014/chart" uri="{C3380CC4-5D6E-409C-BE32-E72D297353CC}">
                  <c16:uniqueId val="{0000000B-1B20-4997-AF46-B04FB075C759}"/>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0.0</c:formatCode>
                <c:ptCount val="7"/>
                <c:pt idx="0">
                  <c:v>70.599999999999994</c:v>
                </c:pt>
                <c:pt idx="1">
                  <c:v>73</c:v>
                </c:pt>
                <c:pt idx="2">
                  <c:v>71.900000000000006</c:v>
                </c:pt>
                <c:pt idx="3">
                  <c:v>74.7</c:v>
                </c:pt>
                <c:pt idx="4">
                  <c:v>96.4</c:v>
                </c:pt>
                <c:pt idx="5">
                  <c:v>73.7</c:v>
                </c:pt>
                <c:pt idx="6">
                  <c:v>75.400000000000006</c:v>
                </c:pt>
              </c:numCache>
            </c:numRef>
          </c:val>
          <c:smooth val="0"/>
          <c:extLst>
            <c:ext xmlns:c16="http://schemas.microsoft.com/office/drawing/2014/chart" uri="{C3380CC4-5D6E-409C-BE32-E72D297353CC}">
              <c16:uniqueId val="{00000002-7355-4B44-8266-B843F690CE0F}"/>
            </c:ext>
          </c:extLst>
        </c:ser>
        <c:dLbls>
          <c:showLegendKey val="0"/>
          <c:showVal val="0"/>
          <c:showCatName val="0"/>
          <c:showSerName val="0"/>
          <c:showPercent val="0"/>
          <c:showBubbleSize val="0"/>
        </c:dLbls>
        <c:marker val="1"/>
        <c:smooth val="0"/>
        <c:axId val="149076224"/>
        <c:axId val="148980096"/>
      </c:lineChart>
      <c:catAx>
        <c:axId val="1490762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out"/>
        <c:minorTickMark val="none"/>
        <c:tickLblPos val="nextTo"/>
        <c:txPr>
          <a:bodyPr/>
          <a:lstStyle/>
          <a:p>
            <a:pPr>
              <a:defRPr lang="en-GB"/>
            </a:pPr>
            <a:endParaRPr lang="ar-SA"/>
          </a:p>
        </c:txPr>
        <c:crossAx val="148980096"/>
        <c:crosses val="autoZero"/>
        <c:auto val="1"/>
        <c:lblAlgn val="ctr"/>
        <c:lblOffset val="100"/>
        <c:noMultiLvlLbl val="0"/>
      </c:catAx>
      <c:valAx>
        <c:axId val="148980096"/>
        <c:scaling>
          <c:orientation val="minMax"/>
          <c:max val="100"/>
          <c:min val="4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txPr>
          <a:bodyPr/>
          <a:lstStyle/>
          <a:p>
            <a:pPr>
              <a:defRPr lang="en-GB"/>
            </a:pPr>
            <a:endParaRPr lang="ar-SA"/>
          </a:p>
        </c:txPr>
        <c:crossAx val="149076224"/>
        <c:crosses val="autoZero"/>
        <c:crossBetween val="between"/>
        <c:majorUnit val="10"/>
      </c:valAx>
    </c:plotArea>
    <c:legend>
      <c:legendPos val="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1.3289036544850519E-2"/>
                  <c:y val="5.88235294117647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3E7-4FD5-B049-AC81E0CC1FD9}"/>
                </c:ext>
              </c:extLst>
            </c:dLbl>
            <c:dLbl>
              <c:idx val="1"/>
              <c:layout>
                <c:manualLayout>
                  <c:x val="-1.550387596899227E-2"/>
                  <c:y val="-5.88235294117647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3E7-4FD5-B049-AC81E0CC1FD9}"/>
                </c:ext>
              </c:extLst>
            </c:dLbl>
            <c:dLbl>
              <c:idx val="2"/>
              <c:layout>
                <c:manualLayout>
                  <c:x val="-3.1007751937984541E-2"/>
                  <c:y val="-5.88235294117647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3E7-4FD5-B049-AC81E0CC1FD9}"/>
                </c:ext>
              </c:extLst>
            </c:dLbl>
            <c:dLbl>
              <c:idx val="3"/>
              <c:layout>
                <c:manualLayout>
                  <c:x val="-1.9933554817275777E-2"/>
                  <c:y val="-7.18954248366014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3E7-4FD5-B049-AC81E0CC1FD9}"/>
                </c:ext>
              </c:extLst>
            </c:dLbl>
            <c:dLbl>
              <c:idx val="4"/>
              <c:layout>
                <c:manualLayout>
                  <c:x val="-4.2081949058693308E-2"/>
                  <c:y val="-6.53594771241831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3E7-4FD5-B049-AC81E0CC1FD9}"/>
                </c:ext>
              </c:extLst>
            </c:dLbl>
            <c:dLbl>
              <c:idx val="5"/>
              <c:layout>
                <c:manualLayout>
                  <c:x val="-2.6578073089701022E-2"/>
                  <c:y val="-7.18954248366014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3E7-4FD5-B049-AC81E0CC1FD9}"/>
                </c:ext>
              </c:extLst>
            </c:dLbl>
            <c:dLbl>
              <c:idx val="6"/>
              <c:layout>
                <c:manualLayout>
                  <c:x val="-3.5437430786268112E-2"/>
                  <c:y val="-7.84313725490196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3E7-4FD5-B049-AC81E0CC1FD9}"/>
                </c:ext>
              </c:extLst>
            </c:dLbl>
            <c:dLbl>
              <c:idx val="7"/>
              <c:layout>
                <c:manualLayout>
                  <c:x val="-3.5437430786268029E-2"/>
                  <c:y val="6.53594771241830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3E7-4FD5-B049-AC81E0CC1FD9}"/>
                </c:ext>
              </c:extLst>
            </c:dLbl>
            <c:dLbl>
              <c:idx val="8"/>
              <c:layout>
                <c:manualLayout>
                  <c:x val="-3.3222591362126248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3E7-4FD5-B049-AC81E0CC1FD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98.8</c:v>
                </c:pt>
                <c:pt idx="1">
                  <c:v>98.6</c:v>
                </c:pt>
                <c:pt idx="2">
                  <c:v>99.2</c:v>
                </c:pt>
                <c:pt idx="3">
                  <c:v>99.6</c:v>
                </c:pt>
                <c:pt idx="4">
                  <c:v>98.9</c:v>
                </c:pt>
                <c:pt idx="5">
                  <c:v>99.5</c:v>
                </c:pt>
                <c:pt idx="6">
                  <c:v>99.4</c:v>
                </c:pt>
              </c:numCache>
            </c:numRef>
          </c:val>
          <c:smooth val="0"/>
          <c:extLst>
            <c:ext xmlns:c16="http://schemas.microsoft.com/office/drawing/2014/chart" uri="{C3380CC4-5D6E-409C-BE32-E72D297353CC}">
              <c16:uniqueId val="{00000009-73E7-4FD5-B049-AC81E0CC1FD9}"/>
            </c:ext>
          </c:extLst>
        </c:ser>
        <c:dLbls>
          <c:showLegendKey val="0"/>
          <c:showVal val="0"/>
          <c:showCatName val="0"/>
          <c:showSerName val="0"/>
          <c:showPercent val="0"/>
          <c:showBubbleSize val="0"/>
        </c:dLbls>
        <c:marker val="1"/>
        <c:smooth val="0"/>
        <c:axId val="149115264"/>
        <c:axId val="149117184"/>
      </c:lineChart>
      <c:catAx>
        <c:axId val="14911526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a:t>
                </a:r>
              </a:p>
            </c:rich>
          </c:tx>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49117184"/>
        <c:crosses val="autoZero"/>
        <c:auto val="1"/>
        <c:lblAlgn val="ctr"/>
        <c:lblOffset val="100"/>
        <c:noMultiLvlLbl val="0"/>
      </c:catAx>
      <c:valAx>
        <c:axId val="149117184"/>
        <c:scaling>
          <c:orientation val="minMax"/>
          <c:max val="120"/>
          <c:min val="8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p>
            </c:rich>
          </c:tx>
          <c:layout/>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49115264"/>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58"/>
          <c:w val="0.86203703703703705"/>
          <c:h val="0.66077142528711996"/>
        </c:manualLayout>
      </c:layout>
      <c:lineChart>
        <c:grouping val="standard"/>
        <c:varyColors val="0"/>
        <c:ser>
          <c:idx val="0"/>
          <c:order val="0"/>
          <c:tx>
            <c:strRef>
              <c:f>Sheet1!$B$1</c:f>
              <c:strCache>
                <c:ptCount val="1"/>
                <c:pt idx="0">
                  <c:v>primary</c:v>
                </c:pt>
              </c:strCache>
            </c:strRef>
          </c:tx>
          <c:dLbls>
            <c:dLbl>
              <c:idx val="0"/>
              <c:layout>
                <c:manualLayout>
                  <c:x val="-7.9299905220180808E-2"/>
                  <c:y val="-5.397993995775736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C7C-4962-9234-5E66C8397DD3}"/>
                </c:ext>
              </c:extLst>
            </c:dLbl>
            <c:dLbl>
              <c:idx val="1"/>
              <c:delete val="1"/>
              <c:extLst>
                <c:ext xmlns:c15="http://schemas.microsoft.com/office/drawing/2012/chart" uri="{CE6537A1-D6FC-4f65-9D91-7224C49458BB}"/>
                <c:ext xmlns:c16="http://schemas.microsoft.com/office/drawing/2014/chart" uri="{C3380CC4-5D6E-409C-BE32-E72D297353CC}">
                  <c16:uniqueId val="{00000001-EC7C-4962-9234-5E66C8397DD3}"/>
                </c:ext>
              </c:extLst>
            </c:dLbl>
            <c:dLbl>
              <c:idx val="2"/>
              <c:delete val="1"/>
              <c:extLst>
                <c:ext xmlns:c15="http://schemas.microsoft.com/office/drawing/2012/chart" uri="{CE6537A1-D6FC-4f65-9D91-7224C49458BB}"/>
                <c:ext xmlns:c16="http://schemas.microsoft.com/office/drawing/2014/chart" uri="{C3380CC4-5D6E-409C-BE32-E72D297353CC}">
                  <c16:uniqueId val="{00000002-EC7C-4962-9234-5E66C8397DD3}"/>
                </c:ext>
              </c:extLst>
            </c:dLbl>
            <c:dLbl>
              <c:idx val="3"/>
              <c:delete val="1"/>
              <c:extLst>
                <c:ext xmlns:c15="http://schemas.microsoft.com/office/drawing/2012/chart" uri="{CE6537A1-D6FC-4f65-9D91-7224C49458BB}"/>
                <c:ext xmlns:c16="http://schemas.microsoft.com/office/drawing/2014/chart" uri="{C3380CC4-5D6E-409C-BE32-E72D297353CC}">
                  <c16:uniqueId val="{00000003-EC7C-4962-9234-5E66C8397DD3}"/>
                </c:ext>
              </c:extLst>
            </c:dLbl>
            <c:dLbl>
              <c:idx val="4"/>
              <c:delete val="1"/>
              <c:extLst>
                <c:ext xmlns:c15="http://schemas.microsoft.com/office/drawing/2012/chart" uri="{CE6537A1-D6FC-4f65-9D91-7224C49458BB}"/>
                <c:ext xmlns:c16="http://schemas.microsoft.com/office/drawing/2014/chart" uri="{C3380CC4-5D6E-409C-BE32-E72D297353CC}">
                  <c16:uniqueId val="{00000004-EC7C-4962-9234-5E66C8397DD3}"/>
                </c:ext>
              </c:extLst>
            </c:dLbl>
            <c:dLbl>
              <c:idx val="5"/>
              <c:layout>
                <c:manualLayout>
                  <c:x val="-3.5318423738699325E-2"/>
                  <c:y val="7.868124337999801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C7C-4962-9234-5E66C8397DD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98.3</c:v>
                </c:pt>
                <c:pt idx="1">
                  <c:v>99.5</c:v>
                </c:pt>
                <c:pt idx="2">
                  <c:v>99.5</c:v>
                </c:pt>
                <c:pt idx="3">
                  <c:v>99.4</c:v>
                </c:pt>
                <c:pt idx="4">
                  <c:v>98.5</c:v>
                </c:pt>
                <c:pt idx="5">
                  <c:v>98.7</c:v>
                </c:pt>
                <c:pt idx="6">
                  <c:v>99.3</c:v>
                </c:pt>
              </c:numCache>
            </c:numRef>
          </c:val>
          <c:smooth val="0"/>
          <c:extLst>
            <c:ext xmlns:c16="http://schemas.microsoft.com/office/drawing/2014/chart" uri="{C3380CC4-5D6E-409C-BE32-E72D297353CC}">
              <c16:uniqueId val="{00000007-EC7C-4962-9234-5E66C8397DD3}"/>
            </c:ext>
          </c:extLst>
        </c:ser>
        <c:ser>
          <c:idx val="1"/>
          <c:order val="1"/>
          <c:tx>
            <c:strRef>
              <c:f>Sheet1!$C$1</c:f>
              <c:strCache>
                <c:ptCount val="1"/>
                <c:pt idx="0">
                  <c:v>lower secondary</c:v>
                </c:pt>
              </c:strCache>
            </c:strRef>
          </c:tx>
          <c:spPr>
            <a:ln>
              <a:solidFill>
                <a:srgbClr val="C0504D">
                  <a:lumMod val="50000"/>
                </a:srgbClr>
              </a:solidFill>
            </a:ln>
          </c:spPr>
          <c:marker>
            <c:spPr>
              <a:ln>
                <a:solidFill>
                  <a:srgbClr val="C0504D">
                    <a:lumMod val="5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8-EC7C-4962-9234-5E66C8397DD3}"/>
                </c:ext>
              </c:extLst>
            </c:dLbl>
            <c:dLbl>
              <c:idx val="2"/>
              <c:delete val="1"/>
              <c:extLst>
                <c:ext xmlns:c15="http://schemas.microsoft.com/office/drawing/2012/chart" uri="{CE6537A1-D6FC-4f65-9D91-7224C49458BB}"/>
                <c:ext xmlns:c16="http://schemas.microsoft.com/office/drawing/2014/chart" uri="{C3380CC4-5D6E-409C-BE32-E72D297353CC}">
                  <c16:uniqueId val="{00000009-EC7C-4962-9234-5E66C8397DD3}"/>
                </c:ext>
              </c:extLst>
            </c:dLbl>
            <c:dLbl>
              <c:idx val="3"/>
              <c:delete val="1"/>
              <c:extLst>
                <c:ext xmlns:c15="http://schemas.microsoft.com/office/drawing/2012/chart" uri="{CE6537A1-D6FC-4f65-9D91-7224C49458BB}"/>
                <c:ext xmlns:c16="http://schemas.microsoft.com/office/drawing/2014/chart" uri="{C3380CC4-5D6E-409C-BE32-E72D297353CC}">
                  <c16:uniqueId val="{0000000A-EC7C-4962-9234-5E66C8397DD3}"/>
                </c:ext>
              </c:extLst>
            </c:dLbl>
            <c:dLbl>
              <c:idx val="4"/>
              <c:delete val="1"/>
              <c:extLst>
                <c:ext xmlns:c15="http://schemas.microsoft.com/office/drawing/2012/chart" uri="{CE6537A1-D6FC-4f65-9D91-7224C49458BB}"/>
                <c:ext xmlns:c16="http://schemas.microsoft.com/office/drawing/2014/chart" uri="{C3380CC4-5D6E-409C-BE32-E72D297353CC}">
                  <c16:uniqueId val="{0000000B-EC7C-4962-9234-5E66C8397DD3}"/>
                </c:ext>
              </c:extLst>
            </c:dLbl>
            <c:dLbl>
              <c:idx val="5"/>
              <c:layout>
                <c:manualLayout>
                  <c:x val="-5.3240740740740741E-2"/>
                  <c:y val="-9.55160520031839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EC7C-4962-9234-5E66C8397DD3}"/>
                </c:ext>
              </c:extLst>
            </c:dLbl>
            <c:dLbl>
              <c:idx val="6"/>
              <c:delete val="1"/>
              <c:extLst>
                <c:ext xmlns:c15="http://schemas.microsoft.com/office/drawing/2012/chart" uri="{CE6537A1-D6FC-4f65-9D91-7224C49458BB}"/>
                <c:ext xmlns:c16="http://schemas.microsoft.com/office/drawing/2014/chart" uri="{C3380CC4-5D6E-409C-BE32-E72D297353CC}">
                  <c16:uniqueId val="{0000000D-EC7C-4962-9234-5E66C8397DD3}"/>
                </c:ext>
              </c:extLst>
            </c:dLbl>
            <c:dLbl>
              <c:idx val="7"/>
              <c:delete val="1"/>
              <c:extLst>
                <c:ext xmlns:c15="http://schemas.microsoft.com/office/drawing/2012/chart" uri="{CE6537A1-D6FC-4f65-9D91-7224C49458BB}"/>
                <c:ext xmlns:c16="http://schemas.microsoft.com/office/drawing/2014/chart" uri="{C3380CC4-5D6E-409C-BE32-E72D297353CC}">
                  <c16:uniqueId val="{00000000-CA92-43ED-9ED5-02EEBE23AFCE}"/>
                </c:ext>
              </c:extLst>
            </c:dLbl>
            <c:dLbl>
              <c:idx val="8"/>
              <c:layout>
                <c:manualLayout>
                  <c:x val="-2.9110163312919242E-3"/>
                  <c:y val="3.8060597957226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FD1-41C6-A29F-76BD13EF82BC}"/>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a:solidFill>
                        <a:srgbClr val="C0504D">
                          <a:lumMod val="50000"/>
                        </a:srgbClr>
                      </a:solidFill>
                    </a:ln>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c:v>99.1</c:v>
                </c:pt>
                <c:pt idx="1">
                  <c:v>98.3</c:v>
                </c:pt>
                <c:pt idx="2">
                  <c:v>99.6</c:v>
                </c:pt>
                <c:pt idx="3">
                  <c:v>99.5</c:v>
                </c:pt>
                <c:pt idx="4">
                  <c:v>98.8</c:v>
                </c:pt>
                <c:pt idx="5">
                  <c:v>99.7</c:v>
                </c:pt>
                <c:pt idx="6">
                  <c:v>99.4</c:v>
                </c:pt>
              </c:numCache>
            </c:numRef>
          </c:val>
          <c:smooth val="0"/>
          <c:extLst>
            <c:ext xmlns:c16="http://schemas.microsoft.com/office/drawing/2014/chart" uri="{C3380CC4-5D6E-409C-BE32-E72D297353CC}">
              <c16:uniqueId val="{0000000E-EC7C-4962-9234-5E66C8397DD3}"/>
            </c:ext>
          </c:extLst>
        </c:ser>
        <c:ser>
          <c:idx val="2"/>
          <c:order val="2"/>
          <c:tx>
            <c:strRef>
              <c:f>Sheet1!$D$1</c:f>
              <c:strCache>
                <c:ptCount val="1"/>
                <c:pt idx="0">
                  <c:v>upper secondary </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10-EC7C-4962-9234-5E66C8397DD3}"/>
                </c:ext>
              </c:extLst>
            </c:dLbl>
            <c:dLbl>
              <c:idx val="2"/>
              <c:delete val="1"/>
              <c:extLst>
                <c:ext xmlns:c15="http://schemas.microsoft.com/office/drawing/2012/chart" uri="{CE6537A1-D6FC-4f65-9D91-7224C49458BB}"/>
                <c:ext xmlns:c16="http://schemas.microsoft.com/office/drawing/2014/chart" uri="{C3380CC4-5D6E-409C-BE32-E72D297353CC}">
                  <c16:uniqueId val="{00000011-EC7C-4962-9234-5E66C8397DD3}"/>
                </c:ext>
              </c:extLst>
            </c:dLbl>
            <c:dLbl>
              <c:idx val="3"/>
              <c:delete val="1"/>
              <c:extLst>
                <c:ext xmlns:c15="http://schemas.microsoft.com/office/drawing/2012/chart" uri="{CE6537A1-D6FC-4f65-9D91-7224C49458BB}"/>
                <c:ext xmlns:c16="http://schemas.microsoft.com/office/drawing/2014/chart" uri="{C3380CC4-5D6E-409C-BE32-E72D297353CC}">
                  <c16:uniqueId val="{00000012-EC7C-4962-9234-5E66C8397DD3}"/>
                </c:ext>
              </c:extLst>
            </c:dLbl>
            <c:dLbl>
              <c:idx val="4"/>
              <c:delete val="1"/>
              <c:extLst>
                <c:ext xmlns:c15="http://schemas.microsoft.com/office/drawing/2012/chart" uri="{CE6537A1-D6FC-4f65-9D91-7224C49458BB}"/>
                <c:ext xmlns:c16="http://schemas.microsoft.com/office/drawing/2014/chart" uri="{C3380CC4-5D6E-409C-BE32-E72D297353CC}">
                  <c16:uniqueId val="{00000013-EC7C-4962-9234-5E66C8397DD3}"/>
                </c:ext>
              </c:extLst>
            </c:dLbl>
            <c:dLbl>
              <c:idx val="5"/>
              <c:layout>
                <c:manualLayout>
                  <c:x val="1.5607502187226599E-2"/>
                  <c:y val="-6.2219139561653985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EC7C-4962-9234-5E66C8397DD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0.0</c:formatCode>
                <c:ptCount val="7"/>
                <c:pt idx="0">
                  <c:v>99.6</c:v>
                </c:pt>
                <c:pt idx="1">
                  <c:v>98.5</c:v>
                </c:pt>
                <c:pt idx="2">
                  <c:v>98.7</c:v>
                </c:pt>
                <c:pt idx="3">
                  <c:v>99.8</c:v>
                </c:pt>
                <c:pt idx="4">
                  <c:v>99.2</c:v>
                </c:pt>
                <c:pt idx="5">
                  <c:v>98.8</c:v>
                </c:pt>
                <c:pt idx="6">
                  <c:v>99.4</c:v>
                </c:pt>
              </c:numCache>
            </c:numRef>
          </c:val>
          <c:smooth val="0"/>
          <c:extLst>
            <c:ext xmlns:c16="http://schemas.microsoft.com/office/drawing/2014/chart" uri="{C3380CC4-5D6E-409C-BE32-E72D297353CC}">
              <c16:uniqueId val="{00000016-EC7C-4962-9234-5E66C8397DD3}"/>
            </c:ext>
          </c:extLst>
        </c:ser>
        <c:dLbls>
          <c:showLegendKey val="0"/>
          <c:showVal val="0"/>
          <c:showCatName val="0"/>
          <c:showSerName val="0"/>
          <c:showPercent val="0"/>
          <c:showBubbleSize val="0"/>
        </c:dLbls>
        <c:marker val="1"/>
        <c:smooth val="0"/>
        <c:axId val="149275776"/>
        <c:axId val="149277696"/>
      </c:lineChart>
      <c:catAx>
        <c:axId val="1492757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out"/>
        <c:minorTickMark val="none"/>
        <c:tickLblPos val="nextTo"/>
        <c:txPr>
          <a:bodyPr/>
          <a:lstStyle/>
          <a:p>
            <a:pPr>
              <a:defRPr lang="en-GB"/>
            </a:pPr>
            <a:endParaRPr lang="ar-SA"/>
          </a:p>
        </c:txPr>
        <c:crossAx val="149277696"/>
        <c:crosses val="autoZero"/>
        <c:auto val="1"/>
        <c:lblAlgn val="ctr"/>
        <c:lblOffset val="100"/>
        <c:noMultiLvlLbl val="0"/>
      </c:catAx>
      <c:valAx>
        <c:axId val="149277696"/>
        <c:scaling>
          <c:orientation val="minMax"/>
          <c:min val="9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txPr>
          <a:bodyPr/>
          <a:lstStyle/>
          <a:p>
            <a:pPr>
              <a:defRPr lang="en-GB"/>
            </a:pPr>
            <a:endParaRPr lang="ar-SA"/>
          </a:p>
        </c:txPr>
        <c:crossAx val="149275776"/>
        <c:crosses val="autoZero"/>
        <c:crossBetween val="between"/>
        <c:majorUnit val="2"/>
      </c:valAx>
    </c:plotArea>
    <c:legend>
      <c:legendPos val="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54399291599024"/>
          <c:y val="7.8863119910470583E-2"/>
          <c:w val="0.85865174291230162"/>
          <c:h val="0.69766215931869269"/>
        </c:manualLayout>
      </c:layout>
      <c:lineChart>
        <c:grouping val="standard"/>
        <c:varyColors val="0"/>
        <c:ser>
          <c:idx val="1"/>
          <c:order val="0"/>
          <c:dLbls>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Sheet1!$C$1:$F$1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A117-41B6-9FF1-1971FE3CFD7E}"/>
            </c:ext>
          </c:extLst>
        </c:ser>
        <c:ser>
          <c:idx val="0"/>
          <c:order val="1"/>
          <c:marker>
            <c:spPr>
              <a:solidFill>
                <a:srgbClr val="E33332"/>
              </a:solidFill>
            </c:spPr>
          </c:marker>
          <c:dPt>
            <c:idx val="0"/>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2-A117-41B6-9FF1-1971FE3CFD7E}"/>
              </c:ext>
            </c:extLst>
          </c:dPt>
          <c:dPt>
            <c:idx val="1"/>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4-A117-41B6-9FF1-1971FE3CFD7E}"/>
              </c:ext>
            </c:extLst>
          </c:dPt>
          <c:dPt>
            <c:idx val="2"/>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6-A117-41B6-9FF1-1971FE3CFD7E}"/>
              </c:ext>
            </c:extLst>
          </c:dPt>
          <c:dPt>
            <c:idx val="3"/>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8-A117-41B6-9FF1-1971FE3CFD7E}"/>
              </c:ext>
            </c:extLst>
          </c:dPt>
          <c:dLbls>
            <c:dLbl>
              <c:idx val="0"/>
              <c:layout>
                <c:manualLayout>
                  <c:x val="-2.4097877748034381E-2"/>
                  <c:y val="-8.24372876184999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117-41B6-9FF1-1971FE3CFD7E}"/>
                </c:ext>
              </c:extLst>
            </c:dLbl>
            <c:dLbl>
              <c:idx val="1"/>
              <c:layout>
                <c:manualLayout>
                  <c:x val="-4.6005039337154816E-2"/>
                  <c:y val="-6.69802961900343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117-41B6-9FF1-1971FE3CFD7E}"/>
                </c:ext>
              </c:extLst>
            </c:dLbl>
            <c:dLbl>
              <c:idx val="2"/>
              <c:layout>
                <c:manualLayout>
                  <c:x val="-4.3814323178242714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117-41B6-9FF1-1971FE3CFD7E}"/>
                </c:ext>
              </c:extLst>
            </c:dLbl>
            <c:dLbl>
              <c:idx val="3"/>
              <c:layout>
                <c:manualLayout>
                  <c:x val="-5.0386471654981495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117-41B6-9FF1-1971FE3CFD7E}"/>
                </c:ext>
              </c:extLst>
            </c:dLbl>
            <c:dLbl>
              <c:idx val="4"/>
              <c:layout>
                <c:manualLayout>
                  <c:x val="-5.6958620131715522E-2"/>
                  <c:y val="-0.108198939999286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117-41B6-9FF1-1971FE3CFD7E}"/>
                </c:ext>
              </c:extLst>
            </c:dLbl>
            <c:dLbl>
              <c:idx val="5"/>
              <c:layout>
                <c:manualLayout>
                  <c:x val="-6.5721484767364058E-2"/>
                  <c:y val="-7.7284957142347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117-41B6-9FF1-1971FE3CFD7E}"/>
                </c:ext>
              </c:extLst>
            </c:dLbl>
            <c:dLbl>
              <c:idx val="6"/>
              <c:layout>
                <c:manualLayout>
                  <c:x val="-6.3530768608451915E-2"/>
                  <c:y val="-9.2741948570817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117-41B6-9FF1-1971FE3CFD7E}"/>
                </c:ext>
              </c:extLst>
            </c:dLbl>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1.02</c:v>
                </c:pt>
                <c:pt idx="1">
                  <c:v>1.87</c:v>
                </c:pt>
                <c:pt idx="2">
                  <c:v>1.42</c:v>
                </c:pt>
                <c:pt idx="3">
                  <c:v>2.0000000000000011E-2</c:v>
                </c:pt>
              </c:numCache>
            </c:numRef>
          </c:val>
          <c:smooth val="0"/>
          <c:extLst>
            <c:ext xmlns:c16="http://schemas.microsoft.com/office/drawing/2014/chart" uri="{C3380CC4-5D6E-409C-BE32-E72D297353CC}">
              <c16:uniqueId val="{0000000C-A117-41B6-9FF1-1971FE3CFD7E}"/>
            </c:ext>
          </c:extLst>
        </c:ser>
        <c:dLbls>
          <c:showLegendKey val="0"/>
          <c:showVal val="0"/>
          <c:showCatName val="0"/>
          <c:showSerName val="0"/>
          <c:showPercent val="0"/>
          <c:showBubbleSize val="0"/>
        </c:dLbls>
        <c:marker val="1"/>
        <c:smooth val="0"/>
        <c:axId val="188691584"/>
        <c:axId val="188693504"/>
      </c:lineChart>
      <c:catAx>
        <c:axId val="1886915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rot="0" vert="horz"/>
          <a:lstStyle/>
          <a:p>
            <a:pPr>
              <a:defRPr lang="en-GB"/>
            </a:pPr>
            <a:endParaRPr lang="ar-SA"/>
          </a:p>
        </c:txPr>
        <c:crossAx val="188693504"/>
        <c:crosses val="autoZero"/>
        <c:auto val="1"/>
        <c:lblAlgn val="ctr"/>
        <c:lblOffset val="50"/>
        <c:tickLblSkip val="1"/>
        <c:tickMarkSkip val="1"/>
        <c:noMultiLvlLbl val="0"/>
      </c:catAx>
      <c:valAx>
        <c:axId val="188693504"/>
        <c:scaling>
          <c:orientation val="minMax"/>
          <c:max val="2"/>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00" sourceLinked="0"/>
        <c:majorTickMark val="out"/>
        <c:minorTickMark val="none"/>
        <c:tickLblPos val="nextTo"/>
        <c:txPr>
          <a:bodyPr rot="-60000" vert="horz"/>
          <a:lstStyle/>
          <a:p>
            <a:pPr>
              <a:defRPr lang="en-GB"/>
            </a:pPr>
            <a:endParaRPr lang="ar-SA"/>
          </a:p>
        </c:txPr>
        <c:crossAx val="188691584"/>
        <c:crosses val="autoZero"/>
        <c:crossBetween val="between"/>
        <c:majorUnit val="0.2"/>
        <c:minorUnit val="0.2"/>
      </c:valAx>
      <c:spPr>
        <a:noFill/>
        <a:ln w="25412">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752772282774994E-2"/>
          <c:y val="8.0246913580247006E-2"/>
          <c:w val="0.90016403122023536"/>
          <c:h val="0.76777777777777834"/>
        </c:manualLayout>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6296296296296337E-3"/>
                  <c:y val="-4.53074433656957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026-40E2-8235-FEACAA0A1538}"/>
                </c:ext>
              </c:extLst>
            </c:dLbl>
            <c:dLbl>
              <c:idx val="1"/>
              <c:layout>
                <c:manualLayout>
                  <c:x val="-4.6296296296296337E-3"/>
                  <c:y val="-6.472491909385118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026-40E2-8235-FEACAA0A1538}"/>
                </c:ext>
              </c:extLst>
            </c:dLbl>
            <c:dLbl>
              <c:idx val="2"/>
              <c:layout>
                <c:manualLayout>
                  <c:x val="-4.6296296296296337E-3"/>
                  <c:y val="-5.8252427184466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026-40E2-8235-FEACAA0A1538}"/>
                </c:ext>
              </c:extLst>
            </c:dLbl>
            <c:dLbl>
              <c:idx val="3"/>
              <c:layout>
                <c:manualLayout>
                  <c:x val="-4.6296296296296337E-3"/>
                  <c:y val="-3.8834951456310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026-40E2-8235-FEACAA0A1538}"/>
                </c:ext>
              </c:extLst>
            </c:dLbl>
            <c:dLbl>
              <c:idx val="4"/>
              <c:layout>
                <c:manualLayout>
                  <c:x val="-3.8850143732033666E-2"/>
                  <c:y val="-7.077768056770687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026-40E2-8235-FEACAA0A1538}"/>
                </c:ext>
              </c:extLst>
            </c:dLbl>
            <c:dLbl>
              <c:idx val="5"/>
              <c:layout>
                <c:manualLayout>
                  <c:x val="-4.5794620500023794E-2"/>
                  <c:y val="-6.46048410615339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026-40E2-8235-FEACAA0A1538}"/>
                </c:ext>
              </c:extLst>
            </c:dLbl>
            <c:dLbl>
              <c:idx val="6"/>
              <c:layout>
                <c:manualLayout>
                  <c:x val="-2.0833333333333252E-2"/>
                  <c:y val="-7.119741100323637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026-40E2-8235-FEACAA0A1538}"/>
                </c:ext>
              </c:extLst>
            </c:dLbl>
            <c:dLbl>
              <c:idx val="7"/>
              <c:layout>
                <c:manualLayout>
                  <c:x val="-2.3148148148148147E-3"/>
                  <c:y val="-6.47249190938511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026-40E2-8235-FEACAA0A1538}"/>
                </c:ext>
              </c:extLst>
            </c:dLbl>
            <c:dLbl>
              <c:idx val="8"/>
              <c:layout>
                <c:manualLayout>
                  <c:x val="-3.0092592592592591E-2"/>
                  <c:y val="-7.11974110032363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026-40E2-8235-FEACAA0A1538}"/>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99.3</c:v>
                </c:pt>
                <c:pt idx="1">
                  <c:v>98.7</c:v>
                </c:pt>
                <c:pt idx="2">
                  <c:v>99.5</c:v>
                </c:pt>
                <c:pt idx="3">
                  <c:v>99.6</c:v>
                </c:pt>
                <c:pt idx="4">
                  <c:v>99.3</c:v>
                </c:pt>
                <c:pt idx="5">
                  <c:v>99.6</c:v>
                </c:pt>
                <c:pt idx="6">
                  <c:v>100</c:v>
                </c:pt>
              </c:numCache>
            </c:numRef>
          </c:val>
          <c:smooth val="0"/>
          <c:extLst>
            <c:ext xmlns:c16="http://schemas.microsoft.com/office/drawing/2014/chart" uri="{C3380CC4-5D6E-409C-BE32-E72D297353CC}">
              <c16:uniqueId val="{00000009-1026-40E2-8235-FEACAA0A1538}"/>
            </c:ext>
          </c:extLst>
        </c:ser>
        <c:dLbls>
          <c:showLegendKey val="0"/>
          <c:showVal val="0"/>
          <c:showCatName val="0"/>
          <c:showSerName val="0"/>
          <c:showPercent val="0"/>
          <c:showBubbleSize val="0"/>
        </c:dLbls>
        <c:marker val="1"/>
        <c:smooth val="0"/>
        <c:axId val="149249024"/>
        <c:axId val="149361792"/>
      </c:lineChart>
      <c:catAx>
        <c:axId val="14924902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a:t>
                </a:r>
              </a:p>
            </c:rich>
          </c:tx>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49361792"/>
        <c:crosses val="autoZero"/>
        <c:auto val="1"/>
        <c:lblAlgn val="ctr"/>
        <c:lblOffset val="100"/>
        <c:noMultiLvlLbl val="0"/>
      </c:catAx>
      <c:valAx>
        <c:axId val="149361792"/>
        <c:scaling>
          <c:orientation val="minMax"/>
          <c:max val="101"/>
          <c:min val="9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endParaRPr lang="ar-SA" b="1"/>
              </a:p>
            </c:rich>
          </c:tx>
          <c:layout/>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4924902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256990820429847E-2"/>
          <c:y val="6.1624649859944022E-2"/>
          <c:w val="0.89723869890336949"/>
          <c:h val="0.7052100840336134"/>
        </c:manualLayout>
      </c:layout>
      <c:lineChart>
        <c:grouping val="stacked"/>
        <c:varyColors val="0"/>
        <c:ser>
          <c:idx val="0"/>
          <c:order val="0"/>
          <c:tx>
            <c:strRef>
              <c:f>Sheet1!$B$1</c:f>
              <c:strCache>
                <c:ptCount val="1"/>
                <c:pt idx="0">
                  <c:v>Series 1</c:v>
                </c:pt>
              </c:strCache>
            </c:strRef>
          </c:tx>
          <c:spPr>
            <a:ln w="28575" cap="rnd">
              <a:solidFill>
                <a:srgbClr val="B83235"/>
              </a:solidFill>
              <a:round/>
            </a:ln>
            <a:effectLst/>
          </c:spPr>
          <c:marker>
            <c:symbol val="circle"/>
            <c:size val="5"/>
            <c:spPr>
              <a:solidFill>
                <a:srgbClr val="B83235"/>
              </a:solidFill>
              <a:ln w="9525">
                <a:solidFill>
                  <a:srgbClr val="B83235"/>
                </a:solidFill>
              </a:ln>
              <a:effectLst/>
            </c:spPr>
          </c:marker>
          <c:dLbls>
            <c:dLbl>
              <c:idx val="0"/>
              <c:layout>
                <c:manualLayout>
                  <c:x val="-3.2407407407407482E-2"/>
                  <c:y val="-3.96823926420963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7EA-4615-880C-C8EE6801099E}"/>
                </c:ext>
              </c:extLst>
            </c:dLbl>
            <c:dLbl>
              <c:idx val="1"/>
              <c:layout>
                <c:manualLayout>
                  <c:x val="-1.6203703703703703E-2"/>
                  <c:y val="-3.8982333090716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7EA-4615-880C-C8EE6801099E}"/>
                </c:ext>
              </c:extLst>
            </c:dLbl>
            <c:dLbl>
              <c:idx val="2"/>
              <c:layout>
                <c:manualLayout>
                  <c:x val="-4.1666666666666664E-2"/>
                  <c:y val="-4.45845739870751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7EA-4615-880C-C8EE6801099E}"/>
                </c:ext>
              </c:extLst>
            </c:dLbl>
            <c:dLbl>
              <c:idx val="3"/>
              <c:layout>
                <c:manualLayout>
                  <c:x val="-1.8518518518518549E-2"/>
                  <c:y val="-3.57142857142857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7EA-4615-880C-C8EE6801099E}"/>
                </c:ext>
              </c:extLst>
            </c:dLbl>
            <c:dLbl>
              <c:idx val="4"/>
              <c:layout>
                <c:manualLayout>
                  <c:x val="-3.7052054674478002E-2"/>
                  <c:y val="-6.74602439400958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7EA-4615-880C-C8EE6801099E}"/>
                </c:ext>
              </c:extLst>
            </c:dLbl>
            <c:dLbl>
              <c:idx val="5"/>
              <c:layout>
                <c:manualLayout>
                  <c:x val="-4.3981481481481483E-2"/>
                  <c:y val="-4.0616246498599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7EA-4615-880C-C8EE6801099E}"/>
                </c:ext>
              </c:extLst>
            </c:dLbl>
            <c:dLbl>
              <c:idx val="6"/>
              <c:layout>
                <c:manualLayout>
                  <c:x val="-3.4722222222222314E-2"/>
                  <c:y val="-4.061624649859944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7EA-4615-880C-C8EE6801099E}"/>
                </c:ext>
              </c:extLst>
            </c:dLbl>
            <c:dLbl>
              <c:idx val="7"/>
              <c:layout>
                <c:manualLayout>
                  <c:x val="-6.9444444444444545E-3"/>
                  <c:y val="-4.36507936507937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7EA-4615-880C-C8EE6801099E}"/>
                </c:ext>
              </c:extLst>
            </c:dLbl>
            <c:dLbl>
              <c:idx val="8"/>
              <c:layout>
                <c:manualLayout>
                  <c:x val="-3.4722222222222224E-2"/>
                  <c:y val="-5.3454641699199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7EA-4615-880C-C8EE6801099E}"/>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97.6</c:v>
                </c:pt>
                <c:pt idx="1">
                  <c:v>97.6</c:v>
                </c:pt>
                <c:pt idx="2">
                  <c:v>98.7</c:v>
                </c:pt>
                <c:pt idx="3">
                  <c:v>98.1</c:v>
                </c:pt>
                <c:pt idx="4">
                  <c:v>98.5</c:v>
                </c:pt>
                <c:pt idx="5" formatCode="0.0">
                  <c:v>99</c:v>
                </c:pt>
                <c:pt idx="6">
                  <c:v>98.9</c:v>
                </c:pt>
              </c:numCache>
            </c:numRef>
          </c:val>
          <c:smooth val="0"/>
          <c:extLst>
            <c:ext xmlns:c16="http://schemas.microsoft.com/office/drawing/2014/chart" uri="{C3380CC4-5D6E-409C-BE32-E72D297353CC}">
              <c16:uniqueId val="{00000009-E7EA-4615-880C-C8EE6801099E}"/>
            </c:ext>
          </c:extLst>
        </c:ser>
        <c:dLbls>
          <c:showLegendKey val="0"/>
          <c:showVal val="0"/>
          <c:showCatName val="0"/>
          <c:showSerName val="0"/>
          <c:showPercent val="0"/>
          <c:showBubbleSize val="0"/>
        </c:dLbls>
        <c:marker val="1"/>
        <c:smooth val="0"/>
        <c:axId val="149414656"/>
        <c:axId val="149416576"/>
      </c:lineChart>
      <c:catAx>
        <c:axId val="149414656"/>
        <c:scaling>
          <c:orientation val="minMax"/>
        </c:scaling>
        <c:delete val="0"/>
        <c:axPos val="b"/>
        <c:title>
          <c:tx>
            <c:rich>
              <a:bodyPr rot="0" vert="horz"/>
              <a:lstStyle/>
              <a:p>
                <a:pPr>
                  <a:defRPr/>
                </a:pPr>
                <a:r>
                  <a:rPr lang="en-US"/>
                  <a:t>Year</a:t>
                </a:r>
              </a:p>
            </c:rich>
          </c:tx>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vert="horz"/>
          <a:lstStyle/>
          <a:p>
            <a:pPr>
              <a:defRPr/>
            </a:pPr>
            <a:endParaRPr lang="ar-SA"/>
          </a:p>
        </c:txPr>
        <c:crossAx val="149416576"/>
        <c:crosses val="autoZero"/>
        <c:auto val="1"/>
        <c:lblAlgn val="ctr"/>
        <c:lblOffset val="100"/>
        <c:noMultiLvlLbl val="0"/>
      </c:catAx>
      <c:valAx>
        <c:axId val="149416576"/>
        <c:scaling>
          <c:orientation val="minMax"/>
          <c:max val="120"/>
          <c:min val="80"/>
        </c:scaling>
        <c:delete val="0"/>
        <c:axPos val="l"/>
        <c:title>
          <c:tx>
            <c:rich>
              <a:bodyPr rot="-5400000" vert="horz"/>
              <a:lstStyle/>
              <a:p>
                <a:pPr>
                  <a:defRPr/>
                </a:pPr>
                <a:r>
                  <a:rPr lang="en-US"/>
                  <a:t>Percentage</a:t>
                </a:r>
              </a:p>
            </c:rich>
          </c:tx>
          <c:layout/>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vert="horz"/>
          <a:lstStyle/>
          <a:p>
            <a:pPr>
              <a:defRPr/>
            </a:pPr>
            <a:endParaRPr lang="ar-SA"/>
          </a:p>
        </c:txPr>
        <c:crossAx val="149414656"/>
        <c:crosses val="autoZero"/>
        <c:crossBetween val="between"/>
        <c:majorUnit val="20"/>
      </c:valAx>
      <c:spPr>
        <a:noFill/>
        <a:ln>
          <a:noFill/>
        </a:ln>
        <a:effectLst/>
      </c:spPr>
    </c:plotArea>
    <c:plotVisOnly val="1"/>
    <c:dispBlanksAs val="zero"/>
    <c:showDLblsOverMax val="0"/>
  </c:chart>
  <c:spPr>
    <a:solidFill>
      <a:schemeClr val="bg1"/>
    </a:solidFill>
    <a:ln w="3175" cap="flat" cmpd="sng" algn="ctr">
      <a:solidFill>
        <a:schemeClr val="tx1"/>
      </a:solidFill>
      <a:round/>
    </a:ln>
    <a:effectLst/>
  </c:spPr>
  <c:txPr>
    <a:bodyPr/>
    <a:lstStyle/>
    <a:p>
      <a:pPr>
        <a:defRPr sz="900">
          <a:ln>
            <a:noFill/>
          </a:ln>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58"/>
          <c:w val="0.86203703703703705"/>
          <c:h val="0.66077142528711996"/>
        </c:manualLayout>
      </c:layout>
      <c:lineChart>
        <c:grouping val="standard"/>
        <c:varyColors val="0"/>
        <c:ser>
          <c:idx val="0"/>
          <c:order val="0"/>
          <c:tx>
            <c:strRef>
              <c:f>Sheet1!$B$1</c:f>
              <c:strCache>
                <c:ptCount val="1"/>
                <c:pt idx="0">
                  <c:v>primary</c:v>
                </c:pt>
              </c:strCache>
            </c:strRef>
          </c:tx>
          <c:dLbls>
            <c:dLbl>
              <c:idx val="0"/>
              <c:layout>
                <c:manualLayout>
                  <c:x val="-6.541101633129201E-2"/>
                  <c:y val="3.27677050567962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7DA-4F15-A1FA-D3704A9A8AD0}"/>
                </c:ext>
              </c:extLst>
            </c:dLbl>
            <c:dLbl>
              <c:idx val="1"/>
              <c:delete val="1"/>
              <c:extLst>
                <c:ext xmlns:c15="http://schemas.microsoft.com/office/drawing/2012/chart" uri="{CE6537A1-D6FC-4f65-9D91-7224C49458BB}"/>
                <c:ext xmlns:c16="http://schemas.microsoft.com/office/drawing/2014/chart" uri="{C3380CC4-5D6E-409C-BE32-E72D297353CC}">
                  <c16:uniqueId val="{00000001-47DA-4F15-A1FA-D3704A9A8AD0}"/>
                </c:ext>
              </c:extLst>
            </c:dLbl>
            <c:dLbl>
              <c:idx val="2"/>
              <c:delete val="1"/>
              <c:extLst>
                <c:ext xmlns:c15="http://schemas.microsoft.com/office/drawing/2012/chart" uri="{CE6537A1-D6FC-4f65-9D91-7224C49458BB}"/>
                <c:ext xmlns:c16="http://schemas.microsoft.com/office/drawing/2014/chart" uri="{C3380CC4-5D6E-409C-BE32-E72D297353CC}">
                  <c16:uniqueId val="{00000002-47DA-4F15-A1FA-D3704A9A8AD0}"/>
                </c:ext>
              </c:extLst>
            </c:dLbl>
            <c:dLbl>
              <c:idx val="3"/>
              <c:delete val="1"/>
              <c:extLst>
                <c:ext xmlns:c15="http://schemas.microsoft.com/office/drawing/2012/chart" uri="{CE6537A1-D6FC-4f65-9D91-7224C49458BB}"/>
                <c:ext xmlns:c16="http://schemas.microsoft.com/office/drawing/2014/chart" uri="{C3380CC4-5D6E-409C-BE32-E72D297353CC}">
                  <c16:uniqueId val="{00000003-47DA-4F15-A1FA-D3704A9A8AD0}"/>
                </c:ext>
              </c:extLst>
            </c:dLbl>
            <c:dLbl>
              <c:idx val="4"/>
              <c:delete val="1"/>
              <c:extLst>
                <c:ext xmlns:c15="http://schemas.microsoft.com/office/drawing/2012/chart" uri="{CE6537A1-D6FC-4f65-9D91-7224C49458BB}"/>
                <c:ext xmlns:c16="http://schemas.microsoft.com/office/drawing/2014/chart" uri="{C3380CC4-5D6E-409C-BE32-E72D297353CC}">
                  <c16:uniqueId val="{00000004-47DA-4F15-A1FA-D3704A9A8AD0}"/>
                </c:ext>
              </c:extLst>
            </c:dLbl>
            <c:dLbl>
              <c:idx val="5"/>
              <c:delete val="1"/>
              <c:extLst>
                <c:ext xmlns:c15="http://schemas.microsoft.com/office/drawing/2012/chart" uri="{CE6537A1-D6FC-4f65-9D91-7224C49458BB}"/>
                <c:ext xmlns:c16="http://schemas.microsoft.com/office/drawing/2014/chart" uri="{C3380CC4-5D6E-409C-BE32-E72D297353CC}">
                  <c16:uniqueId val="{00000005-47DA-4F15-A1FA-D3704A9A8AD0}"/>
                </c:ext>
              </c:extLst>
            </c:dLbl>
            <c:dLbl>
              <c:idx val="6"/>
              <c:layout>
                <c:manualLayout>
                  <c:x val="-1.4485090405366165E-2"/>
                  <c:y val="7.33747960464878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7DA-4F15-A1FA-D3704A9A8AD0}"/>
                </c:ext>
              </c:extLst>
            </c:dLbl>
            <c:dLbl>
              <c:idx val="7"/>
              <c:delete val="1"/>
              <c:extLst>
                <c:ext xmlns:c15="http://schemas.microsoft.com/office/drawing/2012/chart" uri="{CE6537A1-D6FC-4f65-9D91-7224C49458BB}"/>
                <c:ext xmlns:c16="http://schemas.microsoft.com/office/drawing/2014/chart" uri="{C3380CC4-5D6E-409C-BE32-E72D297353CC}">
                  <c16:uniqueId val="{00000000-010F-4E3A-9898-E777807743FA}"/>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94.8</c:v>
                </c:pt>
                <c:pt idx="1">
                  <c:v>95.5</c:v>
                </c:pt>
                <c:pt idx="2">
                  <c:v>99.2</c:v>
                </c:pt>
                <c:pt idx="3" formatCode="0.0">
                  <c:v>96.5</c:v>
                </c:pt>
                <c:pt idx="4" formatCode="0.0">
                  <c:v>97.3</c:v>
                </c:pt>
                <c:pt idx="5" formatCode="0.0">
                  <c:v>97.4</c:v>
                </c:pt>
                <c:pt idx="6" formatCode="0.0">
                  <c:v>98.7</c:v>
                </c:pt>
              </c:numCache>
            </c:numRef>
          </c:val>
          <c:smooth val="0"/>
          <c:extLst>
            <c:ext xmlns:c16="http://schemas.microsoft.com/office/drawing/2014/chart" uri="{C3380CC4-5D6E-409C-BE32-E72D297353CC}">
              <c16:uniqueId val="{00000007-47DA-4F15-A1FA-D3704A9A8AD0}"/>
            </c:ext>
          </c:extLst>
        </c:ser>
        <c:ser>
          <c:idx val="1"/>
          <c:order val="1"/>
          <c:tx>
            <c:strRef>
              <c:f>Sheet1!$C$1</c:f>
              <c:strCache>
                <c:ptCount val="1"/>
                <c:pt idx="0">
                  <c:v>lower secondary</c:v>
                </c:pt>
              </c:strCache>
            </c:strRef>
          </c:tx>
          <c:spPr>
            <a:ln>
              <a:solidFill>
                <a:srgbClr val="C0504D">
                  <a:lumMod val="50000"/>
                </a:srgbClr>
              </a:solidFill>
            </a:ln>
          </c:spPr>
          <c:marker>
            <c:spPr>
              <a:ln>
                <a:solidFill>
                  <a:srgbClr val="C0504D">
                    <a:lumMod val="5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8-47DA-4F15-A1FA-D3704A9A8AD0}"/>
                </c:ext>
              </c:extLst>
            </c:dLbl>
            <c:dLbl>
              <c:idx val="2"/>
              <c:delete val="1"/>
              <c:extLst>
                <c:ext xmlns:c15="http://schemas.microsoft.com/office/drawing/2012/chart" uri="{CE6537A1-D6FC-4f65-9D91-7224C49458BB}"/>
                <c:ext xmlns:c16="http://schemas.microsoft.com/office/drawing/2014/chart" uri="{C3380CC4-5D6E-409C-BE32-E72D297353CC}">
                  <c16:uniqueId val="{00000009-47DA-4F15-A1FA-D3704A9A8AD0}"/>
                </c:ext>
              </c:extLst>
            </c:dLbl>
            <c:dLbl>
              <c:idx val="3"/>
              <c:delete val="1"/>
              <c:extLst>
                <c:ext xmlns:c15="http://schemas.microsoft.com/office/drawing/2012/chart" uri="{CE6537A1-D6FC-4f65-9D91-7224C49458BB}"/>
                <c:ext xmlns:c16="http://schemas.microsoft.com/office/drawing/2014/chart" uri="{C3380CC4-5D6E-409C-BE32-E72D297353CC}">
                  <c16:uniqueId val="{0000000A-47DA-4F15-A1FA-D3704A9A8AD0}"/>
                </c:ext>
              </c:extLst>
            </c:dLbl>
            <c:dLbl>
              <c:idx val="4"/>
              <c:delete val="1"/>
              <c:extLst>
                <c:ext xmlns:c15="http://schemas.microsoft.com/office/drawing/2012/chart" uri="{CE6537A1-D6FC-4f65-9D91-7224C49458BB}"/>
                <c:ext xmlns:c16="http://schemas.microsoft.com/office/drawing/2014/chart" uri="{C3380CC4-5D6E-409C-BE32-E72D297353CC}">
                  <c16:uniqueId val="{0000000B-47DA-4F15-A1FA-D3704A9A8AD0}"/>
                </c:ext>
              </c:extLst>
            </c:dLbl>
            <c:dLbl>
              <c:idx val="5"/>
              <c:delete val="1"/>
              <c:extLst>
                <c:ext xmlns:c15="http://schemas.microsoft.com/office/drawing/2012/chart" uri="{CE6537A1-D6FC-4f65-9D91-7224C49458BB}"/>
                <c:ext xmlns:c16="http://schemas.microsoft.com/office/drawing/2014/chart" uri="{C3380CC4-5D6E-409C-BE32-E72D297353CC}">
                  <c16:uniqueId val="{0000000C-47DA-4F15-A1FA-D3704A9A8AD0}"/>
                </c:ext>
              </c:extLst>
            </c:dLbl>
            <c:dLbl>
              <c:idx val="6"/>
              <c:layout>
                <c:manualLayout>
                  <c:x val="4.0334281131525224E-3"/>
                  <c:y val="-1.683480862318588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47DA-4F15-A1FA-D3704A9A8AD0}"/>
                </c:ext>
              </c:extLst>
            </c:dLbl>
            <c:dLbl>
              <c:idx val="7"/>
              <c:delete val="1"/>
              <c:extLst>
                <c:ext xmlns:c15="http://schemas.microsoft.com/office/drawing/2012/chart" uri="{CE6537A1-D6FC-4f65-9D91-7224C49458BB}"/>
                <c:ext xmlns:c16="http://schemas.microsoft.com/office/drawing/2014/chart" uri="{C3380CC4-5D6E-409C-BE32-E72D297353CC}">
                  <c16:uniqueId val="{0000000E-47DA-4F15-A1FA-D3704A9A8AD0}"/>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100</c:v>
                </c:pt>
                <c:pt idx="1">
                  <c:v>97.4</c:v>
                </c:pt>
                <c:pt idx="2">
                  <c:v>98</c:v>
                </c:pt>
                <c:pt idx="3" formatCode="0.0">
                  <c:v>98</c:v>
                </c:pt>
                <c:pt idx="4" formatCode="0.0">
                  <c:v>98.6</c:v>
                </c:pt>
                <c:pt idx="5" formatCode="0.0">
                  <c:v>99.2</c:v>
                </c:pt>
                <c:pt idx="6" formatCode="0.0">
                  <c:v>99</c:v>
                </c:pt>
              </c:numCache>
            </c:numRef>
          </c:val>
          <c:smooth val="0"/>
          <c:extLst>
            <c:ext xmlns:c16="http://schemas.microsoft.com/office/drawing/2014/chart" uri="{C3380CC4-5D6E-409C-BE32-E72D297353CC}">
              <c16:uniqueId val="{0000000F-47DA-4F15-A1FA-D3704A9A8AD0}"/>
            </c:ext>
          </c:extLst>
        </c:ser>
        <c:ser>
          <c:idx val="2"/>
          <c:order val="2"/>
          <c:tx>
            <c:strRef>
              <c:f>Sheet1!$D$1</c:f>
              <c:strCache>
                <c:ptCount val="1"/>
                <c:pt idx="0">
                  <c:v>upper secondary </c:v>
                </c:pt>
              </c:strCache>
            </c:strRef>
          </c:tx>
          <c:dLbls>
            <c:dLbl>
              <c:idx val="0"/>
              <c:layout>
                <c:manualLayout>
                  <c:x val="-5.3836942257217912E-2"/>
                  <c:y val="-9.647138391674044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47DA-4F15-A1FA-D3704A9A8AD0}"/>
                </c:ext>
              </c:extLst>
            </c:dLbl>
            <c:dLbl>
              <c:idx val="1"/>
              <c:delete val="1"/>
              <c:extLst>
                <c:ext xmlns:c15="http://schemas.microsoft.com/office/drawing/2012/chart" uri="{CE6537A1-D6FC-4f65-9D91-7224C49458BB}"/>
                <c:ext xmlns:c16="http://schemas.microsoft.com/office/drawing/2014/chart" uri="{C3380CC4-5D6E-409C-BE32-E72D297353CC}">
                  <c16:uniqueId val="{00000011-47DA-4F15-A1FA-D3704A9A8AD0}"/>
                </c:ext>
              </c:extLst>
            </c:dLbl>
            <c:dLbl>
              <c:idx val="2"/>
              <c:delete val="1"/>
              <c:extLst>
                <c:ext xmlns:c15="http://schemas.microsoft.com/office/drawing/2012/chart" uri="{CE6537A1-D6FC-4f65-9D91-7224C49458BB}"/>
                <c:ext xmlns:c16="http://schemas.microsoft.com/office/drawing/2014/chart" uri="{C3380CC4-5D6E-409C-BE32-E72D297353CC}">
                  <c16:uniqueId val="{00000012-47DA-4F15-A1FA-D3704A9A8AD0}"/>
                </c:ext>
              </c:extLst>
            </c:dLbl>
            <c:dLbl>
              <c:idx val="3"/>
              <c:delete val="1"/>
              <c:extLst>
                <c:ext xmlns:c15="http://schemas.microsoft.com/office/drawing/2012/chart" uri="{CE6537A1-D6FC-4f65-9D91-7224C49458BB}"/>
                <c:ext xmlns:c16="http://schemas.microsoft.com/office/drawing/2014/chart" uri="{C3380CC4-5D6E-409C-BE32-E72D297353CC}">
                  <c16:uniqueId val="{00000013-47DA-4F15-A1FA-D3704A9A8AD0}"/>
                </c:ext>
              </c:extLst>
            </c:dLbl>
            <c:dLbl>
              <c:idx val="4"/>
              <c:delete val="1"/>
              <c:extLst>
                <c:ext xmlns:c15="http://schemas.microsoft.com/office/drawing/2012/chart" uri="{CE6537A1-D6FC-4f65-9D91-7224C49458BB}"/>
                <c:ext xmlns:c16="http://schemas.microsoft.com/office/drawing/2014/chart" uri="{C3380CC4-5D6E-409C-BE32-E72D297353CC}">
                  <c16:uniqueId val="{00000014-47DA-4F15-A1FA-D3704A9A8AD0}"/>
                </c:ext>
              </c:extLst>
            </c:dLbl>
            <c:dLbl>
              <c:idx val="5"/>
              <c:delete val="1"/>
              <c:extLst>
                <c:ext xmlns:c15="http://schemas.microsoft.com/office/drawing/2012/chart" uri="{CE6537A1-D6FC-4f65-9D91-7224C49458BB}"/>
                <c:ext xmlns:c16="http://schemas.microsoft.com/office/drawing/2014/chart" uri="{C3380CC4-5D6E-409C-BE32-E72D297353CC}">
                  <c16:uniqueId val="{00000015-47DA-4F15-A1FA-D3704A9A8AD0}"/>
                </c:ext>
              </c:extLst>
            </c:dLbl>
            <c:dLbl>
              <c:idx val="7"/>
              <c:delete val="1"/>
              <c:extLst>
                <c:ext xmlns:c15="http://schemas.microsoft.com/office/drawing/2012/chart" uri="{CE6537A1-D6FC-4f65-9D91-7224C49458BB}"/>
                <c:ext xmlns:c16="http://schemas.microsoft.com/office/drawing/2014/chart" uri="{C3380CC4-5D6E-409C-BE32-E72D297353CC}">
                  <c16:uniqueId val="{00000001-010F-4E3A-9898-E777807743FA}"/>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General</c:formatCode>
                <c:ptCount val="7"/>
                <c:pt idx="0">
                  <c:v>99.6</c:v>
                </c:pt>
                <c:pt idx="1">
                  <c:v>98.1</c:v>
                </c:pt>
                <c:pt idx="2">
                  <c:v>98.5</c:v>
                </c:pt>
                <c:pt idx="3" formatCode="0.0">
                  <c:v>98.9</c:v>
                </c:pt>
                <c:pt idx="4" formatCode="0.0">
                  <c:v>99</c:v>
                </c:pt>
                <c:pt idx="5" formatCode="0.0">
                  <c:v>98.8</c:v>
                </c:pt>
                <c:pt idx="6" formatCode="0.0">
                  <c:v>99.4</c:v>
                </c:pt>
              </c:numCache>
            </c:numRef>
          </c:val>
          <c:smooth val="0"/>
          <c:extLst>
            <c:ext xmlns:c16="http://schemas.microsoft.com/office/drawing/2014/chart" uri="{C3380CC4-5D6E-409C-BE32-E72D297353CC}">
              <c16:uniqueId val="{00000017-47DA-4F15-A1FA-D3704A9A8AD0}"/>
            </c:ext>
          </c:extLst>
        </c:ser>
        <c:dLbls>
          <c:showLegendKey val="0"/>
          <c:showVal val="0"/>
          <c:showCatName val="0"/>
          <c:showSerName val="0"/>
          <c:showPercent val="0"/>
          <c:showBubbleSize val="0"/>
        </c:dLbls>
        <c:marker val="1"/>
        <c:smooth val="0"/>
        <c:axId val="149519360"/>
        <c:axId val="149603456"/>
      </c:lineChart>
      <c:catAx>
        <c:axId val="14951936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out"/>
        <c:minorTickMark val="none"/>
        <c:tickLblPos val="nextTo"/>
        <c:txPr>
          <a:bodyPr/>
          <a:lstStyle/>
          <a:p>
            <a:pPr>
              <a:defRPr lang="en-GB"/>
            </a:pPr>
            <a:endParaRPr lang="ar-SA"/>
          </a:p>
        </c:txPr>
        <c:crossAx val="149603456"/>
        <c:crosses val="autoZero"/>
        <c:auto val="1"/>
        <c:lblAlgn val="ctr"/>
        <c:lblOffset val="100"/>
        <c:noMultiLvlLbl val="0"/>
      </c:catAx>
      <c:valAx>
        <c:axId val="149603456"/>
        <c:scaling>
          <c:orientation val="minMax"/>
          <c:max val="101"/>
          <c:min val="93"/>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txPr>
          <a:bodyPr/>
          <a:lstStyle/>
          <a:p>
            <a:pPr>
              <a:defRPr lang="en-GB"/>
            </a:pPr>
            <a:endParaRPr lang="ar-SA"/>
          </a:p>
        </c:txPr>
        <c:crossAx val="149519360"/>
        <c:crosses val="autoZero"/>
        <c:crossBetween val="between"/>
        <c:majorUnit val="2"/>
      </c:valAx>
    </c:plotArea>
    <c:legend>
      <c:legendPos val="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832932341790933E-2"/>
          <c:y val="4.4057617797775513E-2"/>
          <c:w val="0.89745297462817164"/>
          <c:h val="0.79186851643544565"/>
        </c:manualLayout>
      </c:layout>
      <c:barChart>
        <c:barDir val="col"/>
        <c:grouping val="clustered"/>
        <c:varyColors val="0"/>
        <c:ser>
          <c:idx val="0"/>
          <c:order val="0"/>
          <c:tx>
            <c:strRef>
              <c:f>Sheet1!$B$8</c:f>
              <c:strCache>
                <c:ptCount val="1"/>
                <c:pt idx="0">
                  <c:v>2019</c:v>
                </c:pt>
              </c:strCache>
            </c:strRef>
          </c:tx>
          <c:spPr>
            <a:solidFill>
              <a:srgbClr val="E64531"/>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Sheet1!$C$7:$E$7</c:f>
              <c:strCache>
                <c:ptCount val="3"/>
                <c:pt idx="0">
                  <c:v>Palestine</c:v>
                </c:pt>
                <c:pt idx="1">
                  <c:v>West Bank</c:v>
                </c:pt>
                <c:pt idx="2">
                  <c:v>Gaza Strip</c:v>
                </c:pt>
              </c:strCache>
            </c:strRef>
          </c:cat>
          <c:val>
            <c:numRef>
              <c:f>Sheet1!$C$8:$E$8</c:f>
              <c:numCache>
                <c:formatCode>General</c:formatCode>
                <c:ptCount val="3"/>
                <c:pt idx="0">
                  <c:v>58.2</c:v>
                </c:pt>
                <c:pt idx="1">
                  <c:v>51.5</c:v>
                </c:pt>
                <c:pt idx="2">
                  <c:v>68.900000000000006</c:v>
                </c:pt>
              </c:numCache>
            </c:numRef>
          </c:val>
          <c:extLst>
            <c:ext xmlns:c16="http://schemas.microsoft.com/office/drawing/2014/chart" uri="{C3380CC4-5D6E-409C-BE32-E72D297353CC}">
              <c16:uniqueId val="{00000000-78A2-448D-B7E6-5061EE67D123}"/>
            </c:ext>
          </c:extLst>
        </c:ser>
        <c:dLbls>
          <c:showLegendKey val="0"/>
          <c:showVal val="1"/>
          <c:showCatName val="0"/>
          <c:showSerName val="0"/>
          <c:showPercent val="0"/>
          <c:showBubbleSize val="0"/>
        </c:dLbls>
        <c:gapWidth val="150"/>
        <c:axId val="142034432"/>
        <c:axId val="142036352"/>
      </c:barChart>
      <c:catAx>
        <c:axId val="14203443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sz="900" b="1" i="0" u="none" strike="noStrike" baseline="0">
                    <a:effectLst/>
                  </a:rPr>
                  <a:t>Region</a:t>
                </a:r>
                <a:endParaRPr lang="en-US"/>
              </a:p>
            </c:rich>
          </c:tx>
          <c:layout/>
          <c:overlay val="0"/>
        </c:title>
        <c:numFmt formatCode="General" sourceLinked="1"/>
        <c:majorTickMark val="out"/>
        <c:minorTickMark val="none"/>
        <c:tickLblPos val="nextTo"/>
        <c:spPr>
          <a:ln>
            <a:solidFill>
              <a:sysClr val="windowText" lastClr="000000"/>
            </a:solidFill>
          </a:ln>
        </c:spPr>
        <c:txPr>
          <a:bodyPr/>
          <a:lstStyle/>
          <a:p>
            <a:pPr>
              <a:defRPr lang="en-GB">
                <a:solidFill>
                  <a:sysClr val="windowText" lastClr="000000"/>
                </a:solidFill>
              </a:defRPr>
            </a:pPr>
            <a:endParaRPr lang="ar-SA"/>
          </a:p>
        </c:txPr>
        <c:crossAx val="142036352"/>
        <c:crosses val="autoZero"/>
        <c:auto val="1"/>
        <c:lblAlgn val="ctr"/>
        <c:lblOffset val="100"/>
        <c:noMultiLvlLbl val="0"/>
      </c:catAx>
      <c:valAx>
        <c:axId val="14203635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spPr>
          <a:ln>
            <a:solidFill>
              <a:sysClr val="windowText" lastClr="000000"/>
            </a:solidFill>
          </a:ln>
        </c:spPr>
        <c:txPr>
          <a:bodyPr/>
          <a:lstStyle/>
          <a:p>
            <a:pPr>
              <a:defRPr lang="en-GB">
                <a:solidFill>
                  <a:sysClr val="windowText" lastClr="000000"/>
                </a:solidFill>
              </a:defRPr>
            </a:pPr>
            <a:endParaRPr lang="ar-SA"/>
          </a:p>
        </c:txPr>
        <c:crossAx val="142034432"/>
        <c:crosses val="autoZero"/>
        <c:crossBetween val="between"/>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678100961041581E-2"/>
          <c:y val="4.1860465116279069E-2"/>
          <c:w val="0.88328481539967285"/>
          <c:h val="0.74834009763031484"/>
        </c:manualLayout>
      </c:layout>
      <c:barChart>
        <c:barDir val="col"/>
        <c:grouping val="clustered"/>
        <c:varyColors val="0"/>
        <c:ser>
          <c:idx val="0"/>
          <c:order val="0"/>
          <c:spPr>
            <a:solidFill>
              <a:srgbClr val="E64531"/>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Sheet1!$B$1:$D$1</c:f>
              <c:strCache>
                <c:ptCount val="3"/>
                <c:pt idx="0">
                  <c:v>Physical</c:v>
                </c:pt>
                <c:pt idx="1">
                  <c:v>Psychological</c:v>
                </c:pt>
                <c:pt idx="2">
                  <c:v>Sexual</c:v>
                </c:pt>
              </c:strCache>
            </c:strRef>
          </c:cat>
          <c:val>
            <c:numRef>
              <c:f>Sheet1!$B$2:$D$2</c:f>
              <c:numCache>
                <c:formatCode>General</c:formatCode>
                <c:ptCount val="3"/>
                <c:pt idx="0">
                  <c:v>18.5</c:v>
                </c:pt>
                <c:pt idx="1">
                  <c:v>57.2</c:v>
                </c:pt>
                <c:pt idx="2">
                  <c:v>9.4</c:v>
                </c:pt>
              </c:numCache>
            </c:numRef>
          </c:val>
          <c:extLst>
            <c:ext xmlns:c16="http://schemas.microsoft.com/office/drawing/2014/chart" uri="{C3380CC4-5D6E-409C-BE32-E72D297353CC}">
              <c16:uniqueId val="{00000000-6BE1-483F-94FE-7717FE72AB7C}"/>
            </c:ext>
          </c:extLst>
        </c:ser>
        <c:dLbls>
          <c:showLegendKey val="0"/>
          <c:showVal val="1"/>
          <c:showCatName val="0"/>
          <c:showSerName val="0"/>
          <c:showPercent val="0"/>
          <c:showBubbleSize val="0"/>
        </c:dLbls>
        <c:gapWidth val="300"/>
        <c:axId val="149560704"/>
        <c:axId val="149743104"/>
      </c:barChart>
      <c:catAx>
        <c:axId val="149560704"/>
        <c:scaling>
          <c:orientation val="minMax"/>
        </c:scaling>
        <c:delete val="0"/>
        <c:axPos val="b"/>
        <c:title>
          <c:tx>
            <c:rich>
              <a:bodyPr/>
              <a:lstStyle/>
              <a:p>
                <a:pPr>
                  <a:defRPr lang="en-GB" sz="800" b="1" i="0" u="none" strike="noStrike" baseline="0">
                    <a:solidFill>
                      <a:srgbClr val="000000"/>
                    </a:solidFill>
                    <a:latin typeface="Arial"/>
                    <a:ea typeface="Arial"/>
                    <a:cs typeface="Arial"/>
                  </a:defRPr>
                </a:pPr>
                <a:r>
                  <a:rPr lang="en-US" sz="800" b="1" i="0" u="none" strike="noStrike" baseline="0">
                    <a:effectLst/>
                  </a:rPr>
                  <a:t>Type of Violence</a:t>
                </a:r>
                <a:endParaRPr lang="en-US" sz="800"/>
              </a:p>
            </c:rich>
          </c:tx>
          <c:layout/>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149743104"/>
        <c:crosses val="autoZero"/>
        <c:auto val="1"/>
        <c:lblAlgn val="ctr"/>
        <c:lblOffset val="100"/>
        <c:noMultiLvlLbl val="0"/>
      </c:catAx>
      <c:valAx>
        <c:axId val="14974310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49560704"/>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179522679027091E-2"/>
          <c:y val="0.12257718346059272"/>
          <c:w val="0.90030084469672"/>
          <c:h val="0.70175241718050063"/>
        </c:manualLayout>
      </c:layout>
      <c:barChart>
        <c:barDir val="col"/>
        <c:grouping val="clustered"/>
        <c:varyColors val="0"/>
        <c:ser>
          <c:idx val="0"/>
          <c:order val="0"/>
          <c:tx>
            <c:strRef>
              <c:f>Sheet1!$B$1</c:f>
              <c:strCache>
                <c:ptCount val="1"/>
                <c:pt idx="0">
                  <c:v>2019</c:v>
                </c:pt>
              </c:strCache>
            </c:strRef>
          </c:tx>
          <c:spPr>
            <a:solidFill>
              <a:srgbClr val="E64531"/>
            </a:solidFill>
          </c:spPr>
          <c:invertIfNegative val="0"/>
          <c:dLbls>
            <c:dLbl>
              <c:idx val="1"/>
              <c:layout>
                <c:manualLayout>
                  <c:x val="9.2592592592593871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55C-44AA-A7EF-B2241DF16FAC}"/>
                </c:ext>
              </c:extLst>
            </c:dLbl>
            <c:dLbl>
              <c:idx val="2"/>
              <c:layout>
                <c:manualLayout>
                  <c:x val="1.1574074074074073E-2"/>
                  <c:y val="5.2387898148026349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55C-44AA-A7EF-B2241DF16FAC}"/>
                </c:ext>
              </c:extLst>
            </c:dLbl>
            <c:spPr>
              <a:noFill/>
              <a:ln>
                <a:noFill/>
              </a:ln>
              <a:effectLst/>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Sheet1!$A$2:$A$7</c:f>
              <c:strCache>
                <c:ptCount val="6"/>
                <c:pt idx="0">
                  <c:v>19-15</c:v>
                </c:pt>
                <c:pt idx="1">
                  <c:v>29-20</c:v>
                </c:pt>
                <c:pt idx="2">
                  <c:v>39-30</c:v>
                </c:pt>
                <c:pt idx="3">
                  <c:v>49-40</c:v>
                </c:pt>
                <c:pt idx="4">
                  <c:v>59-50</c:v>
                </c:pt>
                <c:pt idx="5">
                  <c:v>64-60</c:v>
                </c:pt>
              </c:strCache>
            </c:strRef>
          </c:cat>
          <c:val>
            <c:numRef>
              <c:f>Sheet1!$B$2:$B$7</c:f>
              <c:numCache>
                <c:formatCode>0.0</c:formatCode>
                <c:ptCount val="6"/>
                <c:pt idx="0">
                  <c:v>57.5</c:v>
                </c:pt>
                <c:pt idx="1">
                  <c:v>63.7</c:v>
                </c:pt>
                <c:pt idx="2">
                  <c:v>60</c:v>
                </c:pt>
                <c:pt idx="3">
                  <c:v>55.9</c:v>
                </c:pt>
                <c:pt idx="4">
                  <c:v>47</c:v>
                </c:pt>
                <c:pt idx="5">
                  <c:v>40.300000000000004</c:v>
                </c:pt>
              </c:numCache>
            </c:numRef>
          </c:val>
          <c:extLst>
            <c:ext xmlns:c16="http://schemas.microsoft.com/office/drawing/2014/chart" uri="{C3380CC4-5D6E-409C-BE32-E72D297353CC}">
              <c16:uniqueId val="{00000002-155C-44AA-A7EF-B2241DF16FAC}"/>
            </c:ext>
          </c:extLst>
        </c:ser>
        <c:dLbls>
          <c:showLegendKey val="0"/>
          <c:showVal val="0"/>
          <c:showCatName val="0"/>
          <c:showSerName val="0"/>
          <c:showPercent val="0"/>
          <c:showBubbleSize val="0"/>
        </c:dLbls>
        <c:gapWidth val="150"/>
        <c:axId val="142051584"/>
        <c:axId val="149471616"/>
      </c:barChart>
      <c:catAx>
        <c:axId val="14205158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Age Group</a:t>
                </a:r>
              </a:p>
            </c:rich>
          </c:tx>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49471616"/>
        <c:crosses val="autoZero"/>
        <c:auto val="1"/>
        <c:lblAlgn val="ctr"/>
        <c:lblOffset val="100"/>
        <c:noMultiLvlLbl val="0"/>
      </c:catAx>
      <c:valAx>
        <c:axId val="1494716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42051584"/>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832932341790933E-2"/>
          <c:y val="4.4057617797775513E-2"/>
          <c:w val="0.89745297462817164"/>
          <c:h val="0.79186851643544565"/>
        </c:manualLayout>
      </c:layout>
      <c:barChart>
        <c:barDir val="col"/>
        <c:grouping val="clustered"/>
        <c:varyColors val="0"/>
        <c:ser>
          <c:idx val="0"/>
          <c:order val="0"/>
          <c:tx>
            <c:strRef>
              <c:f>Sheet1!$B$8</c:f>
              <c:strCache>
                <c:ptCount val="1"/>
                <c:pt idx="0">
                  <c:v>2019</c:v>
                </c:pt>
              </c:strCache>
            </c:strRef>
          </c:tx>
          <c:spPr>
            <a:solidFill>
              <a:srgbClr val="E64531"/>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Sheet1!$C$7:$E$7</c:f>
              <c:strCache>
                <c:ptCount val="3"/>
                <c:pt idx="0">
                  <c:v>Palestine</c:v>
                </c:pt>
                <c:pt idx="1">
                  <c:v>West Bank</c:v>
                </c:pt>
                <c:pt idx="2">
                  <c:v>Gaza Strip</c:v>
                </c:pt>
              </c:strCache>
            </c:strRef>
          </c:cat>
          <c:val>
            <c:numRef>
              <c:f>Sheet1!$C$8:$E$8</c:f>
              <c:numCache>
                <c:formatCode>0.0</c:formatCode>
                <c:ptCount val="3"/>
                <c:pt idx="0">
                  <c:v>3.7</c:v>
                </c:pt>
                <c:pt idx="1">
                  <c:v>4.3</c:v>
                </c:pt>
                <c:pt idx="2">
                  <c:v>2.8</c:v>
                </c:pt>
              </c:numCache>
            </c:numRef>
          </c:val>
          <c:extLst>
            <c:ext xmlns:c16="http://schemas.microsoft.com/office/drawing/2014/chart" uri="{C3380CC4-5D6E-409C-BE32-E72D297353CC}">
              <c16:uniqueId val="{00000000-3205-476E-B90F-7DEAA2678EC6}"/>
            </c:ext>
          </c:extLst>
        </c:ser>
        <c:dLbls>
          <c:showLegendKey val="0"/>
          <c:showVal val="1"/>
          <c:showCatName val="0"/>
          <c:showSerName val="0"/>
          <c:showPercent val="0"/>
          <c:showBubbleSize val="0"/>
        </c:dLbls>
        <c:gapWidth val="150"/>
        <c:axId val="149873024"/>
        <c:axId val="149874944"/>
      </c:barChart>
      <c:catAx>
        <c:axId val="1498730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sz="900" b="1" i="0" u="none" strike="noStrike" baseline="0">
                    <a:effectLst/>
                  </a:rPr>
                  <a:t>Region</a:t>
                </a:r>
                <a:endParaRPr lang="en-US"/>
              </a:p>
            </c:rich>
          </c:tx>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49874944"/>
        <c:crosses val="autoZero"/>
        <c:auto val="1"/>
        <c:lblAlgn val="ctr"/>
        <c:lblOffset val="100"/>
        <c:noMultiLvlLbl val="0"/>
      </c:catAx>
      <c:valAx>
        <c:axId val="14987494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49873024"/>
        <c:crosses val="autoZero"/>
        <c:crossBetween val="between"/>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07006415864697E-2"/>
          <c:y val="0.12257718346059272"/>
          <c:w val="0.91407334499854187"/>
          <c:h val="0.70175241718050063"/>
        </c:manualLayout>
      </c:layout>
      <c:barChart>
        <c:barDir val="col"/>
        <c:grouping val="clustered"/>
        <c:varyColors val="0"/>
        <c:ser>
          <c:idx val="0"/>
          <c:order val="0"/>
          <c:tx>
            <c:strRef>
              <c:f>Sheet1!$B$1</c:f>
              <c:strCache>
                <c:ptCount val="1"/>
                <c:pt idx="0">
                  <c:v>2019</c:v>
                </c:pt>
              </c:strCache>
            </c:strRef>
          </c:tx>
          <c:spPr>
            <a:solidFill>
              <a:srgbClr val="E64531"/>
            </a:solidFill>
          </c:spPr>
          <c:invertIfNegative val="0"/>
          <c:dLbls>
            <c:dLbl>
              <c:idx val="1"/>
              <c:layout>
                <c:manualLayout>
                  <c:x val="9.2592592592593871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BDB-46C1-AA4B-56879E0B55C1}"/>
                </c:ext>
              </c:extLst>
            </c:dLbl>
            <c:dLbl>
              <c:idx val="2"/>
              <c:layout>
                <c:manualLayout>
                  <c:x val="1.1574074074074073E-2"/>
                  <c:y val="5.2387898148026349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BDB-46C1-AA4B-56879E0B55C1}"/>
                </c:ext>
              </c:extLst>
            </c:dLbl>
            <c:spPr>
              <a:noFill/>
              <a:ln>
                <a:noFill/>
              </a:ln>
              <a:effectLst/>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Sheet1!$A$2:$A$7</c:f>
              <c:strCache>
                <c:ptCount val="6"/>
                <c:pt idx="0">
                  <c:v>15-19</c:v>
                </c:pt>
                <c:pt idx="1">
                  <c:v>20-29</c:v>
                </c:pt>
                <c:pt idx="2">
                  <c:v>30-39</c:v>
                </c:pt>
                <c:pt idx="3">
                  <c:v>40-49</c:v>
                </c:pt>
                <c:pt idx="4">
                  <c:v>50-59</c:v>
                </c:pt>
                <c:pt idx="5">
                  <c:v>60-64</c:v>
                </c:pt>
              </c:strCache>
            </c:strRef>
          </c:cat>
          <c:val>
            <c:numRef>
              <c:f>Sheet1!$B$2:$B$7</c:f>
              <c:numCache>
                <c:formatCode>0.0</c:formatCode>
                <c:ptCount val="6"/>
                <c:pt idx="0">
                  <c:v>2.8</c:v>
                </c:pt>
                <c:pt idx="1">
                  <c:v>4</c:v>
                </c:pt>
                <c:pt idx="2">
                  <c:v>3.4</c:v>
                </c:pt>
                <c:pt idx="3">
                  <c:v>4.0999999999999996</c:v>
                </c:pt>
                <c:pt idx="4">
                  <c:v>4.2</c:v>
                </c:pt>
                <c:pt idx="5">
                  <c:v>1.6</c:v>
                </c:pt>
              </c:numCache>
            </c:numRef>
          </c:val>
          <c:extLst>
            <c:ext xmlns:c16="http://schemas.microsoft.com/office/drawing/2014/chart" uri="{C3380CC4-5D6E-409C-BE32-E72D297353CC}">
              <c16:uniqueId val="{00000002-3BDB-46C1-AA4B-56879E0B55C1}"/>
            </c:ext>
          </c:extLst>
        </c:ser>
        <c:dLbls>
          <c:showLegendKey val="0"/>
          <c:showVal val="0"/>
          <c:showCatName val="0"/>
          <c:showSerName val="0"/>
          <c:showPercent val="0"/>
          <c:showBubbleSize val="0"/>
        </c:dLbls>
        <c:gapWidth val="150"/>
        <c:axId val="149457920"/>
        <c:axId val="149922944"/>
      </c:barChart>
      <c:catAx>
        <c:axId val="1494579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Age Group</a:t>
                </a:r>
              </a:p>
            </c:rich>
          </c:tx>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49922944"/>
        <c:crosses val="autoZero"/>
        <c:auto val="1"/>
        <c:lblAlgn val="ctr"/>
        <c:lblOffset val="100"/>
        <c:noMultiLvlLbl val="0"/>
      </c:catAx>
      <c:valAx>
        <c:axId val="14992294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49457920"/>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198581560283696E-2"/>
          <c:y val="0.16345334338775591"/>
          <c:w val="0.86879432624113873"/>
          <c:h val="0.65564220953449992"/>
        </c:manualLayout>
      </c:layout>
      <c:lineChart>
        <c:grouping val="standard"/>
        <c:varyColors val="0"/>
        <c:ser>
          <c:idx val="0"/>
          <c:order val="0"/>
          <c:tx>
            <c:strRef>
              <c:f>Sheet1!$B$1</c:f>
              <c:strCache>
                <c:ptCount val="1"/>
                <c:pt idx="0">
                  <c:v>Palestine</c:v>
                </c:pt>
              </c:strCache>
            </c:strRef>
          </c:tx>
          <c:spPr>
            <a:ln>
              <a:solidFill>
                <a:srgbClr val="C0504D">
                  <a:lumMod val="50000"/>
                </a:srgbClr>
              </a:solidFill>
            </a:ln>
            <a:effectLst/>
          </c:spPr>
          <c:marker>
            <c:spPr>
              <a:ln>
                <a:solidFill>
                  <a:srgbClr val="C0504D">
                    <a:lumMod val="50000"/>
                  </a:srgbClr>
                </a:solidFill>
              </a:ln>
            </c:spPr>
          </c:marker>
          <c:dLbls>
            <c:dLbl>
              <c:idx val="0"/>
              <c:layout>
                <c:manualLayout>
                  <c:x val="-7.2728375182747371E-2"/>
                  <c:y val="5.8522918404305809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2AE-424D-A4EF-35995F3E7CF1}"/>
                </c:ext>
              </c:extLst>
            </c:dLbl>
            <c:dLbl>
              <c:idx val="1"/>
              <c:delete val="1"/>
              <c:extLst>
                <c:ext xmlns:c15="http://schemas.microsoft.com/office/drawing/2012/chart" uri="{CE6537A1-D6FC-4f65-9D91-7224C49458BB}"/>
                <c:ext xmlns:c16="http://schemas.microsoft.com/office/drawing/2014/chart" uri="{C3380CC4-5D6E-409C-BE32-E72D297353CC}">
                  <c16:uniqueId val="{00000001-BCAA-407E-8590-C80F9E5C0BB7}"/>
                </c:ext>
              </c:extLst>
            </c:dLbl>
            <c:dLbl>
              <c:idx val="2"/>
              <c:delete val="1"/>
              <c:extLst>
                <c:ext xmlns:c15="http://schemas.microsoft.com/office/drawing/2012/chart" uri="{CE6537A1-D6FC-4f65-9D91-7224C49458BB}"/>
                <c:ext xmlns:c16="http://schemas.microsoft.com/office/drawing/2014/chart" uri="{C3380CC4-5D6E-409C-BE32-E72D297353CC}">
                  <c16:uniqueId val="{00000004-BCAA-407E-8590-C80F9E5C0BB7}"/>
                </c:ext>
              </c:extLst>
            </c:dLbl>
            <c:spPr>
              <a:noFill/>
              <a:ln w="2539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Sheet1!$B$2:$B$5</c:f>
              <c:numCache>
                <c:formatCode>General</c:formatCode>
                <c:ptCount val="4"/>
                <c:pt idx="0" formatCode="0.0">
                  <c:v>18</c:v>
                </c:pt>
                <c:pt idx="1">
                  <c:v>24.2</c:v>
                </c:pt>
                <c:pt idx="2">
                  <c:v>10.8</c:v>
                </c:pt>
                <c:pt idx="3">
                  <c:v>13.4</c:v>
                </c:pt>
              </c:numCache>
            </c:numRef>
          </c:val>
          <c:smooth val="0"/>
          <c:extLst>
            <c:ext xmlns:c16="http://schemas.microsoft.com/office/drawing/2014/chart" uri="{C3380CC4-5D6E-409C-BE32-E72D297353CC}">
              <c16:uniqueId val="{00000001-F2AE-424D-A4EF-35995F3E7CF1}"/>
            </c:ext>
          </c:extLst>
        </c:ser>
        <c:ser>
          <c:idx val="1"/>
          <c:order val="1"/>
          <c:tx>
            <c:strRef>
              <c:f>Sheet1!$C$1</c:f>
              <c:strCache>
                <c:ptCount val="1"/>
                <c:pt idx="0">
                  <c:v>West Bank</c:v>
                </c:pt>
              </c:strCache>
            </c:strRef>
          </c:tx>
          <c:spPr>
            <a:effectLst/>
          </c:spPr>
          <c:dLbls>
            <c:dLbl>
              <c:idx val="0"/>
              <c:layout>
                <c:manualLayout>
                  <c:x val="-4.0642327308005891E-2"/>
                  <c:y val="7.60797939255975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2AE-424D-A4EF-35995F3E7CF1}"/>
                </c:ext>
              </c:extLst>
            </c:dLbl>
            <c:dLbl>
              <c:idx val="1"/>
              <c:delete val="1"/>
              <c:extLst>
                <c:ext xmlns:c15="http://schemas.microsoft.com/office/drawing/2012/chart" uri="{CE6537A1-D6FC-4f65-9D91-7224C49458BB}"/>
                <c:ext xmlns:c16="http://schemas.microsoft.com/office/drawing/2014/chart" uri="{C3380CC4-5D6E-409C-BE32-E72D297353CC}">
                  <c16:uniqueId val="{00000002-BCAA-407E-8590-C80F9E5C0BB7}"/>
                </c:ext>
              </c:extLst>
            </c:dLbl>
            <c:dLbl>
              <c:idx val="2"/>
              <c:delete val="1"/>
              <c:extLst>
                <c:ext xmlns:c15="http://schemas.microsoft.com/office/drawing/2012/chart" uri="{CE6537A1-D6FC-4f65-9D91-7224C49458BB}"/>
                <c:ext xmlns:c16="http://schemas.microsoft.com/office/drawing/2014/chart" uri="{C3380CC4-5D6E-409C-BE32-E72D297353CC}">
                  <c16:uniqueId val="{00000005-BCAA-407E-8590-C80F9E5C0BB7}"/>
                </c:ext>
              </c:extLst>
            </c:dLbl>
            <c:spPr>
              <a:noFill/>
              <a:ln w="2539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Sheet1!$C$2:$C$5</c:f>
              <c:numCache>
                <c:formatCode>General</c:formatCode>
                <c:ptCount val="4"/>
                <c:pt idx="0" formatCode="0.0">
                  <c:v>16.8</c:v>
                </c:pt>
                <c:pt idx="1">
                  <c:v>21.4</c:v>
                </c:pt>
                <c:pt idx="2">
                  <c:v>8.5</c:v>
                </c:pt>
                <c:pt idx="3">
                  <c:v>11.4</c:v>
                </c:pt>
              </c:numCache>
            </c:numRef>
          </c:val>
          <c:smooth val="0"/>
          <c:extLst>
            <c:ext xmlns:c16="http://schemas.microsoft.com/office/drawing/2014/chart" uri="{C3380CC4-5D6E-409C-BE32-E72D297353CC}">
              <c16:uniqueId val="{00000003-F2AE-424D-A4EF-35995F3E7CF1}"/>
            </c:ext>
          </c:extLst>
        </c:ser>
        <c:ser>
          <c:idx val="2"/>
          <c:order val="2"/>
          <c:tx>
            <c:strRef>
              <c:f>Sheet1!$D$1</c:f>
              <c:strCache>
                <c:ptCount val="1"/>
                <c:pt idx="0">
                  <c:v>Gaza Strip</c:v>
                </c:pt>
              </c:strCache>
            </c:strRef>
          </c:tx>
          <c:spPr>
            <a:effectLst/>
          </c:spPr>
          <c:dLbls>
            <c:dLbl>
              <c:idx val="0"/>
              <c:layout>
                <c:manualLayout>
                  <c:x val="-6.8450235466115159E-2"/>
                  <c:y val="-2.926145920215277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2AE-424D-A4EF-35995F3E7CF1}"/>
                </c:ext>
              </c:extLst>
            </c:dLbl>
            <c:dLbl>
              <c:idx val="1"/>
              <c:delete val="1"/>
              <c:extLst>
                <c:ext xmlns:c15="http://schemas.microsoft.com/office/drawing/2012/chart" uri="{CE6537A1-D6FC-4f65-9D91-7224C49458BB}"/>
                <c:ext xmlns:c16="http://schemas.microsoft.com/office/drawing/2014/chart" uri="{C3380CC4-5D6E-409C-BE32-E72D297353CC}">
                  <c16:uniqueId val="{00000000-BCAA-407E-8590-C80F9E5C0BB7}"/>
                </c:ext>
              </c:extLst>
            </c:dLbl>
            <c:dLbl>
              <c:idx val="2"/>
              <c:delete val="1"/>
              <c:extLst>
                <c:ext xmlns:c15="http://schemas.microsoft.com/office/drawing/2012/chart" uri="{CE6537A1-D6FC-4f65-9D91-7224C49458BB}"/>
                <c:ext xmlns:c16="http://schemas.microsoft.com/office/drawing/2014/chart" uri="{C3380CC4-5D6E-409C-BE32-E72D297353CC}">
                  <c16:uniqueId val="{00000003-BCAA-407E-8590-C80F9E5C0BB7}"/>
                </c:ext>
              </c:extLst>
            </c:dLbl>
            <c:spPr>
              <a:noFill/>
              <a:ln w="2539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Sheet1!$D$2:$D$5</c:f>
              <c:numCache>
                <c:formatCode>General</c:formatCode>
                <c:ptCount val="4"/>
                <c:pt idx="0" formatCode="0.0">
                  <c:v>19.600000000000001</c:v>
                </c:pt>
                <c:pt idx="1">
                  <c:v>28.6</c:v>
                </c:pt>
                <c:pt idx="2">
                  <c:v>13.8</c:v>
                </c:pt>
                <c:pt idx="3">
                  <c:v>16.5</c:v>
                </c:pt>
              </c:numCache>
            </c:numRef>
          </c:val>
          <c:smooth val="0"/>
          <c:extLst>
            <c:ext xmlns:c16="http://schemas.microsoft.com/office/drawing/2014/chart" uri="{C3380CC4-5D6E-409C-BE32-E72D297353CC}">
              <c16:uniqueId val="{00000005-F2AE-424D-A4EF-35995F3E7CF1}"/>
            </c:ext>
          </c:extLst>
        </c:ser>
        <c:dLbls>
          <c:showLegendKey val="0"/>
          <c:showVal val="0"/>
          <c:showCatName val="0"/>
          <c:showSerName val="0"/>
          <c:showPercent val="0"/>
          <c:showBubbleSize val="0"/>
        </c:dLbls>
        <c:marker val="1"/>
        <c:smooth val="0"/>
        <c:axId val="150122496"/>
        <c:axId val="150124416"/>
      </c:lineChart>
      <c:catAx>
        <c:axId val="15012249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spPr>
          <a:noFill/>
          <a:ln w="9521" cap="flat" cmpd="sng" algn="ctr">
            <a:solidFill>
              <a:schemeClr val="tx1"/>
            </a:solidFill>
            <a:round/>
          </a:ln>
          <a:effectLst/>
        </c:spPr>
        <c:txPr>
          <a:bodyPr rot="-60000000" vert="horz"/>
          <a:lstStyle/>
          <a:p>
            <a:pPr>
              <a:defRPr lang="en-GB"/>
            </a:pPr>
            <a:endParaRPr lang="ar-SA"/>
          </a:p>
        </c:txPr>
        <c:crossAx val="150124416"/>
        <c:crosses val="autoZero"/>
        <c:auto val="1"/>
        <c:lblAlgn val="ctr"/>
        <c:lblOffset val="100"/>
        <c:noMultiLvlLbl val="0"/>
      </c:catAx>
      <c:valAx>
        <c:axId val="150124416"/>
        <c:scaling>
          <c:orientation val="minMax"/>
          <c:max val="30"/>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spPr>
          <a:noFill/>
          <a:ln>
            <a:solidFill>
              <a:schemeClr val="tx1"/>
            </a:solidFill>
          </a:ln>
          <a:effectLst/>
        </c:spPr>
        <c:txPr>
          <a:bodyPr rot="-60000000" vert="horz"/>
          <a:lstStyle/>
          <a:p>
            <a:pPr>
              <a:defRPr lang="en-GB"/>
            </a:pPr>
            <a:endParaRPr lang="ar-SA"/>
          </a:p>
        </c:txPr>
        <c:crossAx val="150122496"/>
        <c:crosses val="autoZero"/>
        <c:crossBetween val="between"/>
        <c:majorUnit val="5"/>
        <c:minorUnit val="0.4"/>
      </c:valAx>
      <c:spPr>
        <a:noFill/>
        <a:ln w="25390">
          <a:noFill/>
        </a:ln>
      </c:spPr>
    </c:plotArea>
    <c:legend>
      <c:legendPos val="r"/>
      <c:layout>
        <c:manualLayout>
          <c:xMode val="edge"/>
          <c:yMode val="edge"/>
          <c:x val="0.24203011857560391"/>
          <c:y val="2.3445310542212525E-2"/>
          <c:w val="0.5527173730943209"/>
          <c:h val="9.6740394887825057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900">
          <a:solidFill>
            <a:sysClr val="windowText" lastClr="000000"/>
          </a:solidFill>
          <a:latin typeface="Arial" pitchFamily="34" charset="0"/>
          <a:cs typeface="Arial" pitchFamily="34" charset="0"/>
        </a:defRPr>
      </a:pPr>
      <a:endParaRPr lang="ar-SA"/>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5262782255111"/>
          <c:y val="0.14962258045477581"/>
          <c:w val="0.86017680849668465"/>
          <c:h val="0.61462340469266163"/>
        </c:manualLayout>
      </c:layout>
      <c:lineChart>
        <c:grouping val="standard"/>
        <c:varyColors val="0"/>
        <c:ser>
          <c:idx val="0"/>
          <c:order val="0"/>
          <c:tx>
            <c:strRef>
              <c:f>Sheet1!$B$1</c:f>
              <c:strCache>
                <c:ptCount val="1"/>
                <c:pt idx="0">
                  <c:v>Palestine</c:v>
                </c:pt>
              </c:strCache>
            </c:strRef>
          </c:tx>
          <c:spPr>
            <a:ln>
              <a:solidFill>
                <a:srgbClr val="C0504D">
                  <a:lumMod val="50000"/>
                </a:srgbClr>
              </a:solidFill>
            </a:ln>
          </c:spPr>
          <c:marker>
            <c:spPr>
              <a:ln>
                <a:solidFill>
                  <a:srgbClr val="C0504D">
                    <a:lumMod val="50000"/>
                  </a:srgbClr>
                </a:solidFill>
              </a:ln>
            </c:spPr>
          </c:marker>
          <c:dLbls>
            <c:dLbl>
              <c:idx val="0"/>
              <c:layout>
                <c:manualLayout>
                  <c:x val="-6.9444444444444503E-2"/>
                  <c:y val="-1.190476190476192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796-48EC-A6B2-0F0BED4DF490}"/>
                </c:ext>
              </c:extLst>
            </c:dLbl>
            <c:dLbl>
              <c:idx val="1"/>
              <c:delete val="1"/>
              <c:extLst>
                <c:ext xmlns:c15="http://schemas.microsoft.com/office/drawing/2012/chart" uri="{CE6537A1-D6FC-4f65-9D91-7224C49458BB}"/>
                <c:ext xmlns:c16="http://schemas.microsoft.com/office/drawing/2014/chart" uri="{C3380CC4-5D6E-409C-BE32-E72D297353CC}">
                  <c16:uniqueId val="{00000001-8673-414F-AB33-E4CD8C0DDCE1}"/>
                </c:ext>
              </c:extLst>
            </c:dLbl>
            <c:dLbl>
              <c:idx val="2"/>
              <c:delete val="1"/>
              <c:extLst>
                <c:ext xmlns:c15="http://schemas.microsoft.com/office/drawing/2012/chart" uri="{CE6537A1-D6FC-4f65-9D91-7224C49458BB}"/>
                <c:ext xmlns:c16="http://schemas.microsoft.com/office/drawing/2014/chart" uri="{C3380CC4-5D6E-409C-BE32-E72D297353CC}">
                  <c16:uniqueId val="{00000005-8673-414F-AB33-E4CD8C0DDCE1}"/>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Sheet1!$B$2:$B$5</c:f>
              <c:numCache>
                <c:formatCode>0.0</c:formatCode>
                <c:ptCount val="4"/>
                <c:pt idx="0">
                  <c:v>1</c:v>
                </c:pt>
                <c:pt idx="1">
                  <c:v>1</c:v>
                </c:pt>
                <c:pt idx="2">
                  <c:v>0.5</c:v>
                </c:pt>
                <c:pt idx="3">
                  <c:v>0.70000000000000051</c:v>
                </c:pt>
              </c:numCache>
            </c:numRef>
          </c:val>
          <c:smooth val="0"/>
          <c:extLst>
            <c:ext xmlns:c16="http://schemas.microsoft.com/office/drawing/2014/chart" uri="{C3380CC4-5D6E-409C-BE32-E72D297353CC}">
              <c16:uniqueId val="{00000001-1796-48EC-A6B2-0F0BED4DF490}"/>
            </c:ext>
          </c:extLst>
        </c:ser>
        <c:ser>
          <c:idx val="1"/>
          <c:order val="1"/>
          <c:tx>
            <c:strRef>
              <c:f>Sheet1!$C$1</c:f>
              <c:strCache>
                <c:ptCount val="1"/>
                <c:pt idx="0">
                  <c:v>West Bank</c:v>
                </c:pt>
              </c:strCache>
            </c:strRef>
          </c:tx>
          <c:dLbls>
            <c:dLbl>
              <c:idx val="0"/>
              <c:layout>
                <c:manualLayout>
                  <c:x val="-6.7129629629629664E-2"/>
                  <c:y val="1.587301587301579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796-48EC-A6B2-0F0BED4DF490}"/>
                </c:ext>
              </c:extLst>
            </c:dLbl>
            <c:dLbl>
              <c:idx val="1"/>
              <c:delete val="1"/>
              <c:extLst>
                <c:ext xmlns:c15="http://schemas.microsoft.com/office/drawing/2012/chart" uri="{CE6537A1-D6FC-4f65-9D91-7224C49458BB}"/>
                <c:ext xmlns:c16="http://schemas.microsoft.com/office/drawing/2014/chart" uri="{C3380CC4-5D6E-409C-BE32-E72D297353CC}">
                  <c16:uniqueId val="{00000002-8673-414F-AB33-E4CD8C0DDCE1}"/>
                </c:ext>
              </c:extLst>
            </c:dLbl>
            <c:dLbl>
              <c:idx val="2"/>
              <c:delete val="1"/>
              <c:extLst>
                <c:ext xmlns:c15="http://schemas.microsoft.com/office/drawing/2012/chart" uri="{CE6537A1-D6FC-4f65-9D91-7224C49458BB}"/>
                <c:ext xmlns:c16="http://schemas.microsoft.com/office/drawing/2014/chart" uri="{C3380CC4-5D6E-409C-BE32-E72D297353CC}">
                  <c16:uniqueId val="{00000004-8673-414F-AB33-E4CD8C0DDCE1}"/>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Sheet1!$C$2:$C$5</c:f>
              <c:numCache>
                <c:formatCode>0.0</c:formatCode>
                <c:ptCount val="4"/>
                <c:pt idx="0">
                  <c:v>0.9</c:v>
                </c:pt>
                <c:pt idx="1">
                  <c:v>0.70000000000000051</c:v>
                </c:pt>
                <c:pt idx="2">
                  <c:v>0.30000000000000027</c:v>
                </c:pt>
                <c:pt idx="3">
                  <c:v>0.30000000000000027</c:v>
                </c:pt>
              </c:numCache>
            </c:numRef>
          </c:val>
          <c:smooth val="0"/>
          <c:extLst>
            <c:ext xmlns:c16="http://schemas.microsoft.com/office/drawing/2014/chart" uri="{C3380CC4-5D6E-409C-BE32-E72D297353CC}">
              <c16:uniqueId val="{00000003-1796-48EC-A6B2-0F0BED4DF490}"/>
            </c:ext>
          </c:extLst>
        </c:ser>
        <c:ser>
          <c:idx val="2"/>
          <c:order val="2"/>
          <c:tx>
            <c:strRef>
              <c:f>Sheet1!$D$1</c:f>
              <c:strCache>
                <c:ptCount val="1"/>
                <c:pt idx="0">
                  <c:v>Gaza Strip</c:v>
                </c:pt>
              </c:strCache>
            </c:strRef>
          </c:tx>
          <c:dLbls>
            <c:dLbl>
              <c:idx val="0"/>
              <c:layout>
                <c:manualLayout>
                  <c:x val="-6.4814814814815228E-2"/>
                  <c:y val="-3.174603174603174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796-48EC-A6B2-0F0BED4DF490}"/>
                </c:ext>
              </c:extLst>
            </c:dLbl>
            <c:dLbl>
              <c:idx val="1"/>
              <c:delete val="1"/>
              <c:extLst>
                <c:ext xmlns:c15="http://schemas.microsoft.com/office/drawing/2012/chart" uri="{CE6537A1-D6FC-4f65-9D91-7224C49458BB}"/>
                <c:ext xmlns:c16="http://schemas.microsoft.com/office/drawing/2014/chart" uri="{C3380CC4-5D6E-409C-BE32-E72D297353CC}">
                  <c16:uniqueId val="{00000000-8673-414F-AB33-E4CD8C0DDCE1}"/>
                </c:ext>
              </c:extLst>
            </c:dLbl>
            <c:dLbl>
              <c:idx val="2"/>
              <c:delete val="1"/>
              <c:extLst>
                <c:ext xmlns:c15="http://schemas.microsoft.com/office/drawing/2012/chart" uri="{CE6537A1-D6FC-4f65-9D91-7224C49458BB}"/>
                <c:ext xmlns:c16="http://schemas.microsoft.com/office/drawing/2014/chart" uri="{C3380CC4-5D6E-409C-BE32-E72D297353CC}">
                  <c16:uniqueId val="{00000003-8673-414F-AB33-E4CD8C0DDCE1}"/>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Sheet1!$D$2:$D$5</c:f>
              <c:numCache>
                <c:formatCode>0.0</c:formatCode>
                <c:ptCount val="4"/>
                <c:pt idx="0">
                  <c:v>1.1000000000000001</c:v>
                </c:pt>
                <c:pt idx="1">
                  <c:v>1.3</c:v>
                </c:pt>
                <c:pt idx="2">
                  <c:v>0.70000000000000051</c:v>
                </c:pt>
                <c:pt idx="3">
                  <c:v>1.4</c:v>
                </c:pt>
              </c:numCache>
            </c:numRef>
          </c:val>
          <c:smooth val="0"/>
          <c:extLst>
            <c:ext xmlns:c16="http://schemas.microsoft.com/office/drawing/2014/chart" uri="{C3380CC4-5D6E-409C-BE32-E72D297353CC}">
              <c16:uniqueId val="{00000005-1796-48EC-A6B2-0F0BED4DF490}"/>
            </c:ext>
          </c:extLst>
        </c:ser>
        <c:dLbls>
          <c:showLegendKey val="0"/>
          <c:showVal val="0"/>
          <c:showCatName val="0"/>
          <c:showSerName val="0"/>
          <c:showPercent val="0"/>
          <c:showBubbleSize val="0"/>
        </c:dLbls>
        <c:marker val="1"/>
        <c:smooth val="0"/>
        <c:axId val="150070400"/>
        <c:axId val="150072320"/>
      </c:lineChart>
      <c:catAx>
        <c:axId val="15007040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50072320"/>
        <c:crosses val="autoZero"/>
        <c:auto val="1"/>
        <c:lblAlgn val="ctr"/>
        <c:lblOffset val="100"/>
        <c:noMultiLvlLbl val="0"/>
      </c:catAx>
      <c:valAx>
        <c:axId val="150072320"/>
        <c:scaling>
          <c:orientation val="minMax"/>
          <c:max val="2"/>
          <c:min val="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0.0" sourceLinked="1"/>
        <c:majorTickMark val="out"/>
        <c:minorTickMark val="none"/>
        <c:tickLblPos val="nextTo"/>
        <c:spPr>
          <a:ln>
            <a:solidFill>
              <a:sysClr val="windowText" lastClr="000000"/>
            </a:solidFill>
          </a:ln>
        </c:spPr>
        <c:txPr>
          <a:bodyPr/>
          <a:lstStyle/>
          <a:p>
            <a:pPr>
              <a:defRPr lang="en-GB"/>
            </a:pPr>
            <a:endParaRPr lang="ar-SA"/>
          </a:p>
        </c:txPr>
        <c:crossAx val="150070400"/>
        <c:crosses val="autoZero"/>
        <c:crossBetween val="between"/>
        <c:majorUnit val="0.5"/>
        <c:minorUnit val="4.0000000000000022E-2"/>
      </c:valAx>
    </c:plotArea>
    <c:legend>
      <c:legendPos val="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33892125116113"/>
          <c:y val="6.3543652143933899E-2"/>
          <c:w val="0.86304612419589555"/>
          <c:h val="0.75106506912100179"/>
        </c:manualLayout>
      </c:layout>
      <c:lineChart>
        <c:grouping val="standard"/>
        <c:varyColors val="0"/>
        <c:ser>
          <c:idx val="1"/>
          <c:order val="0"/>
          <c:dLbls>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Sheet1!$C$1:$F$1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F01D-4174-8397-1DA44E7FC14A}"/>
            </c:ext>
          </c:extLst>
        </c:ser>
        <c:ser>
          <c:idx val="0"/>
          <c:order val="1"/>
          <c:spPr>
            <a:ln>
              <a:solidFill>
                <a:srgbClr val="E33332"/>
              </a:solidFill>
            </a:ln>
          </c:spPr>
          <c:marker>
            <c:spPr>
              <a:solidFill>
                <a:srgbClr val="E33332"/>
              </a:solidFill>
              <a:ln>
                <a:solidFill>
                  <a:srgbClr val="E33332"/>
                </a:solidFill>
              </a:ln>
            </c:spPr>
          </c:marker>
          <c:dLbls>
            <c:dLbl>
              <c:idx val="0"/>
              <c:layout>
                <c:manualLayout>
                  <c:x val="-3.8903494467198714E-2"/>
                  <c:y val="-7.4114508936387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01D-4174-8397-1DA44E7FC14A}"/>
                </c:ext>
              </c:extLst>
            </c:dLbl>
            <c:dLbl>
              <c:idx val="1"/>
              <c:layout>
                <c:manualLayout>
                  <c:x val="-3.661505361618704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01D-4174-8397-1DA44E7FC14A}"/>
                </c:ext>
              </c:extLst>
            </c:dLbl>
            <c:dLbl>
              <c:idx val="2"/>
              <c:layout>
                <c:manualLayout>
                  <c:x val="-4.3480376169222089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01D-4174-8397-1DA44E7FC14A}"/>
                </c:ext>
              </c:extLst>
            </c:dLbl>
            <c:dLbl>
              <c:idx val="3"/>
              <c:layout>
                <c:manualLayout>
                  <c:x val="-5.4922580424280734E-2"/>
                  <c:y val="-9.12178571524767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01D-4174-8397-1DA44E7FC14A}"/>
                </c:ext>
              </c:extLst>
            </c:dLbl>
            <c:dLbl>
              <c:idx val="4"/>
              <c:layout>
                <c:manualLayout>
                  <c:x val="-5.2634139573268852E-2"/>
                  <c:y val="-7.4114508936387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01D-4174-8397-1DA44E7FC14A}"/>
                </c:ext>
              </c:extLst>
            </c:dLbl>
            <c:dLbl>
              <c:idx val="5"/>
              <c:layout>
                <c:manualLayout>
                  <c:x val="-1.8307526808093513E-2"/>
                  <c:y val="-6.2712276792329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01D-4174-8397-1DA44E7FC14A}"/>
                </c:ext>
              </c:extLst>
            </c:dLbl>
            <c:dLbl>
              <c:idx val="6"/>
              <c:layout>
                <c:manualLayout>
                  <c:x val="-3.8903494467198714E-2"/>
                  <c:y val="-8.55167410804467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01D-4174-8397-1DA44E7FC14A}"/>
                </c:ext>
              </c:extLst>
            </c:dLbl>
            <c:dLbl>
              <c:idx val="7"/>
              <c:layout>
                <c:manualLayout>
                  <c:x val="-7.551854808338572E-2"/>
                  <c:y val="-0.1083212053685662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01D-4174-8397-1DA44E7FC14A}"/>
                </c:ext>
              </c:extLst>
            </c:dLbl>
            <c:dLbl>
              <c:idx val="8"/>
              <c:layout>
                <c:manualLayout>
                  <c:x val="-4.5768817020234123E-2"/>
                  <c:y val="-5.131004464826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01D-4174-8397-1DA44E7FC14A}"/>
                </c:ext>
              </c:extLst>
            </c:dLbl>
            <c:numFmt formatCode="#,##0.0" sourceLinked="0"/>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A-F01D-4174-8397-1DA44E7FC14A}"/>
            </c:ext>
          </c:extLst>
        </c:ser>
        <c:dLbls>
          <c:showLegendKey val="0"/>
          <c:showVal val="0"/>
          <c:showCatName val="0"/>
          <c:showSerName val="0"/>
          <c:showPercent val="0"/>
          <c:showBubbleSize val="0"/>
        </c:dLbls>
        <c:marker val="1"/>
        <c:smooth val="0"/>
        <c:axId val="189817600"/>
        <c:axId val="189819520"/>
      </c:lineChart>
      <c:catAx>
        <c:axId val="18981760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rot="0" vert="horz"/>
          <a:lstStyle/>
          <a:p>
            <a:pPr>
              <a:defRPr lang="en-GB"/>
            </a:pPr>
            <a:endParaRPr lang="ar-SA"/>
          </a:p>
        </c:txPr>
        <c:crossAx val="189819520"/>
        <c:crosses val="autoZero"/>
        <c:auto val="1"/>
        <c:lblAlgn val="ctr"/>
        <c:lblOffset val="50"/>
        <c:tickLblSkip val="1"/>
        <c:tickMarkSkip val="1"/>
        <c:noMultiLvlLbl val="0"/>
      </c:catAx>
      <c:valAx>
        <c:axId val="189819520"/>
        <c:scaling>
          <c:orientation val="minMax"/>
          <c:max val="100"/>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 sourceLinked="0"/>
        <c:majorTickMark val="out"/>
        <c:minorTickMark val="none"/>
        <c:tickLblPos val="nextTo"/>
        <c:txPr>
          <a:bodyPr rot="-60000" vert="horz"/>
          <a:lstStyle/>
          <a:p>
            <a:pPr>
              <a:defRPr lang="en-GB"/>
            </a:pPr>
            <a:endParaRPr lang="ar-SA"/>
          </a:p>
        </c:txPr>
        <c:crossAx val="189817600"/>
        <c:crosses val="autoZero"/>
        <c:crossBetween val="between"/>
        <c:majorUnit val="10"/>
      </c:valAx>
      <c:spPr>
        <a:noFill/>
        <a:ln w="25406">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0240594925765E-2"/>
          <c:y val="7.7564098649096594E-2"/>
          <c:w val="0.91199055847185773"/>
          <c:h val="0.72767950092472644"/>
        </c:manualLayout>
      </c:layout>
      <c:barChart>
        <c:barDir val="col"/>
        <c:grouping val="clustered"/>
        <c:varyColors val="0"/>
        <c:ser>
          <c:idx val="0"/>
          <c:order val="0"/>
          <c:tx>
            <c:strRef>
              <c:f>Sheet1!$B$1</c:f>
              <c:strCache>
                <c:ptCount val="1"/>
                <c:pt idx="0">
                  <c:v>Male</c:v>
                </c:pt>
              </c:strCache>
            </c:strRef>
          </c:tx>
          <c:spPr>
            <a:solidFill>
              <a:srgbClr val="4F81BD">
                <a:lumMod val="20000"/>
                <a:lumOff val="80000"/>
              </a:srgbClr>
            </a:solidFill>
            <a:ln>
              <a:solidFill>
                <a:srgbClr val="4E81BD"/>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1999/2000</c:v>
                </c:pt>
                <c:pt idx="1">
                  <c:v>2012/2013</c:v>
                </c:pt>
              </c:strCache>
            </c:strRef>
          </c:cat>
          <c:val>
            <c:numRef>
              <c:f>Sheet1!$B$2:$B$3</c:f>
              <c:numCache>
                <c:formatCode>0.0</c:formatCode>
                <c:ptCount val="2"/>
                <c:pt idx="0">
                  <c:v>3.1</c:v>
                </c:pt>
                <c:pt idx="1">
                  <c:v>3</c:v>
                </c:pt>
              </c:numCache>
            </c:numRef>
          </c:val>
          <c:extLst>
            <c:ext xmlns:c16="http://schemas.microsoft.com/office/drawing/2014/chart" uri="{C3380CC4-5D6E-409C-BE32-E72D297353CC}">
              <c16:uniqueId val="{00000000-4343-42F3-9BC1-299FE9EA786A}"/>
            </c:ext>
          </c:extLst>
        </c:ser>
        <c:ser>
          <c:idx val="1"/>
          <c:order val="1"/>
          <c:tx>
            <c:strRef>
              <c:f>Sheet1!$C$1</c:f>
              <c:strCache>
                <c:ptCount val="1"/>
                <c:pt idx="0">
                  <c:v>Female</c:v>
                </c:pt>
              </c:strCache>
            </c:strRef>
          </c:tx>
          <c:spPr>
            <a:solidFill>
              <a:srgbClr val="C0504D">
                <a:lumMod val="50000"/>
              </a:srgbClr>
            </a:solidFill>
            <a:ln>
              <a:solidFill>
                <a:srgbClr val="C1504E"/>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1999/2000</c:v>
                </c:pt>
                <c:pt idx="1">
                  <c:v>2012/2013</c:v>
                </c:pt>
              </c:strCache>
            </c:strRef>
          </c:cat>
          <c:val>
            <c:numRef>
              <c:f>Sheet1!$C$2:$C$3</c:f>
              <c:numCache>
                <c:formatCode>0.0</c:formatCode>
                <c:ptCount val="2"/>
                <c:pt idx="0">
                  <c:v>20.200000000000003</c:v>
                </c:pt>
                <c:pt idx="1">
                  <c:v>17.8</c:v>
                </c:pt>
              </c:numCache>
            </c:numRef>
          </c:val>
          <c:extLst>
            <c:ext xmlns:c16="http://schemas.microsoft.com/office/drawing/2014/chart" uri="{C3380CC4-5D6E-409C-BE32-E72D297353CC}">
              <c16:uniqueId val="{00000001-4343-42F3-9BC1-299FE9EA786A}"/>
            </c:ext>
          </c:extLst>
        </c:ser>
        <c:dLbls>
          <c:showLegendKey val="0"/>
          <c:showVal val="0"/>
          <c:showCatName val="0"/>
          <c:showSerName val="0"/>
          <c:showPercent val="0"/>
          <c:showBubbleSize val="0"/>
        </c:dLbls>
        <c:gapWidth val="300"/>
        <c:axId val="150185088"/>
        <c:axId val="150187008"/>
      </c:barChart>
      <c:catAx>
        <c:axId val="15018508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endParaRPr lang="ar-JO"/>
              </a:p>
            </c:rich>
          </c:tx>
          <c:layout/>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150187008"/>
        <c:crosses val="autoZero"/>
        <c:auto val="1"/>
        <c:lblAlgn val="ctr"/>
        <c:lblOffset val="100"/>
        <c:noMultiLvlLbl val="0"/>
      </c:catAx>
      <c:valAx>
        <c:axId val="15018700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endParaRPr lang="ar-JO"/>
              </a:p>
            </c:rich>
          </c:tx>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50185088"/>
        <c:crosses val="autoZero"/>
        <c:crossBetween val="between"/>
      </c:valAx>
      <c:spPr>
        <a:noFill/>
        <a:ln w="25398">
          <a:noFill/>
        </a:ln>
      </c:spPr>
    </c:plotArea>
    <c:legend>
      <c:legendPos val="r"/>
      <c:layout>
        <c:manualLayout>
          <c:xMode val="edge"/>
          <c:yMode val="edge"/>
          <c:x val="0.50482624300937662"/>
          <c:y val="2.0868502548292575E-2"/>
          <c:w val="0.29378481400072382"/>
          <c:h val="0.11210876418225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005767624610724E-2"/>
          <c:y val="0.13821530444268254"/>
          <c:w val="0.90054890638670171"/>
          <c:h val="0.72255428220860984"/>
        </c:manualLayout>
      </c:layout>
      <c:barChart>
        <c:barDir val="col"/>
        <c:grouping val="clustered"/>
        <c:varyColors val="0"/>
        <c:ser>
          <c:idx val="0"/>
          <c:order val="0"/>
          <c:tx>
            <c:strRef>
              <c:f>Sheet1!$B$1</c:f>
              <c:strCache>
                <c:ptCount val="1"/>
                <c:pt idx="0">
                  <c:v> 24-15</c:v>
                </c:pt>
              </c:strCache>
            </c:strRef>
          </c:tx>
          <c:spPr>
            <a:solidFill>
              <a:srgbClr val="4F81BD">
                <a:lumMod val="5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Sheet1!$B$2:$B$3</c:f>
              <c:numCache>
                <c:formatCode>0.0</c:formatCode>
                <c:ptCount val="2"/>
                <c:pt idx="0">
                  <c:v>2</c:v>
                </c:pt>
                <c:pt idx="1">
                  <c:v>13.900000000000002</c:v>
                </c:pt>
              </c:numCache>
            </c:numRef>
          </c:val>
          <c:extLst>
            <c:ext xmlns:c16="http://schemas.microsoft.com/office/drawing/2014/chart" uri="{C3380CC4-5D6E-409C-BE32-E72D297353CC}">
              <c16:uniqueId val="{00000000-7522-4B3B-91CC-D0D35544EC08}"/>
            </c:ext>
          </c:extLst>
        </c:ser>
        <c:ser>
          <c:idx val="1"/>
          <c:order val="1"/>
          <c:tx>
            <c:strRef>
              <c:f>Sheet1!$C$1</c:f>
              <c:strCache>
                <c:ptCount val="1"/>
                <c:pt idx="0">
                  <c:v>44-25</c:v>
                </c:pt>
              </c:strCache>
            </c:strRef>
          </c:tx>
          <c:spPr>
            <a:solidFill>
              <a:srgbClr val="4F81BD">
                <a:lumMod val="60000"/>
                <a:lumOff val="4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Sheet1!$C$2:$C$3</c:f>
              <c:numCache>
                <c:formatCode>0.0</c:formatCode>
                <c:ptCount val="2"/>
                <c:pt idx="0">
                  <c:v>3.4000000000000004</c:v>
                </c:pt>
                <c:pt idx="1">
                  <c:v>27.200000000000003</c:v>
                </c:pt>
              </c:numCache>
            </c:numRef>
          </c:val>
          <c:extLst>
            <c:ext xmlns:c16="http://schemas.microsoft.com/office/drawing/2014/chart" uri="{C3380CC4-5D6E-409C-BE32-E72D297353CC}">
              <c16:uniqueId val="{00000001-7522-4B3B-91CC-D0D35544EC08}"/>
            </c:ext>
          </c:extLst>
        </c:ser>
        <c:ser>
          <c:idx val="2"/>
          <c:order val="2"/>
          <c:tx>
            <c:strRef>
              <c:f>Sheet1!$D$1</c:f>
              <c:strCache>
                <c:ptCount val="1"/>
                <c:pt idx="0">
                  <c:v>54-45</c:v>
                </c:pt>
              </c:strCache>
            </c:strRef>
          </c:tx>
          <c:spPr>
            <a:solidFill>
              <a:srgbClr val="4F81BD">
                <a:lumMod val="40000"/>
                <a:lumOff val="6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Sheet1!$D$2:$D$3</c:f>
              <c:numCache>
                <c:formatCode>0.0</c:formatCode>
                <c:ptCount val="2"/>
                <c:pt idx="0">
                  <c:v>3.6999999999999997</c:v>
                </c:pt>
                <c:pt idx="1">
                  <c:v>21.6</c:v>
                </c:pt>
              </c:numCache>
            </c:numRef>
          </c:val>
          <c:extLst>
            <c:ext xmlns:c16="http://schemas.microsoft.com/office/drawing/2014/chart" uri="{C3380CC4-5D6E-409C-BE32-E72D297353CC}">
              <c16:uniqueId val="{00000002-7522-4B3B-91CC-D0D35544EC08}"/>
            </c:ext>
          </c:extLst>
        </c:ser>
        <c:ser>
          <c:idx val="3"/>
          <c:order val="3"/>
          <c:tx>
            <c:strRef>
              <c:f>Sheet1!$E$1</c:f>
              <c:strCache>
                <c:ptCount val="1"/>
                <c:pt idx="0">
                  <c:v>64-55</c:v>
                </c:pt>
              </c:strCache>
            </c:strRef>
          </c:tx>
          <c:spPr>
            <a:solidFill>
              <a:srgbClr val="4F81BD">
                <a:lumMod val="20000"/>
                <a:lumOff val="8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Sheet1!$E$2:$E$3</c:f>
              <c:numCache>
                <c:formatCode>0.0</c:formatCode>
                <c:ptCount val="2"/>
                <c:pt idx="0">
                  <c:v>4</c:v>
                </c:pt>
                <c:pt idx="1">
                  <c:v>18.3</c:v>
                </c:pt>
              </c:numCache>
            </c:numRef>
          </c:val>
          <c:extLst>
            <c:ext xmlns:c16="http://schemas.microsoft.com/office/drawing/2014/chart" uri="{C3380CC4-5D6E-409C-BE32-E72D297353CC}">
              <c16:uniqueId val="{00000003-7522-4B3B-91CC-D0D35544EC08}"/>
            </c:ext>
          </c:extLst>
        </c:ser>
        <c:ser>
          <c:idx val="4"/>
          <c:order val="4"/>
          <c:tx>
            <c:strRef>
              <c:f>Sheet1!$F$1</c:f>
              <c:strCache>
                <c:ptCount val="1"/>
                <c:pt idx="0">
                  <c:v>65+</c:v>
                </c:pt>
              </c:strCache>
            </c:strRef>
          </c:tx>
          <c:spPr>
            <a:solidFill>
              <a:srgbClr val="4BACC6"/>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Sheet1!$F$2:$F$3</c:f>
              <c:numCache>
                <c:formatCode>0.0</c:formatCode>
                <c:ptCount val="2"/>
                <c:pt idx="0">
                  <c:v>3.4000000000000004</c:v>
                </c:pt>
                <c:pt idx="1">
                  <c:v>8.9</c:v>
                </c:pt>
              </c:numCache>
            </c:numRef>
          </c:val>
          <c:extLst>
            <c:ext xmlns:c16="http://schemas.microsoft.com/office/drawing/2014/chart" uri="{C3380CC4-5D6E-409C-BE32-E72D297353CC}">
              <c16:uniqueId val="{00000004-7522-4B3B-91CC-D0D35544EC08}"/>
            </c:ext>
          </c:extLst>
        </c:ser>
        <c:dLbls>
          <c:showLegendKey val="0"/>
          <c:showVal val="0"/>
          <c:showCatName val="0"/>
          <c:showSerName val="0"/>
          <c:showPercent val="0"/>
          <c:showBubbleSize val="0"/>
        </c:dLbls>
        <c:gapWidth val="219"/>
        <c:overlap val="-27"/>
        <c:axId val="150443904"/>
        <c:axId val="150454272"/>
      </c:barChart>
      <c:dateAx>
        <c:axId val="15044390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Sex</a:t>
                </a:r>
              </a:p>
            </c:rich>
          </c:tx>
          <c:layout/>
          <c:overlay val="0"/>
        </c:title>
        <c:numFmt formatCode="General" sourceLinked="0"/>
        <c:majorTickMark val="none"/>
        <c:minorTickMark val="none"/>
        <c:tickLblPos val="nextTo"/>
        <c:spPr>
          <a:noFill/>
          <a:ln w="9520" cap="flat" cmpd="sng" algn="ctr">
            <a:solidFill>
              <a:sysClr val="windowText" lastClr="000000"/>
            </a:solidFill>
            <a:round/>
          </a:ln>
          <a:effectLst/>
        </c:spPr>
        <c:txPr>
          <a:bodyPr rot="-60000000" vert="horz"/>
          <a:lstStyle/>
          <a:p>
            <a:pPr>
              <a:defRPr lang="en-GB"/>
            </a:pPr>
            <a:endParaRPr lang="ar-SA"/>
          </a:p>
        </c:txPr>
        <c:crossAx val="150454272"/>
        <c:crosses val="autoZero"/>
        <c:auto val="0"/>
        <c:lblOffset val="100"/>
        <c:baseTimeUnit val="days"/>
      </c:dateAx>
      <c:valAx>
        <c:axId val="15045427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none"/>
        <c:minorTickMark val="none"/>
        <c:tickLblPos val="nextTo"/>
        <c:spPr>
          <a:ln>
            <a:solidFill>
              <a:sysClr val="windowText" lastClr="000000"/>
            </a:solidFill>
          </a:ln>
          <a:effectLst/>
        </c:spPr>
        <c:txPr>
          <a:bodyPr rot="-60000000" vert="horz"/>
          <a:lstStyle/>
          <a:p>
            <a:pPr>
              <a:defRPr lang="en-GB"/>
            </a:pPr>
            <a:endParaRPr lang="ar-SA"/>
          </a:p>
        </c:txPr>
        <c:crossAx val="150443904"/>
        <c:crosses val="autoZero"/>
        <c:crossBetween val="between"/>
      </c:valAx>
      <c:spPr>
        <a:noFill/>
        <a:ln w="25386">
          <a:noFill/>
        </a:ln>
      </c:spPr>
    </c:plotArea>
    <c:legend>
      <c:legendPos val="t"/>
      <c:legendEntry>
        <c:idx val="4"/>
        <c:txPr>
          <a:bodyPr/>
          <a:lstStyle/>
          <a:p>
            <a:pPr rtl="0">
              <a:defRPr/>
            </a:pPr>
            <a:endParaRPr lang="ar-SA"/>
          </a:p>
        </c:txPr>
      </c:legendEntry>
      <c:layout>
        <c:manualLayout>
          <c:xMode val="edge"/>
          <c:yMode val="edge"/>
          <c:x val="0.25406041194003298"/>
          <c:y val="3.2520129899016849E-2"/>
          <c:w val="0.53250197962542734"/>
          <c:h val="8.6447350860803462E-2"/>
        </c:manualLayout>
      </c:layout>
      <c:overlay val="0"/>
      <c:spPr>
        <a:ln>
          <a:solidFill>
            <a:schemeClr val="tx1"/>
          </a:solidFill>
        </a:ln>
      </c:spPr>
      <c:txPr>
        <a:bodyPr/>
        <a:lstStyle/>
        <a:p>
          <a:pPr rtl="1">
            <a:defRPr lang="en-GB"/>
          </a:pPr>
          <a:endParaRPr lang="ar-SA"/>
        </a:p>
      </c:txPr>
    </c:legend>
    <c:plotVisOnly val="1"/>
    <c:dispBlanksAs val="gap"/>
    <c:showDLblsOverMax val="0"/>
  </c:chart>
  <c:spPr>
    <a:solidFill>
      <a:sysClr val="window" lastClr="FFFFFF"/>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0984603353285824E-2"/>
          <c:y val="5.9600145736648416E-2"/>
          <c:w val="0.92004965896458824"/>
          <c:h val="0.80158569664763069"/>
        </c:manualLayout>
      </c:layout>
      <c:barChart>
        <c:barDir val="col"/>
        <c:grouping val="clustered"/>
        <c:varyColors val="0"/>
        <c:ser>
          <c:idx val="0"/>
          <c:order val="0"/>
          <c:tx>
            <c:strRef>
              <c:f>Sheet1!$B$1</c:f>
              <c:strCache>
                <c:ptCount val="1"/>
                <c:pt idx="0">
                  <c:v>Male</c:v>
                </c:pt>
              </c:strCache>
            </c:strRef>
          </c:tx>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Urban</c:v>
                </c:pt>
                <c:pt idx="1">
                  <c:v>Rural</c:v>
                </c:pt>
              </c:strCache>
            </c:strRef>
          </c:cat>
          <c:val>
            <c:numRef>
              <c:f>Sheet1!$B$2:$B$3</c:f>
              <c:numCache>
                <c:formatCode>0.0</c:formatCode>
                <c:ptCount val="2"/>
                <c:pt idx="0">
                  <c:v>3.1</c:v>
                </c:pt>
                <c:pt idx="1">
                  <c:v>2.6</c:v>
                </c:pt>
              </c:numCache>
            </c:numRef>
          </c:val>
          <c:extLst>
            <c:ext xmlns:c16="http://schemas.microsoft.com/office/drawing/2014/chart" uri="{C3380CC4-5D6E-409C-BE32-E72D297353CC}">
              <c16:uniqueId val="{00000000-3A84-405D-AA85-D4EAF6374848}"/>
            </c:ext>
          </c:extLst>
        </c:ser>
        <c:ser>
          <c:idx val="1"/>
          <c:order val="1"/>
          <c:tx>
            <c:strRef>
              <c:f>Sheet1!$C$1</c:f>
              <c:strCache>
                <c:ptCount val="1"/>
                <c:pt idx="0">
                  <c:v>Female</c:v>
                </c:pt>
              </c:strCache>
            </c:strRef>
          </c:tx>
          <c:spPr>
            <a:solidFill>
              <a:srgbClr val="4F81BD">
                <a:lumMod val="20000"/>
                <a:lumOff val="80000"/>
              </a:srgbClr>
            </a:solidFill>
          </c:spPr>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Urban</c:v>
                </c:pt>
                <c:pt idx="1">
                  <c:v>Rural</c:v>
                </c:pt>
              </c:strCache>
            </c:strRef>
          </c:cat>
          <c:val>
            <c:numRef>
              <c:f>Sheet1!$C$2:$C$3</c:f>
              <c:numCache>
                <c:formatCode>0.0</c:formatCode>
                <c:ptCount val="2"/>
                <c:pt idx="0">
                  <c:v>18.3</c:v>
                </c:pt>
                <c:pt idx="1">
                  <c:v>17</c:v>
                </c:pt>
              </c:numCache>
            </c:numRef>
          </c:val>
          <c:extLst>
            <c:ext xmlns:c16="http://schemas.microsoft.com/office/drawing/2014/chart" uri="{C3380CC4-5D6E-409C-BE32-E72D297353CC}">
              <c16:uniqueId val="{00000001-3A84-405D-AA85-D4EAF6374848}"/>
            </c:ext>
          </c:extLst>
        </c:ser>
        <c:dLbls>
          <c:showLegendKey val="0"/>
          <c:showVal val="0"/>
          <c:showCatName val="0"/>
          <c:showSerName val="0"/>
          <c:showPercent val="0"/>
          <c:showBubbleSize val="0"/>
        </c:dLbls>
        <c:gapWidth val="300"/>
        <c:axId val="150468864"/>
        <c:axId val="150372736"/>
      </c:barChart>
      <c:catAx>
        <c:axId val="15046886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Type of Locality</a:t>
                </a:r>
              </a:p>
            </c:rich>
          </c:tx>
          <c:layout/>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150372736"/>
        <c:crosses val="autoZero"/>
        <c:auto val="1"/>
        <c:lblAlgn val="ctr"/>
        <c:lblOffset val="100"/>
        <c:noMultiLvlLbl val="0"/>
      </c:catAx>
      <c:valAx>
        <c:axId val="15037273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50468864"/>
        <c:crosses val="autoZero"/>
        <c:crossBetween val="between"/>
      </c:valAx>
    </c:plotArea>
    <c:legend>
      <c:legendPos val="r"/>
      <c:layout>
        <c:manualLayout>
          <c:xMode val="edge"/>
          <c:yMode val="edge"/>
          <c:x val="0.47586868673456589"/>
          <c:y val="2.3472129543129251E-2"/>
          <c:w val="0.24996596336081991"/>
          <c:h val="0.11323501935139471"/>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045755878453363E-2"/>
          <c:y val="5.9620596205962072E-2"/>
          <c:w val="0.8793181264713047"/>
          <c:h val="0.8073439059554175"/>
        </c:manualLayout>
      </c:layout>
      <c:barChart>
        <c:barDir val="col"/>
        <c:grouping val="clustered"/>
        <c:varyColors val="0"/>
        <c:ser>
          <c:idx val="0"/>
          <c:order val="0"/>
          <c:tx>
            <c:strRef>
              <c:f>Sheet1!$B$1</c:f>
              <c:strCache>
                <c:ptCount val="1"/>
                <c:pt idx="0">
                  <c:v>Male</c:v>
                </c:pt>
              </c:strCache>
            </c:strRef>
          </c:tx>
          <c:invertIfNegative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1999/2000</c:v>
                </c:pt>
                <c:pt idx="1">
                  <c:v>2013/2012</c:v>
                </c:pt>
              </c:strCache>
            </c:strRef>
          </c:cat>
          <c:val>
            <c:numRef>
              <c:f>Sheet1!$B$2:$B$3</c:f>
              <c:numCache>
                <c:formatCode>0.0</c:formatCode>
                <c:ptCount val="2"/>
                <c:pt idx="0">
                  <c:v>0.83330000000000004</c:v>
                </c:pt>
                <c:pt idx="1">
                  <c:v>0.62500000000000056</c:v>
                </c:pt>
              </c:numCache>
            </c:numRef>
          </c:val>
          <c:extLst>
            <c:ext xmlns:c16="http://schemas.microsoft.com/office/drawing/2014/chart" uri="{C3380CC4-5D6E-409C-BE32-E72D297353CC}">
              <c16:uniqueId val="{00000000-D1B3-43CE-AA8A-B752FEC19F6C}"/>
            </c:ext>
          </c:extLst>
        </c:ser>
        <c:ser>
          <c:idx val="1"/>
          <c:order val="1"/>
          <c:tx>
            <c:strRef>
              <c:f>Sheet1!$C$1</c:f>
              <c:strCache>
                <c:ptCount val="1"/>
                <c:pt idx="0">
                  <c:v>Female</c:v>
                </c:pt>
              </c:strCache>
            </c:strRef>
          </c:tx>
          <c:spPr>
            <a:solidFill>
              <a:srgbClr val="4F81BD">
                <a:lumMod val="20000"/>
                <a:lumOff val="80000"/>
              </a:srgbClr>
            </a:solidFill>
          </c:spPr>
          <c:invertIfNegative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1999/2000</c:v>
                </c:pt>
                <c:pt idx="1">
                  <c:v>2013/2012</c:v>
                </c:pt>
              </c:strCache>
            </c:strRef>
          </c:cat>
          <c:val>
            <c:numRef>
              <c:f>Sheet1!$C$2:$C$3</c:f>
              <c:numCache>
                <c:formatCode>0.0</c:formatCode>
                <c:ptCount val="2"/>
                <c:pt idx="0">
                  <c:v>4.6527799999999955</c:v>
                </c:pt>
                <c:pt idx="1">
                  <c:v>3.8194399999999975</c:v>
                </c:pt>
              </c:numCache>
            </c:numRef>
          </c:val>
          <c:extLst>
            <c:ext xmlns:c16="http://schemas.microsoft.com/office/drawing/2014/chart" uri="{C3380CC4-5D6E-409C-BE32-E72D297353CC}">
              <c16:uniqueId val="{00000001-D1B3-43CE-AA8A-B752FEC19F6C}"/>
            </c:ext>
          </c:extLst>
        </c:ser>
        <c:dLbls>
          <c:showLegendKey val="0"/>
          <c:showVal val="0"/>
          <c:showCatName val="0"/>
          <c:showSerName val="0"/>
          <c:showPercent val="0"/>
          <c:showBubbleSize val="0"/>
        </c:dLbls>
        <c:gapWidth val="300"/>
        <c:axId val="150534400"/>
        <c:axId val="150544768"/>
      </c:barChart>
      <c:catAx>
        <c:axId val="15053440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150544768"/>
        <c:crosses val="autoZero"/>
        <c:auto val="1"/>
        <c:lblAlgn val="ctr"/>
        <c:lblOffset val="100"/>
        <c:noMultiLvlLbl val="0"/>
      </c:catAx>
      <c:valAx>
        <c:axId val="15054476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manualLayout>
              <c:xMode val="edge"/>
              <c:yMode val="edge"/>
              <c:x val="2.2416141281308935E-2"/>
              <c:y val="0.28763949653020243"/>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50534400"/>
        <c:crosses val="autoZero"/>
        <c:crossBetween val="between"/>
        <c:majorUnit val="1"/>
      </c:valAx>
    </c:plotArea>
    <c:legend>
      <c:legendPos val="r"/>
      <c:layout>
        <c:manualLayout>
          <c:xMode val="edge"/>
          <c:yMode val="edge"/>
          <c:x val="0.46323242533872455"/>
          <c:y val="2.8728851201291952E-2"/>
          <c:w val="0.29944420798751725"/>
          <c:h val="8.0753886533414226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005767624610724E-2"/>
          <c:y val="0.13821530444268254"/>
          <c:w val="0.90054890638670171"/>
          <c:h val="0.71037764115102053"/>
        </c:manualLayout>
      </c:layout>
      <c:barChart>
        <c:barDir val="col"/>
        <c:grouping val="clustered"/>
        <c:varyColors val="0"/>
        <c:ser>
          <c:idx val="0"/>
          <c:order val="0"/>
          <c:tx>
            <c:strRef>
              <c:f>Sheet1!$B$1</c:f>
              <c:strCache>
                <c:ptCount val="1"/>
                <c:pt idx="0">
                  <c:v> 24-15</c:v>
                </c:pt>
              </c:strCache>
            </c:strRef>
          </c:tx>
          <c:spPr>
            <a:solidFill>
              <a:srgbClr val="4F81BD">
                <a:lumMod val="20000"/>
                <a:lumOff val="8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Sheet1!$B$2:$B$3</c:f>
              <c:numCache>
                <c:formatCode>0.0</c:formatCode>
                <c:ptCount val="2"/>
                <c:pt idx="0">
                  <c:v>0.27778000000000008</c:v>
                </c:pt>
                <c:pt idx="1">
                  <c:v>2.98611</c:v>
                </c:pt>
              </c:numCache>
            </c:numRef>
          </c:val>
          <c:extLst>
            <c:ext xmlns:c16="http://schemas.microsoft.com/office/drawing/2014/chart" uri="{C3380CC4-5D6E-409C-BE32-E72D297353CC}">
              <c16:uniqueId val="{00000000-89F4-4994-8122-5E137938BC61}"/>
            </c:ext>
          </c:extLst>
        </c:ser>
        <c:ser>
          <c:idx val="1"/>
          <c:order val="1"/>
          <c:tx>
            <c:strRef>
              <c:f>Sheet1!$C$1</c:f>
              <c:strCache>
                <c:ptCount val="1"/>
                <c:pt idx="0">
                  <c:v>44-25</c:v>
                </c:pt>
              </c:strCache>
            </c:strRef>
          </c:tx>
          <c:spPr>
            <a:solidFill>
              <a:srgbClr val="4F81BD">
                <a:lumMod val="60000"/>
                <a:lumOff val="4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Sheet1!$C$2:$C$3</c:f>
              <c:numCache>
                <c:formatCode>0.0</c:formatCode>
                <c:ptCount val="2"/>
                <c:pt idx="0">
                  <c:v>1.11111</c:v>
                </c:pt>
                <c:pt idx="1">
                  <c:v>7.8472200000000001</c:v>
                </c:pt>
              </c:numCache>
            </c:numRef>
          </c:val>
          <c:extLst>
            <c:ext xmlns:c16="http://schemas.microsoft.com/office/drawing/2014/chart" uri="{C3380CC4-5D6E-409C-BE32-E72D297353CC}">
              <c16:uniqueId val="{00000001-89F4-4994-8122-5E137938BC61}"/>
            </c:ext>
          </c:extLst>
        </c:ser>
        <c:ser>
          <c:idx val="2"/>
          <c:order val="2"/>
          <c:tx>
            <c:strRef>
              <c:f>Sheet1!$D$1</c:f>
              <c:strCache>
                <c:ptCount val="1"/>
                <c:pt idx="0">
                  <c:v>54-45</c:v>
                </c:pt>
              </c:strCache>
            </c:strRef>
          </c:tx>
          <c:spPr>
            <a:solidFill>
              <a:srgbClr val="4F81BD">
                <a:lumMod val="75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Sheet1!$D$2:$D$3</c:f>
              <c:numCache>
                <c:formatCode>0.0</c:formatCode>
                <c:ptCount val="2"/>
                <c:pt idx="0">
                  <c:v>0.76389000000000085</c:v>
                </c:pt>
                <c:pt idx="1">
                  <c:v>1.73611</c:v>
                </c:pt>
              </c:numCache>
            </c:numRef>
          </c:val>
          <c:extLst>
            <c:ext xmlns:c16="http://schemas.microsoft.com/office/drawing/2014/chart" uri="{C3380CC4-5D6E-409C-BE32-E72D297353CC}">
              <c16:uniqueId val="{00000002-89F4-4994-8122-5E137938BC61}"/>
            </c:ext>
          </c:extLst>
        </c:ser>
        <c:ser>
          <c:idx val="3"/>
          <c:order val="3"/>
          <c:tx>
            <c:strRef>
              <c:f>Sheet1!$E$1</c:f>
              <c:strCache>
                <c:ptCount val="1"/>
                <c:pt idx="0">
                  <c:v>64-55</c:v>
                </c:pt>
              </c:strCache>
            </c:strRef>
          </c:tx>
          <c:spPr>
            <a:solidFill>
              <a:srgbClr val="4F81BD">
                <a:lumMod val="5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Sheet1!$E$2:$E$3</c:f>
              <c:numCache>
                <c:formatCode>0.0</c:formatCode>
                <c:ptCount val="2"/>
                <c:pt idx="0">
                  <c:v>0.48611000000000032</c:v>
                </c:pt>
                <c:pt idx="1">
                  <c:v>1.041669999999999</c:v>
                </c:pt>
              </c:numCache>
            </c:numRef>
          </c:val>
          <c:extLst>
            <c:ext xmlns:c16="http://schemas.microsoft.com/office/drawing/2014/chart" uri="{C3380CC4-5D6E-409C-BE32-E72D297353CC}">
              <c16:uniqueId val="{00000003-89F4-4994-8122-5E137938BC61}"/>
            </c:ext>
          </c:extLst>
        </c:ser>
        <c:ser>
          <c:idx val="4"/>
          <c:order val="4"/>
          <c:tx>
            <c:strRef>
              <c:f>Sheet1!$F$1</c:f>
              <c:strCache>
                <c:ptCount val="1"/>
                <c:pt idx="0">
                  <c:v>65+</c:v>
                </c:pt>
              </c:strCache>
            </c:strRef>
          </c:tx>
          <c:spPr>
            <a:solidFill>
              <a:srgbClr val="4BACC6"/>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Sheet1!$F$2:$F$3</c:f>
              <c:numCache>
                <c:formatCode>0.0</c:formatCode>
                <c:ptCount val="2"/>
                <c:pt idx="0">
                  <c:v>0.41667000000000026</c:v>
                </c:pt>
                <c:pt idx="1">
                  <c:v>0.83333000000000002</c:v>
                </c:pt>
              </c:numCache>
            </c:numRef>
          </c:val>
          <c:extLst>
            <c:ext xmlns:c16="http://schemas.microsoft.com/office/drawing/2014/chart" uri="{C3380CC4-5D6E-409C-BE32-E72D297353CC}">
              <c16:uniqueId val="{00000004-89F4-4994-8122-5E137938BC61}"/>
            </c:ext>
          </c:extLst>
        </c:ser>
        <c:dLbls>
          <c:showLegendKey val="0"/>
          <c:showVal val="0"/>
          <c:showCatName val="0"/>
          <c:showSerName val="0"/>
          <c:showPercent val="0"/>
          <c:showBubbleSize val="0"/>
        </c:dLbls>
        <c:gapWidth val="219"/>
        <c:overlap val="-27"/>
        <c:axId val="144915456"/>
        <c:axId val="144929920"/>
      </c:barChart>
      <c:dateAx>
        <c:axId val="1449154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Gender</a:t>
                </a:r>
              </a:p>
            </c:rich>
          </c:tx>
          <c:layout/>
          <c:overlay val="0"/>
        </c:title>
        <c:numFmt formatCode="General" sourceLinked="0"/>
        <c:majorTickMark val="none"/>
        <c:minorTickMark val="none"/>
        <c:tickLblPos val="nextTo"/>
        <c:spPr>
          <a:noFill/>
          <a:ln w="9520" cap="flat" cmpd="sng" algn="ctr">
            <a:solidFill>
              <a:sysClr val="windowText" lastClr="000000"/>
            </a:solidFill>
            <a:round/>
          </a:ln>
          <a:effectLst/>
        </c:spPr>
        <c:txPr>
          <a:bodyPr rot="-60000000" vert="horz"/>
          <a:lstStyle/>
          <a:p>
            <a:pPr>
              <a:defRPr lang="en-GB"/>
            </a:pPr>
            <a:endParaRPr lang="ar-SA"/>
          </a:p>
        </c:txPr>
        <c:crossAx val="144929920"/>
        <c:crosses val="autoZero"/>
        <c:auto val="0"/>
        <c:lblOffset val="100"/>
        <c:baseTimeUnit val="days"/>
      </c:dateAx>
      <c:valAx>
        <c:axId val="14492992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none"/>
        <c:minorTickMark val="none"/>
        <c:tickLblPos val="nextTo"/>
        <c:spPr>
          <a:ln>
            <a:solidFill>
              <a:sysClr val="windowText" lastClr="000000"/>
            </a:solidFill>
          </a:ln>
          <a:effectLst/>
        </c:spPr>
        <c:txPr>
          <a:bodyPr rot="-60000000" vert="horz"/>
          <a:lstStyle/>
          <a:p>
            <a:pPr>
              <a:defRPr lang="en-GB"/>
            </a:pPr>
            <a:endParaRPr lang="ar-SA"/>
          </a:p>
        </c:txPr>
        <c:crossAx val="144915456"/>
        <c:crosses val="autoZero"/>
        <c:crossBetween val="between"/>
      </c:valAx>
      <c:spPr>
        <a:noFill/>
        <a:ln w="25386">
          <a:noFill/>
        </a:ln>
      </c:spPr>
    </c:plotArea>
    <c:legend>
      <c:legendPos val="t"/>
      <c:legendEntry>
        <c:idx val="4"/>
        <c:txPr>
          <a:bodyPr/>
          <a:lstStyle/>
          <a:p>
            <a:pPr rtl="0">
              <a:defRPr/>
            </a:pPr>
            <a:endParaRPr lang="ar-SA"/>
          </a:p>
        </c:txPr>
      </c:legendEntry>
      <c:layout>
        <c:manualLayout>
          <c:xMode val="edge"/>
          <c:yMode val="edge"/>
          <c:x val="0.25406041194003298"/>
          <c:y val="3.2520129899016849E-2"/>
          <c:w val="0.53250197962542734"/>
          <c:h val="8.6447350860803462E-2"/>
        </c:manualLayout>
      </c:layout>
      <c:overlay val="0"/>
      <c:spPr>
        <a:ln>
          <a:solidFill>
            <a:schemeClr val="tx1"/>
          </a:solidFill>
        </a:ln>
      </c:spPr>
      <c:txPr>
        <a:bodyPr/>
        <a:lstStyle/>
        <a:p>
          <a:pPr rtl="1">
            <a:defRPr lang="en-GB"/>
          </a:pPr>
          <a:endParaRPr lang="ar-SA"/>
        </a:p>
      </c:txPr>
    </c:legend>
    <c:plotVisOnly val="1"/>
    <c:dispBlanksAs val="gap"/>
    <c:showDLblsOverMax val="0"/>
  </c:chart>
  <c:spPr>
    <a:solidFill>
      <a:sysClr val="window" lastClr="FFFFFF"/>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7132205360143128E-2"/>
          <c:y val="5.9600145736648416E-2"/>
          <c:w val="0.90390195170240351"/>
          <c:h val="0.80158569664763069"/>
        </c:manualLayout>
      </c:layout>
      <c:barChart>
        <c:barDir val="col"/>
        <c:grouping val="clustered"/>
        <c:varyColors val="0"/>
        <c:ser>
          <c:idx val="0"/>
          <c:order val="0"/>
          <c:tx>
            <c:strRef>
              <c:f>Sheet1!$B$1</c:f>
              <c:strCache>
                <c:ptCount val="1"/>
                <c:pt idx="0">
                  <c:v>Male</c:v>
                </c:pt>
              </c:strCache>
            </c:strRef>
          </c:tx>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Urban</c:v>
                </c:pt>
                <c:pt idx="1">
                  <c:v>Rural</c:v>
                </c:pt>
              </c:strCache>
            </c:strRef>
          </c:cat>
          <c:val>
            <c:numRef>
              <c:f>Sheet1!$B$2:$B$3</c:f>
              <c:numCache>
                <c:formatCode>0.0</c:formatCode>
                <c:ptCount val="2"/>
                <c:pt idx="0">
                  <c:v>0.62500000000000056</c:v>
                </c:pt>
                <c:pt idx="1">
                  <c:v>0.41667000000000026</c:v>
                </c:pt>
              </c:numCache>
            </c:numRef>
          </c:val>
          <c:extLst>
            <c:ext xmlns:c16="http://schemas.microsoft.com/office/drawing/2014/chart" uri="{C3380CC4-5D6E-409C-BE32-E72D297353CC}">
              <c16:uniqueId val="{00000000-90F6-4B05-9807-0FCCE1BC884C}"/>
            </c:ext>
          </c:extLst>
        </c:ser>
        <c:ser>
          <c:idx val="1"/>
          <c:order val="1"/>
          <c:tx>
            <c:strRef>
              <c:f>Sheet1!$C$1</c:f>
              <c:strCache>
                <c:ptCount val="1"/>
                <c:pt idx="0">
                  <c:v>Female</c:v>
                </c:pt>
              </c:strCache>
            </c:strRef>
          </c:tx>
          <c:spPr>
            <a:solidFill>
              <a:srgbClr val="4F81BD">
                <a:lumMod val="50000"/>
              </a:srgbClr>
            </a:solidFill>
            <a:ln>
              <a:solidFill>
                <a:srgbClr val="C0504D">
                  <a:lumMod val="50000"/>
                </a:srgbClr>
              </a:solidFill>
            </a:ln>
          </c:spPr>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Urban</c:v>
                </c:pt>
                <c:pt idx="1">
                  <c:v>Rural</c:v>
                </c:pt>
              </c:strCache>
            </c:strRef>
          </c:cat>
          <c:val>
            <c:numRef>
              <c:f>Sheet1!$C$2:$C$3</c:f>
              <c:numCache>
                <c:formatCode>0.0</c:formatCode>
                <c:ptCount val="2"/>
                <c:pt idx="0">
                  <c:v>3.88889</c:v>
                </c:pt>
                <c:pt idx="1">
                  <c:v>3.61111</c:v>
                </c:pt>
              </c:numCache>
            </c:numRef>
          </c:val>
          <c:extLst>
            <c:ext xmlns:c16="http://schemas.microsoft.com/office/drawing/2014/chart" uri="{C3380CC4-5D6E-409C-BE32-E72D297353CC}">
              <c16:uniqueId val="{00000001-90F6-4B05-9807-0FCCE1BC884C}"/>
            </c:ext>
          </c:extLst>
        </c:ser>
        <c:dLbls>
          <c:showLegendKey val="0"/>
          <c:showVal val="0"/>
          <c:showCatName val="0"/>
          <c:showSerName val="0"/>
          <c:showPercent val="0"/>
          <c:showBubbleSize val="0"/>
        </c:dLbls>
        <c:gapWidth val="300"/>
        <c:axId val="42372480"/>
        <c:axId val="42399232"/>
      </c:barChart>
      <c:catAx>
        <c:axId val="423724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Type</a:t>
                </a:r>
                <a:r>
                  <a:rPr lang="en-US" baseline="0"/>
                  <a:t> of Locality</a:t>
                </a:r>
                <a:endParaRPr lang="en-US"/>
              </a:p>
            </c:rich>
          </c:tx>
          <c:layout/>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42399232"/>
        <c:crosses val="autoZero"/>
        <c:auto val="1"/>
        <c:lblAlgn val="ctr"/>
        <c:lblOffset val="100"/>
        <c:noMultiLvlLbl val="0"/>
      </c:catAx>
      <c:valAx>
        <c:axId val="4239923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manualLayout>
              <c:xMode val="edge"/>
              <c:yMode val="edge"/>
              <c:x val="1.4260233041804033E-2"/>
              <c:y val="0.28478882168714453"/>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42372480"/>
        <c:crosses val="autoZero"/>
        <c:crossBetween val="between"/>
        <c:majorUnit val="1"/>
      </c:valAx>
    </c:plotArea>
    <c:legend>
      <c:legendPos val="r"/>
      <c:layout>
        <c:manualLayout>
          <c:xMode val="edge"/>
          <c:yMode val="edge"/>
          <c:x val="0.47586868673456589"/>
          <c:y val="2.3472129543129251E-2"/>
          <c:w val="0.24996596336081991"/>
          <c:h val="0.11323501935139471"/>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725288603435008E-2"/>
          <c:y val="5.9620596205962072E-2"/>
          <c:w val="0.87413122429257795"/>
          <c:h val="0.84678033494670335"/>
        </c:manualLayout>
      </c:layout>
      <c:barChart>
        <c:barDir val="col"/>
        <c:grouping val="clustered"/>
        <c:varyColors val="0"/>
        <c:ser>
          <c:idx val="0"/>
          <c:order val="0"/>
          <c:tx>
            <c:strRef>
              <c:f>Sheet1!$B$1</c:f>
              <c:strCache>
                <c:ptCount val="1"/>
                <c:pt idx="0">
                  <c:v>Male</c:v>
                </c:pt>
              </c:strCache>
            </c:strRef>
          </c:tx>
          <c:invertIfNegative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1999/2000</c:v>
                </c:pt>
                <c:pt idx="1">
                  <c:v>2013/2012</c:v>
                </c:pt>
              </c:strCache>
            </c:strRef>
          </c:cat>
          <c:val>
            <c:numRef>
              <c:f>Sheet1!$B$2:$B$3</c:f>
              <c:numCache>
                <c:formatCode>0.0</c:formatCode>
                <c:ptCount val="2"/>
                <c:pt idx="0">
                  <c:v>2.2222200000000001</c:v>
                </c:pt>
                <c:pt idx="1">
                  <c:v>2.36111</c:v>
                </c:pt>
              </c:numCache>
            </c:numRef>
          </c:val>
          <c:extLst>
            <c:ext xmlns:c16="http://schemas.microsoft.com/office/drawing/2014/chart" uri="{C3380CC4-5D6E-409C-BE32-E72D297353CC}">
              <c16:uniqueId val="{00000000-608C-4057-BAAD-5CD97771FAAB}"/>
            </c:ext>
          </c:extLst>
        </c:ser>
        <c:ser>
          <c:idx val="1"/>
          <c:order val="1"/>
          <c:tx>
            <c:strRef>
              <c:f>Sheet1!$C$1</c:f>
              <c:strCache>
                <c:ptCount val="1"/>
                <c:pt idx="0">
                  <c:v>Female</c:v>
                </c:pt>
              </c:strCache>
            </c:strRef>
          </c:tx>
          <c:spPr>
            <a:solidFill>
              <a:srgbClr val="4F81BD">
                <a:lumMod val="50000"/>
              </a:srgbClr>
            </a:solidFill>
          </c:spPr>
          <c:invertIfNegative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1999/2000</c:v>
                </c:pt>
                <c:pt idx="1">
                  <c:v>2013/2012</c:v>
                </c:pt>
              </c:strCache>
            </c:strRef>
          </c:cat>
          <c:val>
            <c:numRef>
              <c:f>Sheet1!$C$2:$C$3</c:f>
              <c:numCache>
                <c:formatCode>0.0</c:formatCode>
                <c:ptCount val="2"/>
                <c:pt idx="0">
                  <c:v>15.555560000000009</c:v>
                </c:pt>
                <c:pt idx="1">
                  <c:v>13.95833</c:v>
                </c:pt>
              </c:numCache>
            </c:numRef>
          </c:val>
          <c:extLst>
            <c:ext xmlns:c16="http://schemas.microsoft.com/office/drawing/2014/chart" uri="{C3380CC4-5D6E-409C-BE32-E72D297353CC}">
              <c16:uniqueId val="{00000001-608C-4057-BAAD-5CD97771FAAB}"/>
            </c:ext>
          </c:extLst>
        </c:ser>
        <c:dLbls>
          <c:showLegendKey val="0"/>
          <c:showVal val="0"/>
          <c:showCatName val="0"/>
          <c:showSerName val="0"/>
          <c:showPercent val="0"/>
          <c:showBubbleSize val="0"/>
        </c:dLbls>
        <c:gapWidth val="300"/>
        <c:axId val="150912384"/>
        <c:axId val="150922752"/>
      </c:barChart>
      <c:catAx>
        <c:axId val="15091238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150922752"/>
        <c:crosses val="autoZero"/>
        <c:auto val="1"/>
        <c:lblAlgn val="ctr"/>
        <c:lblOffset val="100"/>
        <c:noMultiLvlLbl val="0"/>
      </c:catAx>
      <c:valAx>
        <c:axId val="15092275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50912384"/>
        <c:crosses val="autoZero"/>
        <c:crossBetween val="between"/>
      </c:valAx>
    </c:plotArea>
    <c:legend>
      <c:legendPos val="r"/>
      <c:layout>
        <c:manualLayout>
          <c:xMode val="edge"/>
          <c:yMode val="edge"/>
          <c:x val="0.46323242533872455"/>
          <c:y val="2.8728851201291952E-2"/>
          <c:w val="0.29944420798751725"/>
          <c:h val="8.0753886533414226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1781317625587093E-2"/>
          <c:y val="0.12608691499978497"/>
          <c:w val="0.90054890638670171"/>
          <c:h val="0.75693676221506778"/>
        </c:manualLayout>
      </c:layout>
      <c:barChart>
        <c:barDir val="col"/>
        <c:grouping val="clustered"/>
        <c:varyColors val="0"/>
        <c:ser>
          <c:idx val="0"/>
          <c:order val="0"/>
          <c:tx>
            <c:strRef>
              <c:f>Sheet1!$B$1</c:f>
              <c:strCache>
                <c:ptCount val="1"/>
                <c:pt idx="0">
                  <c:v> 24-15</c:v>
                </c:pt>
              </c:strCache>
            </c:strRef>
          </c:tx>
          <c:spPr>
            <a:solidFill>
              <a:srgbClr val="4F81BD"/>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Sheet1!$B$2:$B$3</c:f>
              <c:numCache>
                <c:formatCode>0.0</c:formatCode>
                <c:ptCount val="2"/>
                <c:pt idx="0">
                  <c:v>1.73611</c:v>
                </c:pt>
                <c:pt idx="1">
                  <c:v>10.902780000000009</c:v>
                </c:pt>
              </c:numCache>
            </c:numRef>
          </c:val>
          <c:extLst>
            <c:ext xmlns:c16="http://schemas.microsoft.com/office/drawing/2014/chart" uri="{C3380CC4-5D6E-409C-BE32-E72D297353CC}">
              <c16:uniqueId val="{00000000-CB9D-4536-96B4-2B3EAE427A7E}"/>
            </c:ext>
          </c:extLst>
        </c:ser>
        <c:ser>
          <c:idx val="1"/>
          <c:order val="1"/>
          <c:tx>
            <c:strRef>
              <c:f>Sheet1!$C$1</c:f>
              <c:strCache>
                <c:ptCount val="1"/>
                <c:pt idx="0">
                  <c:v>44-25</c:v>
                </c:pt>
              </c:strCache>
            </c:strRef>
          </c:tx>
          <c:spPr>
            <a:solidFill>
              <a:srgbClr val="4F81BD">
                <a:lumMod val="5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Sheet1!$C$2:$C$3</c:f>
              <c:numCache>
                <c:formatCode>0.0</c:formatCode>
                <c:ptCount val="2"/>
                <c:pt idx="0">
                  <c:v>2.2916699999999977</c:v>
                </c:pt>
                <c:pt idx="1">
                  <c:v>19.375</c:v>
                </c:pt>
              </c:numCache>
            </c:numRef>
          </c:val>
          <c:extLst>
            <c:ext xmlns:c16="http://schemas.microsoft.com/office/drawing/2014/chart" uri="{C3380CC4-5D6E-409C-BE32-E72D297353CC}">
              <c16:uniqueId val="{00000001-CB9D-4536-96B4-2B3EAE427A7E}"/>
            </c:ext>
          </c:extLst>
        </c:ser>
        <c:ser>
          <c:idx val="2"/>
          <c:order val="2"/>
          <c:tx>
            <c:strRef>
              <c:f>Sheet1!$D$1</c:f>
              <c:strCache>
                <c:ptCount val="1"/>
                <c:pt idx="0">
                  <c:v>54-45</c:v>
                </c:pt>
              </c:strCache>
            </c:strRef>
          </c:tx>
          <c:spPr>
            <a:solidFill>
              <a:srgbClr val="4F81BD">
                <a:lumMod val="60000"/>
                <a:lumOff val="4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Sheet1!$D$2:$D$3</c:f>
              <c:numCache>
                <c:formatCode>0.0</c:formatCode>
                <c:ptCount val="2"/>
                <c:pt idx="0">
                  <c:v>2.9166699999999959</c:v>
                </c:pt>
                <c:pt idx="1">
                  <c:v>19.86111</c:v>
                </c:pt>
              </c:numCache>
            </c:numRef>
          </c:val>
          <c:extLst>
            <c:ext xmlns:c16="http://schemas.microsoft.com/office/drawing/2014/chart" uri="{C3380CC4-5D6E-409C-BE32-E72D297353CC}">
              <c16:uniqueId val="{00000002-CB9D-4536-96B4-2B3EAE427A7E}"/>
            </c:ext>
          </c:extLst>
        </c:ser>
        <c:ser>
          <c:idx val="3"/>
          <c:order val="3"/>
          <c:tx>
            <c:strRef>
              <c:f>Sheet1!$E$1</c:f>
              <c:strCache>
                <c:ptCount val="1"/>
                <c:pt idx="0">
                  <c:v>64-55</c:v>
                </c:pt>
              </c:strCache>
            </c:strRef>
          </c:tx>
          <c:spPr>
            <a:solidFill>
              <a:srgbClr val="4F81BD">
                <a:lumMod val="20000"/>
                <a:lumOff val="8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Sheet1!$E$2:$E$3</c:f>
              <c:numCache>
                <c:formatCode>0.0</c:formatCode>
                <c:ptCount val="2"/>
                <c:pt idx="0">
                  <c:v>3.5416699999999977</c:v>
                </c:pt>
                <c:pt idx="1">
                  <c:v>17.29167</c:v>
                </c:pt>
              </c:numCache>
            </c:numRef>
          </c:val>
          <c:extLst>
            <c:ext xmlns:c16="http://schemas.microsoft.com/office/drawing/2014/chart" uri="{C3380CC4-5D6E-409C-BE32-E72D297353CC}">
              <c16:uniqueId val="{00000003-CB9D-4536-96B4-2B3EAE427A7E}"/>
            </c:ext>
          </c:extLst>
        </c:ser>
        <c:ser>
          <c:idx val="4"/>
          <c:order val="4"/>
          <c:tx>
            <c:strRef>
              <c:f>Sheet1!$F$1</c:f>
              <c:strCache>
                <c:ptCount val="1"/>
                <c:pt idx="0">
                  <c:v>65+</c:v>
                </c:pt>
              </c:strCache>
            </c:strRef>
          </c:tx>
          <c:spPr>
            <a:solidFill>
              <a:srgbClr val="4BACC6"/>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Male</c:v>
                </c:pt>
                <c:pt idx="1">
                  <c:v>Female</c:v>
                </c:pt>
              </c:strCache>
            </c:strRef>
          </c:cat>
          <c:val>
            <c:numRef>
              <c:f>Sheet1!$F$2:$F$3</c:f>
              <c:numCache>
                <c:formatCode>0.0</c:formatCode>
                <c:ptCount val="2"/>
                <c:pt idx="0">
                  <c:v>2.98611</c:v>
                </c:pt>
                <c:pt idx="1">
                  <c:v>8.0555600000000105</c:v>
                </c:pt>
              </c:numCache>
            </c:numRef>
          </c:val>
          <c:extLst>
            <c:ext xmlns:c16="http://schemas.microsoft.com/office/drawing/2014/chart" uri="{C3380CC4-5D6E-409C-BE32-E72D297353CC}">
              <c16:uniqueId val="{00000004-CB9D-4536-96B4-2B3EAE427A7E}"/>
            </c:ext>
          </c:extLst>
        </c:ser>
        <c:dLbls>
          <c:showLegendKey val="0"/>
          <c:showVal val="0"/>
          <c:showCatName val="0"/>
          <c:showSerName val="0"/>
          <c:showPercent val="0"/>
          <c:showBubbleSize val="0"/>
        </c:dLbls>
        <c:gapWidth val="219"/>
        <c:overlap val="-27"/>
        <c:axId val="151105920"/>
        <c:axId val="151107840"/>
      </c:barChart>
      <c:dateAx>
        <c:axId val="15110592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Gender</a:t>
                </a:r>
              </a:p>
            </c:rich>
          </c:tx>
          <c:layout/>
          <c:overlay val="0"/>
        </c:title>
        <c:numFmt formatCode="General" sourceLinked="0"/>
        <c:majorTickMark val="none"/>
        <c:minorTickMark val="none"/>
        <c:tickLblPos val="nextTo"/>
        <c:spPr>
          <a:noFill/>
          <a:ln w="9520" cap="flat" cmpd="sng" algn="ctr">
            <a:solidFill>
              <a:sysClr val="windowText" lastClr="000000"/>
            </a:solidFill>
            <a:round/>
          </a:ln>
          <a:effectLst/>
        </c:spPr>
        <c:txPr>
          <a:bodyPr rot="-60000000" vert="horz"/>
          <a:lstStyle/>
          <a:p>
            <a:pPr>
              <a:defRPr lang="en-GB"/>
            </a:pPr>
            <a:endParaRPr lang="ar-SA"/>
          </a:p>
        </c:txPr>
        <c:crossAx val="151107840"/>
        <c:crosses val="autoZero"/>
        <c:auto val="0"/>
        <c:lblOffset val="100"/>
        <c:baseTimeUnit val="days"/>
      </c:dateAx>
      <c:valAx>
        <c:axId val="15110784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none"/>
        <c:minorTickMark val="none"/>
        <c:tickLblPos val="nextTo"/>
        <c:spPr>
          <a:ln>
            <a:solidFill>
              <a:sysClr val="windowText" lastClr="000000"/>
            </a:solidFill>
          </a:ln>
          <a:effectLst/>
        </c:spPr>
        <c:txPr>
          <a:bodyPr rot="-60000000" vert="horz"/>
          <a:lstStyle/>
          <a:p>
            <a:pPr>
              <a:defRPr lang="en-GB"/>
            </a:pPr>
            <a:endParaRPr lang="ar-SA"/>
          </a:p>
        </c:txPr>
        <c:crossAx val="151105920"/>
        <c:crosses val="autoZero"/>
        <c:crossBetween val="between"/>
      </c:valAx>
      <c:spPr>
        <a:noFill/>
        <a:ln w="25386">
          <a:noFill/>
        </a:ln>
      </c:spPr>
    </c:plotArea>
    <c:legend>
      <c:legendPos val="t"/>
      <c:legendEntry>
        <c:idx val="4"/>
        <c:txPr>
          <a:bodyPr/>
          <a:lstStyle/>
          <a:p>
            <a:pPr rtl="0">
              <a:defRPr/>
            </a:pPr>
            <a:endParaRPr lang="ar-SA"/>
          </a:p>
        </c:txPr>
      </c:legendEntry>
      <c:layout>
        <c:manualLayout>
          <c:xMode val="edge"/>
          <c:yMode val="edge"/>
          <c:x val="0.25406041194003298"/>
          <c:y val="3.2520129899016849E-2"/>
          <c:w val="0.53250197962542734"/>
          <c:h val="8.6447350860803462E-2"/>
        </c:manualLayout>
      </c:layout>
      <c:overlay val="0"/>
      <c:spPr>
        <a:ln>
          <a:solidFill>
            <a:schemeClr val="tx1"/>
          </a:solidFill>
        </a:ln>
      </c:spPr>
      <c:txPr>
        <a:bodyPr/>
        <a:lstStyle/>
        <a:p>
          <a:pPr rtl="1">
            <a:defRPr lang="en-GB"/>
          </a:pPr>
          <a:endParaRPr lang="ar-SA"/>
        </a:p>
      </c:txPr>
    </c:legend>
    <c:plotVisOnly val="1"/>
    <c:dispBlanksAs val="gap"/>
    <c:showDLblsOverMax val="0"/>
  </c:chart>
  <c:spPr>
    <a:solidFill>
      <a:sysClr val="window" lastClr="FFFFFF"/>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0984603353285824E-2"/>
          <c:y val="5.9600145736648416E-2"/>
          <c:w val="0.92004965896458824"/>
          <c:h val="0.77531308586426617"/>
        </c:manualLayout>
      </c:layout>
      <c:barChart>
        <c:barDir val="col"/>
        <c:grouping val="clustered"/>
        <c:varyColors val="0"/>
        <c:ser>
          <c:idx val="0"/>
          <c:order val="0"/>
          <c:tx>
            <c:strRef>
              <c:f>Sheet1!$B$1</c:f>
              <c:strCache>
                <c:ptCount val="1"/>
                <c:pt idx="0">
                  <c:v>Male</c:v>
                </c:pt>
              </c:strCache>
            </c:strRef>
          </c:tx>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Urban</c:v>
                </c:pt>
                <c:pt idx="1">
                  <c:v>Rural</c:v>
                </c:pt>
              </c:strCache>
            </c:strRef>
          </c:cat>
          <c:val>
            <c:numRef>
              <c:f>Sheet1!$B$2:$B$3</c:f>
              <c:numCache>
                <c:formatCode>0.0</c:formatCode>
                <c:ptCount val="2"/>
                <c:pt idx="0">
                  <c:v>2.4</c:v>
                </c:pt>
                <c:pt idx="1">
                  <c:v>2.2000000000000002</c:v>
                </c:pt>
              </c:numCache>
            </c:numRef>
          </c:val>
          <c:extLst>
            <c:ext xmlns:c16="http://schemas.microsoft.com/office/drawing/2014/chart" uri="{C3380CC4-5D6E-409C-BE32-E72D297353CC}">
              <c16:uniqueId val="{00000000-8485-4271-8E56-4B2A9B25C89F}"/>
            </c:ext>
          </c:extLst>
        </c:ser>
        <c:ser>
          <c:idx val="1"/>
          <c:order val="1"/>
          <c:tx>
            <c:strRef>
              <c:f>Sheet1!$C$1</c:f>
              <c:strCache>
                <c:ptCount val="1"/>
                <c:pt idx="0">
                  <c:v>Female</c:v>
                </c:pt>
              </c:strCache>
            </c:strRef>
          </c:tx>
          <c:spPr>
            <a:solidFill>
              <a:srgbClr val="4F81BD">
                <a:lumMod val="20000"/>
                <a:lumOff val="80000"/>
              </a:srgbClr>
            </a:solidFill>
          </c:spPr>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Urban</c:v>
                </c:pt>
                <c:pt idx="1">
                  <c:v>Rural</c:v>
                </c:pt>
              </c:strCache>
            </c:strRef>
          </c:cat>
          <c:val>
            <c:numRef>
              <c:f>Sheet1!$C$2:$C$3</c:f>
              <c:numCache>
                <c:formatCode>0.0</c:formatCode>
                <c:ptCount val="2"/>
                <c:pt idx="0">
                  <c:v>14.4</c:v>
                </c:pt>
                <c:pt idx="1">
                  <c:v>13.4</c:v>
                </c:pt>
              </c:numCache>
            </c:numRef>
          </c:val>
          <c:extLst>
            <c:ext xmlns:c16="http://schemas.microsoft.com/office/drawing/2014/chart" uri="{C3380CC4-5D6E-409C-BE32-E72D297353CC}">
              <c16:uniqueId val="{00000001-8485-4271-8E56-4B2A9B25C89F}"/>
            </c:ext>
          </c:extLst>
        </c:ser>
        <c:dLbls>
          <c:showLegendKey val="0"/>
          <c:showVal val="0"/>
          <c:showCatName val="0"/>
          <c:showSerName val="0"/>
          <c:showPercent val="0"/>
          <c:showBubbleSize val="0"/>
        </c:dLbls>
        <c:gapWidth val="300"/>
        <c:axId val="151028480"/>
        <c:axId val="151030400"/>
      </c:barChart>
      <c:catAx>
        <c:axId val="1510284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Type of Locaility</a:t>
                </a:r>
              </a:p>
            </c:rich>
          </c:tx>
          <c:layout/>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151030400"/>
        <c:crosses val="autoZero"/>
        <c:auto val="1"/>
        <c:lblAlgn val="ctr"/>
        <c:lblOffset val="100"/>
        <c:noMultiLvlLbl val="0"/>
      </c:catAx>
      <c:valAx>
        <c:axId val="15103040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51028480"/>
        <c:crosses val="autoZero"/>
        <c:crossBetween val="between"/>
      </c:valAx>
    </c:plotArea>
    <c:legend>
      <c:legendPos val="r"/>
      <c:layout>
        <c:manualLayout>
          <c:xMode val="edge"/>
          <c:yMode val="edge"/>
          <c:x val="0.47586868673456589"/>
          <c:y val="2.3472129543129251E-2"/>
          <c:w val="0.24996596336081991"/>
          <c:h val="0.11323501935139471"/>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507511390615058E-2"/>
          <c:y val="0.16788680170053169"/>
          <c:w val="0.89795094917567353"/>
          <c:h val="0.66269029311481453"/>
        </c:manualLayout>
      </c:layout>
      <c:lineChart>
        <c:grouping val="standard"/>
        <c:varyColors val="0"/>
        <c:ser>
          <c:idx val="0"/>
          <c:order val="0"/>
          <c:tx>
            <c:strRef>
              <c:f>Sheet1!$B$1</c:f>
              <c:strCache>
                <c:ptCount val="1"/>
                <c:pt idx="0">
                  <c:v>Palestine</c:v>
                </c:pt>
              </c:strCache>
            </c:strRef>
          </c:tx>
          <c:spPr>
            <a:ln>
              <a:solidFill>
                <a:srgbClr val="C0504D">
                  <a:lumMod val="50000"/>
                </a:srgbClr>
              </a:solidFill>
            </a:ln>
          </c:spPr>
          <c:marker>
            <c:symbol val="none"/>
          </c:marker>
          <c:dLbls>
            <c:dLbl>
              <c:idx val="0"/>
              <c:layout>
                <c:manualLayout>
                  <c:x val="-7.222928464116489E-2"/>
                  <c:y val="-2.79913373037358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92F-4847-83B7-520AA888B673}"/>
                </c:ext>
              </c:extLst>
            </c:dLbl>
            <c:dLbl>
              <c:idx val="1"/>
              <c:delete val="1"/>
              <c:extLst>
                <c:ext xmlns:c15="http://schemas.microsoft.com/office/drawing/2012/chart" uri="{CE6537A1-D6FC-4f65-9D91-7224C49458BB}"/>
                <c:ext xmlns:c16="http://schemas.microsoft.com/office/drawing/2014/chart" uri="{C3380CC4-5D6E-409C-BE32-E72D297353CC}">
                  <c16:uniqueId val="{00000000-05C1-441F-9E96-CA156EE92311}"/>
                </c:ext>
              </c:extLst>
            </c:dLbl>
            <c:dLbl>
              <c:idx val="2"/>
              <c:delete val="1"/>
              <c:extLst>
                <c:ext xmlns:c15="http://schemas.microsoft.com/office/drawing/2012/chart" uri="{CE6537A1-D6FC-4f65-9D91-7224C49458BB}"/>
                <c:ext xmlns:c16="http://schemas.microsoft.com/office/drawing/2014/chart" uri="{C3380CC4-5D6E-409C-BE32-E72D297353CC}">
                  <c16:uniqueId val="{00000012-9B8B-43FC-B6E1-B899AAB7B571}"/>
                </c:ext>
              </c:extLst>
            </c:dLbl>
            <c:dLbl>
              <c:idx val="3"/>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9B8B-43FC-B6E1-B899AAB7B571}"/>
                </c:ext>
              </c:extLst>
            </c:dLbl>
            <c:dLbl>
              <c:idx val="4"/>
              <c:delete val="1"/>
              <c:extLst>
                <c:ext xmlns:c15="http://schemas.microsoft.com/office/drawing/2012/chart" uri="{CE6537A1-D6FC-4f65-9D91-7224C49458BB}"/>
                <c:ext xmlns:c16="http://schemas.microsoft.com/office/drawing/2014/chart" uri="{C3380CC4-5D6E-409C-BE32-E72D297353CC}">
                  <c16:uniqueId val="{0000000E-9B8B-43FC-B6E1-B899AAB7B571}"/>
                </c:ext>
              </c:extLst>
            </c:dLbl>
            <c:dLbl>
              <c:idx val="5"/>
              <c:delete val="1"/>
              <c:extLst>
                <c:ext xmlns:c15="http://schemas.microsoft.com/office/drawing/2012/chart" uri="{CE6537A1-D6FC-4f65-9D91-7224C49458BB}"/>
                <c:ext xmlns:c16="http://schemas.microsoft.com/office/drawing/2014/chart" uri="{C3380CC4-5D6E-409C-BE32-E72D297353CC}">
                  <c16:uniqueId val="{0000000D-9B8B-43FC-B6E1-B899AAB7B571}"/>
                </c:ext>
              </c:extLst>
            </c:dLbl>
            <c:dLbl>
              <c:idx val="6"/>
              <c:delete val="1"/>
              <c:extLst>
                <c:ext xmlns:c15="http://schemas.microsoft.com/office/drawing/2012/chart" uri="{CE6537A1-D6FC-4f65-9D91-7224C49458BB}"/>
                <c:ext xmlns:c16="http://schemas.microsoft.com/office/drawing/2014/chart" uri="{C3380CC4-5D6E-409C-BE32-E72D297353CC}">
                  <c16:uniqueId val="{0000000C-9B8B-43FC-B6E1-B899AAB7B571}"/>
                </c:ext>
              </c:extLst>
            </c:dLbl>
            <c:dLbl>
              <c:idx val="7"/>
              <c:delete val="1"/>
              <c:extLst>
                <c:ext xmlns:c15="http://schemas.microsoft.com/office/drawing/2012/chart" uri="{CE6537A1-D6FC-4f65-9D91-7224C49458BB}"/>
                <c:ext xmlns:c16="http://schemas.microsoft.com/office/drawing/2014/chart" uri="{C3380CC4-5D6E-409C-BE32-E72D297353CC}">
                  <c16:uniqueId val="{00000008-9B8B-43FC-B6E1-B899AAB7B571}"/>
                </c:ext>
              </c:extLst>
            </c:dLbl>
            <c:dLbl>
              <c:idx val="8"/>
              <c:layout>
                <c:manualLayout>
                  <c:x val="-2.8891713856467687E-3"/>
                  <c:y val="-1.71629669734705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B8B-43FC-B6E1-B899AAB7B571}"/>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Sheet1!$A$2:$A$5</c:f>
              <c:numCache>
                <c:formatCode>General</c:formatCode>
                <c:ptCount val="4"/>
                <c:pt idx="0">
                  <c:v>2014</c:v>
                </c:pt>
                <c:pt idx="1">
                  <c:v>2016</c:v>
                </c:pt>
                <c:pt idx="2">
                  <c:v>2017</c:v>
                </c:pt>
                <c:pt idx="3">
                  <c:v>2018</c:v>
                </c:pt>
              </c:numCache>
            </c:numRef>
          </c:cat>
          <c:val>
            <c:numRef>
              <c:f>Sheet1!$B$2:$B$5</c:f>
              <c:numCache>
                <c:formatCode>General</c:formatCode>
                <c:ptCount val="4"/>
                <c:pt idx="0">
                  <c:v>12.9</c:v>
                </c:pt>
                <c:pt idx="1">
                  <c:v>12.1</c:v>
                </c:pt>
                <c:pt idx="2">
                  <c:v>11.3</c:v>
                </c:pt>
                <c:pt idx="3">
                  <c:v>11.3</c:v>
                </c:pt>
              </c:numCache>
            </c:numRef>
          </c:val>
          <c:smooth val="0"/>
          <c:extLst>
            <c:ext xmlns:c16="http://schemas.microsoft.com/office/drawing/2014/chart" uri="{C3380CC4-5D6E-409C-BE32-E72D297353CC}">
              <c16:uniqueId val="{00000001-05C1-441F-9E96-CA156EE92311}"/>
            </c:ext>
          </c:extLst>
        </c:ser>
        <c:ser>
          <c:idx val="1"/>
          <c:order val="1"/>
          <c:tx>
            <c:strRef>
              <c:f>Sheet1!$C$1</c:f>
              <c:strCache>
                <c:ptCount val="1"/>
                <c:pt idx="0">
                  <c:v>West Bank</c:v>
                </c:pt>
              </c:strCache>
            </c:strRef>
          </c:tx>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2-05C1-441F-9E96-CA156EE92311}"/>
                </c:ext>
              </c:extLst>
            </c:dLbl>
            <c:dLbl>
              <c:idx val="2"/>
              <c:delete val="1"/>
              <c:extLst>
                <c:ext xmlns:c15="http://schemas.microsoft.com/office/drawing/2012/chart" uri="{CE6537A1-D6FC-4f65-9D91-7224C49458BB}"/>
                <c:ext xmlns:c16="http://schemas.microsoft.com/office/drawing/2014/chart" uri="{C3380CC4-5D6E-409C-BE32-E72D297353CC}">
                  <c16:uniqueId val="{00000003-05C1-441F-9E96-CA156EE92311}"/>
                </c:ext>
              </c:extLst>
            </c:dLbl>
            <c:dLbl>
              <c:idx val="3"/>
              <c:layout>
                <c:manualLayout>
                  <c:x val="-4.8538079278862785E-2"/>
                  <c:y val="5.41418516513264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9B8B-43FC-B6E1-B899AAB7B571}"/>
                </c:ext>
              </c:extLst>
            </c:dLbl>
            <c:dLbl>
              <c:idx val="4"/>
              <c:delete val="1"/>
              <c:extLst>
                <c:ext xmlns:c15="http://schemas.microsoft.com/office/drawing/2012/chart" uri="{CE6537A1-D6FC-4f65-9D91-7224C49458BB}"/>
                <c:ext xmlns:c16="http://schemas.microsoft.com/office/drawing/2014/chart" uri="{C3380CC4-5D6E-409C-BE32-E72D297353CC}">
                  <c16:uniqueId val="{0000000F-9B8B-43FC-B6E1-B899AAB7B571}"/>
                </c:ext>
              </c:extLst>
            </c:dLbl>
            <c:dLbl>
              <c:idx val="5"/>
              <c:delete val="1"/>
              <c:extLst>
                <c:ext xmlns:c15="http://schemas.microsoft.com/office/drawing/2012/chart" uri="{CE6537A1-D6FC-4f65-9D91-7224C49458BB}"/>
                <c:ext xmlns:c16="http://schemas.microsoft.com/office/drawing/2014/chart" uri="{C3380CC4-5D6E-409C-BE32-E72D297353CC}">
                  <c16:uniqueId val="{0000000B-9B8B-43FC-B6E1-B899AAB7B571}"/>
                </c:ext>
              </c:extLst>
            </c:dLbl>
            <c:dLbl>
              <c:idx val="6"/>
              <c:delete val="1"/>
              <c:extLst>
                <c:ext xmlns:c15="http://schemas.microsoft.com/office/drawing/2012/chart" uri="{CE6537A1-D6FC-4f65-9D91-7224C49458BB}"/>
                <c:ext xmlns:c16="http://schemas.microsoft.com/office/drawing/2014/chart" uri="{C3380CC4-5D6E-409C-BE32-E72D297353CC}">
                  <c16:uniqueId val="{0000000A-9B8B-43FC-B6E1-B899AAB7B571}"/>
                </c:ext>
              </c:extLst>
            </c:dLbl>
            <c:dLbl>
              <c:idx val="7"/>
              <c:delete val="1"/>
              <c:extLst>
                <c:ext xmlns:c15="http://schemas.microsoft.com/office/drawing/2012/chart" uri="{CE6537A1-D6FC-4f65-9D91-7224C49458BB}"/>
                <c:ext xmlns:c16="http://schemas.microsoft.com/office/drawing/2014/chart" uri="{C3380CC4-5D6E-409C-BE32-E72D297353CC}">
                  <c16:uniqueId val="{00000009-9B8B-43FC-B6E1-B899AAB7B571}"/>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Sheet1!$A$2:$A$5</c:f>
              <c:numCache>
                <c:formatCode>General</c:formatCode>
                <c:ptCount val="4"/>
                <c:pt idx="0">
                  <c:v>2014</c:v>
                </c:pt>
                <c:pt idx="1">
                  <c:v>2016</c:v>
                </c:pt>
                <c:pt idx="2">
                  <c:v>2017</c:v>
                </c:pt>
                <c:pt idx="3">
                  <c:v>2018</c:v>
                </c:pt>
              </c:numCache>
            </c:numRef>
          </c:cat>
          <c:val>
            <c:numRef>
              <c:f>Sheet1!$C$2:$C$5</c:f>
              <c:numCache>
                <c:formatCode>General</c:formatCode>
                <c:ptCount val="4"/>
                <c:pt idx="0">
                  <c:v>12.5</c:v>
                </c:pt>
                <c:pt idx="1">
                  <c:v>11.3</c:v>
                </c:pt>
                <c:pt idx="2">
                  <c:v>11.1</c:v>
                </c:pt>
                <c:pt idx="3">
                  <c:v>11.1</c:v>
                </c:pt>
              </c:numCache>
            </c:numRef>
          </c:val>
          <c:smooth val="0"/>
          <c:extLst>
            <c:ext xmlns:c16="http://schemas.microsoft.com/office/drawing/2014/chart" uri="{C3380CC4-5D6E-409C-BE32-E72D297353CC}">
              <c16:uniqueId val="{00000004-05C1-441F-9E96-CA156EE92311}"/>
            </c:ext>
          </c:extLst>
        </c:ser>
        <c:ser>
          <c:idx val="2"/>
          <c:order val="2"/>
          <c:tx>
            <c:strRef>
              <c:f>Sheet1!$D$1</c:f>
              <c:strCache>
                <c:ptCount val="1"/>
                <c:pt idx="0">
                  <c:v>Gaza Strip</c:v>
                </c:pt>
              </c:strCache>
            </c:strRef>
          </c:tx>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5-05C1-441F-9E96-CA156EE92311}"/>
                </c:ext>
              </c:extLst>
            </c:dLbl>
            <c:dLbl>
              <c:idx val="2"/>
              <c:delete val="1"/>
              <c:extLst>
                <c:ext xmlns:c15="http://schemas.microsoft.com/office/drawing/2012/chart" uri="{CE6537A1-D6FC-4f65-9D91-7224C49458BB}"/>
                <c:ext xmlns:c16="http://schemas.microsoft.com/office/drawing/2014/chart" uri="{C3380CC4-5D6E-409C-BE32-E72D297353CC}">
                  <c16:uniqueId val="{00000000-9B8B-43FC-B6E1-B899AAB7B571}"/>
                </c:ext>
              </c:extLst>
            </c:dLbl>
            <c:dLbl>
              <c:idx val="3"/>
              <c:layout>
                <c:manualLayout>
                  <c:x val="6.9340113255518428E-3"/>
                  <c:y val="-7.038440714672460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B8B-43FC-B6E1-B899AAB7B571}"/>
                </c:ext>
              </c:extLst>
            </c:dLbl>
            <c:dLbl>
              <c:idx val="4"/>
              <c:delete val="1"/>
              <c:extLst>
                <c:ext xmlns:c15="http://schemas.microsoft.com/office/drawing/2012/chart" uri="{CE6537A1-D6FC-4f65-9D91-7224C49458BB}"/>
                <c:ext xmlns:c16="http://schemas.microsoft.com/office/drawing/2014/chart" uri="{C3380CC4-5D6E-409C-BE32-E72D297353CC}">
                  <c16:uniqueId val="{00000002-9B8B-43FC-B6E1-B899AAB7B571}"/>
                </c:ext>
              </c:extLst>
            </c:dLbl>
            <c:dLbl>
              <c:idx val="5"/>
              <c:delete val="1"/>
              <c:extLst>
                <c:ext xmlns:c15="http://schemas.microsoft.com/office/drawing/2012/chart" uri="{CE6537A1-D6FC-4f65-9D91-7224C49458BB}"/>
                <c:ext xmlns:c16="http://schemas.microsoft.com/office/drawing/2014/chart" uri="{C3380CC4-5D6E-409C-BE32-E72D297353CC}">
                  <c16:uniqueId val="{00000003-9B8B-43FC-B6E1-B899AAB7B571}"/>
                </c:ext>
              </c:extLst>
            </c:dLbl>
            <c:dLbl>
              <c:idx val="6"/>
              <c:delete val="1"/>
              <c:extLst>
                <c:ext xmlns:c15="http://schemas.microsoft.com/office/drawing/2012/chart" uri="{CE6537A1-D6FC-4f65-9D91-7224C49458BB}"/>
                <c:ext xmlns:c16="http://schemas.microsoft.com/office/drawing/2014/chart" uri="{C3380CC4-5D6E-409C-BE32-E72D297353CC}">
                  <c16:uniqueId val="{00000004-9B8B-43FC-B6E1-B899AAB7B571}"/>
                </c:ext>
              </c:extLst>
            </c:dLbl>
            <c:dLbl>
              <c:idx val="7"/>
              <c:delete val="1"/>
              <c:extLst>
                <c:ext xmlns:c15="http://schemas.microsoft.com/office/drawing/2012/chart" uri="{CE6537A1-D6FC-4f65-9D91-7224C49458BB}"/>
                <c:ext xmlns:c16="http://schemas.microsoft.com/office/drawing/2014/chart" uri="{C3380CC4-5D6E-409C-BE32-E72D297353CC}">
                  <c16:uniqueId val="{00000007-9B8B-43FC-B6E1-B899AAB7B571}"/>
                </c:ext>
              </c:extLst>
            </c:dLbl>
            <c:dLbl>
              <c:idx val="8"/>
              <c:layout>
                <c:manualLayout>
                  <c:x val="-3.2936553796371199E-2"/>
                  <c:y val="-6.58906334596644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8B-43FC-B6E1-B899AAB7B571}"/>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Sheet1!$A$2:$A$5</c:f>
              <c:numCache>
                <c:formatCode>General</c:formatCode>
                <c:ptCount val="4"/>
                <c:pt idx="0">
                  <c:v>2014</c:v>
                </c:pt>
                <c:pt idx="1">
                  <c:v>2016</c:v>
                </c:pt>
                <c:pt idx="2">
                  <c:v>2017</c:v>
                </c:pt>
                <c:pt idx="3">
                  <c:v>2018</c:v>
                </c:pt>
              </c:numCache>
            </c:numRef>
          </c:cat>
          <c:val>
            <c:numRef>
              <c:f>Sheet1!$D$2:$D$5</c:f>
              <c:numCache>
                <c:formatCode>General</c:formatCode>
                <c:ptCount val="4"/>
                <c:pt idx="0">
                  <c:v>13.6</c:v>
                </c:pt>
                <c:pt idx="1">
                  <c:v>13.6</c:v>
                </c:pt>
                <c:pt idx="2">
                  <c:v>11.6</c:v>
                </c:pt>
                <c:pt idx="3">
                  <c:v>11.6</c:v>
                </c:pt>
              </c:numCache>
            </c:numRef>
          </c:val>
          <c:smooth val="0"/>
          <c:extLst>
            <c:ext xmlns:c16="http://schemas.microsoft.com/office/drawing/2014/chart" uri="{C3380CC4-5D6E-409C-BE32-E72D297353CC}">
              <c16:uniqueId val="{00000006-05C1-441F-9E96-CA156EE92311}"/>
            </c:ext>
          </c:extLst>
        </c:ser>
        <c:dLbls>
          <c:showLegendKey val="0"/>
          <c:showVal val="0"/>
          <c:showCatName val="0"/>
          <c:showSerName val="0"/>
          <c:showPercent val="0"/>
          <c:showBubbleSize val="0"/>
        </c:dLbls>
        <c:smooth val="0"/>
        <c:axId val="151289856"/>
        <c:axId val="151291776"/>
      </c:lineChart>
      <c:catAx>
        <c:axId val="1512898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txPr>
          <a:bodyPr/>
          <a:lstStyle/>
          <a:p>
            <a:pPr>
              <a:defRPr lang="en-GB"/>
            </a:pPr>
            <a:endParaRPr lang="ar-SA"/>
          </a:p>
        </c:txPr>
        <c:crossAx val="151291776"/>
        <c:crosses val="autoZero"/>
        <c:auto val="1"/>
        <c:lblAlgn val="ctr"/>
        <c:lblOffset val="100"/>
        <c:noMultiLvlLbl val="0"/>
      </c:catAx>
      <c:valAx>
        <c:axId val="151291776"/>
        <c:scaling>
          <c:orientation val="minMax"/>
          <c:max val="16"/>
          <c:min val="1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General" sourceLinked="1"/>
        <c:majorTickMark val="out"/>
        <c:minorTickMark val="none"/>
        <c:tickLblPos val="nextTo"/>
        <c:txPr>
          <a:bodyPr/>
          <a:lstStyle/>
          <a:p>
            <a:pPr>
              <a:defRPr lang="en-GB"/>
            </a:pPr>
            <a:endParaRPr lang="ar-SA"/>
          </a:p>
        </c:txPr>
        <c:crossAx val="151289856"/>
        <c:crosses val="autoZero"/>
        <c:crossBetween val="between"/>
        <c:majorUnit val="1"/>
        <c:minorUnit val="0.1"/>
      </c:valAx>
    </c:plotArea>
    <c:legend>
      <c:legendPos val="r"/>
      <c:layout>
        <c:manualLayout>
          <c:xMode val="edge"/>
          <c:yMode val="edge"/>
          <c:x val="0.23386835904771194"/>
          <c:y val="2.6338360247341971E-2"/>
          <c:w val="0.49503830539701288"/>
          <c:h val="0.11733795987366"/>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259781791840156"/>
          <c:y val="0.14953183071437237"/>
          <c:w val="0.35779549431321084"/>
          <c:h val="0.74735351292576679"/>
        </c:manualLayout>
      </c:layout>
      <c:pieChart>
        <c:varyColors val="1"/>
        <c:ser>
          <c:idx val="0"/>
          <c:order val="0"/>
          <c:tx>
            <c:strRef>
              <c:f>Sheet1!$B$1</c:f>
              <c:strCache>
                <c:ptCount val="1"/>
                <c:pt idx="0">
                  <c:v>Sales</c:v>
                </c:pt>
              </c:strCache>
            </c:strRef>
          </c:tx>
          <c:dPt>
            <c:idx val="0"/>
            <c:bubble3D val="0"/>
            <c:spPr>
              <a:solidFill>
                <a:srgbClr val="C08F2E"/>
              </a:solidFill>
            </c:spPr>
            <c:extLst>
              <c:ext xmlns:c16="http://schemas.microsoft.com/office/drawing/2014/chart" uri="{C3380CC4-5D6E-409C-BE32-E72D297353CC}">
                <c16:uniqueId val="{00000001-6D4A-4619-B10B-A746E0D043A9}"/>
              </c:ext>
            </c:extLst>
          </c:dPt>
          <c:dPt>
            <c:idx val="1"/>
            <c:bubble3D val="0"/>
            <c:explosion val="2"/>
            <c:spPr>
              <a:solidFill>
                <a:srgbClr val="DFBE7B"/>
              </a:solidFill>
            </c:spPr>
            <c:extLst>
              <c:ext xmlns:c16="http://schemas.microsoft.com/office/drawing/2014/chart" uri="{C3380CC4-5D6E-409C-BE32-E72D297353CC}">
                <c16:uniqueId val="{00000003-6D4A-4619-B10B-A746E0D043A9}"/>
              </c:ext>
            </c:extLst>
          </c:dPt>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Moderate food insecrity</c:v>
                </c:pt>
                <c:pt idx="1">
                  <c:v>Not lacking</c:v>
                </c:pt>
              </c:strCache>
            </c:strRef>
          </c:cat>
          <c:val>
            <c:numRef>
              <c:f>Sheet1!$B$2:$B$3</c:f>
              <c:numCache>
                <c:formatCode>0.0</c:formatCode>
                <c:ptCount val="2"/>
                <c:pt idx="0">
                  <c:v>37.9</c:v>
                </c:pt>
                <c:pt idx="1">
                  <c:v>62.1</c:v>
                </c:pt>
              </c:numCache>
            </c:numRef>
          </c:val>
          <c:extLst>
            <c:ext xmlns:c16="http://schemas.microsoft.com/office/drawing/2014/chart" uri="{C3380CC4-5D6E-409C-BE32-E72D297353CC}">
              <c16:uniqueId val="{00000004-6D4A-4619-B10B-A746E0D043A9}"/>
            </c:ext>
          </c:extLst>
        </c:ser>
        <c:dLbls>
          <c:showLegendKey val="0"/>
          <c:showVal val="1"/>
          <c:showCatName val="0"/>
          <c:showSerName val="0"/>
          <c:showPercent val="0"/>
          <c:showBubbleSize val="0"/>
          <c:showLeaderLines val="1"/>
        </c:dLbls>
        <c:firstSliceAng val="0"/>
      </c:pieChart>
      <c:spPr>
        <a:noFill/>
        <a:ln w="25361">
          <a:noFill/>
        </a:ln>
      </c:spPr>
    </c:plotArea>
    <c:legend>
      <c:legendPos val="r"/>
      <c:overlay val="0"/>
    </c:legend>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263964686021667E-2"/>
          <c:y val="8.7293911359219781E-2"/>
          <c:w val="0.91401363023002968"/>
          <c:h val="0.70410093721560463"/>
        </c:manualLayout>
      </c:layout>
      <c:lineChart>
        <c:grouping val="standard"/>
        <c:varyColors val="0"/>
        <c:ser>
          <c:idx val="0"/>
          <c:order val="0"/>
          <c:tx>
            <c:strRef>
              <c:f>Sheet1!$B$1</c:f>
              <c:strCache>
                <c:ptCount val="1"/>
                <c:pt idx="0">
                  <c:v>Female</c:v>
                </c:pt>
              </c:strCache>
            </c:strRef>
          </c:tx>
          <c:spPr>
            <a:ln>
              <a:solidFill>
                <a:srgbClr val="E64531"/>
              </a:solidFill>
            </a:ln>
          </c:spPr>
          <c:marker>
            <c:symbol val="square"/>
            <c:size val="4"/>
            <c:spPr>
              <a:solidFill>
                <a:srgbClr val="E64531"/>
              </a:solidFill>
              <a:ln>
                <a:solidFill>
                  <a:srgbClr val="E64531"/>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2017*</c:v>
                </c:pt>
                <c:pt idx="1">
                  <c:v>2018</c:v>
                </c:pt>
                <c:pt idx="2">
                  <c:v>2019</c:v>
                </c:pt>
                <c:pt idx="3">
                  <c:v>2020</c:v>
                </c:pt>
              </c:strCache>
            </c:strRef>
          </c:cat>
          <c:val>
            <c:numRef>
              <c:f>Sheet1!$B$2:$B$5</c:f>
              <c:numCache>
                <c:formatCode>General</c:formatCode>
                <c:ptCount val="4"/>
                <c:pt idx="0">
                  <c:v>21.2</c:v>
                </c:pt>
                <c:pt idx="1">
                  <c:v>20.100000000000001</c:v>
                </c:pt>
                <c:pt idx="2">
                  <c:v>20.100000000000001</c:v>
                </c:pt>
                <c:pt idx="3" formatCode="0.0">
                  <c:v>20</c:v>
                </c:pt>
              </c:numCache>
            </c:numRef>
          </c:val>
          <c:smooth val="0"/>
          <c:extLst>
            <c:ext xmlns:c16="http://schemas.microsoft.com/office/drawing/2014/chart" uri="{C3380CC4-5D6E-409C-BE32-E72D297353CC}">
              <c16:uniqueId val="{00000000-7FB4-4571-9390-3710C0993755}"/>
            </c:ext>
          </c:extLst>
        </c:ser>
        <c:dLbls>
          <c:showLegendKey val="0"/>
          <c:showVal val="0"/>
          <c:showCatName val="0"/>
          <c:showSerName val="0"/>
          <c:showPercent val="0"/>
          <c:showBubbleSize val="0"/>
        </c:dLbls>
        <c:marker val="1"/>
        <c:smooth val="0"/>
        <c:axId val="151218432"/>
        <c:axId val="151224704"/>
      </c:lineChart>
      <c:catAx>
        <c:axId val="15121843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151224704"/>
        <c:crosses val="autoZero"/>
        <c:auto val="1"/>
        <c:lblAlgn val="ctr"/>
        <c:lblOffset val="100"/>
        <c:noMultiLvlLbl val="0"/>
      </c:catAx>
      <c:valAx>
        <c:axId val="151224704"/>
        <c:scaling>
          <c:orientation val="minMax"/>
          <c:max val="25"/>
          <c:min val="1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51218432"/>
        <c:crosses val="autoZero"/>
        <c:crossBetween val="between"/>
        <c:majorUnit val="2"/>
        <c:minorUnit val="1"/>
      </c:valAx>
      <c:spPr>
        <a:noFill/>
        <a:ln w="25389">
          <a:noFill/>
        </a:ln>
      </c:spPr>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030811445346927E-2"/>
          <c:y val="5.2299434290084802E-2"/>
          <c:w val="0.91353299098481988"/>
          <c:h val="0.79454990720302265"/>
        </c:manualLayout>
      </c:layout>
      <c:lineChart>
        <c:grouping val="standard"/>
        <c:varyColors val="0"/>
        <c:ser>
          <c:idx val="0"/>
          <c:order val="0"/>
          <c:tx>
            <c:strRef>
              <c:f>Sheet1!$B$1</c:f>
              <c:strCache>
                <c:ptCount val="1"/>
                <c:pt idx="0">
                  <c:v>Palestine</c:v>
                </c:pt>
              </c:strCache>
            </c:strRef>
          </c:tx>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1-2ED1-4EFD-9138-6756E71F958A}"/>
                </c:ext>
              </c:extLst>
            </c:dLbl>
            <c:dLbl>
              <c:idx val="2"/>
              <c:delete val="1"/>
              <c:extLst>
                <c:ext xmlns:c15="http://schemas.microsoft.com/office/drawing/2012/chart" uri="{CE6537A1-D6FC-4f65-9D91-7224C49458BB}"/>
                <c:ext xmlns:c16="http://schemas.microsoft.com/office/drawing/2014/chart" uri="{C3380CC4-5D6E-409C-BE32-E72D297353CC}">
                  <c16:uniqueId val="{00000002-2ED1-4EFD-9138-6756E71F958A}"/>
                </c:ext>
              </c:extLst>
            </c:dLbl>
            <c:dLbl>
              <c:idx val="3"/>
              <c:delete val="1"/>
              <c:extLst>
                <c:ext xmlns:c15="http://schemas.microsoft.com/office/drawing/2012/chart" uri="{CE6537A1-D6FC-4f65-9D91-7224C49458BB}"/>
                <c:ext xmlns:c16="http://schemas.microsoft.com/office/drawing/2014/chart" uri="{C3380CC4-5D6E-409C-BE32-E72D297353CC}">
                  <c16:uniqueId val="{00000003-2ED1-4EFD-9138-6756E71F958A}"/>
                </c:ext>
              </c:extLst>
            </c:dLbl>
            <c:dLbl>
              <c:idx val="4"/>
              <c:delete val="1"/>
              <c:extLst>
                <c:ext xmlns:c15="http://schemas.microsoft.com/office/drawing/2012/chart" uri="{CE6537A1-D6FC-4f65-9D91-7224C49458BB}"/>
                <c:ext xmlns:c16="http://schemas.microsoft.com/office/drawing/2014/chart" uri="{C3380CC4-5D6E-409C-BE32-E72D297353CC}">
                  <c16:uniqueId val="{00000004-2ED1-4EFD-9138-6756E71F958A}"/>
                </c:ext>
              </c:extLst>
            </c:dLbl>
            <c:dLbl>
              <c:idx val="5"/>
              <c:delete val="1"/>
              <c:extLst>
                <c:ext xmlns:c15="http://schemas.microsoft.com/office/drawing/2012/chart" uri="{CE6537A1-D6FC-4f65-9D91-7224C49458BB}"/>
                <c:ext xmlns:c16="http://schemas.microsoft.com/office/drawing/2014/chart" uri="{C3380CC4-5D6E-409C-BE32-E72D297353CC}">
                  <c16:uniqueId val="{00000005-2ED1-4EFD-9138-6756E71F958A}"/>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Sheet1!$B$2:$B$8</c:f>
              <c:numCache>
                <c:formatCode>General</c:formatCode>
                <c:ptCount val="7"/>
                <c:pt idx="0">
                  <c:v>16.3</c:v>
                </c:pt>
                <c:pt idx="1">
                  <c:v>19.399999999999999</c:v>
                </c:pt>
                <c:pt idx="2">
                  <c:v>15.7</c:v>
                </c:pt>
                <c:pt idx="3">
                  <c:v>17.399999999999999</c:v>
                </c:pt>
                <c:pt idx="4">
                  <c:v>20.2</c:v>
                </c:pt>
                <c:pt idx="5">
                  <c:v>22.2</c:v>
                </c:pt>
                <c:pt idx="6">
                  <c:v>21.4</c:v>
                </c:pt>
              </c:numCache>
            </c:numRef>
          </c:val>
          <c:smooth val="0"/>
          <c:extLst>
            <c:ext xmlns:c16="http://schemas.microsoft.com/office/drawing/2014/chart" uri="{C3380CC4-5D6E-409C-BE32-E72D297353CC}">
              <c16:uniqueId val="{0000000E-2ED1-4EFD-9138-6756E71F958A}"/>
            </c:ext>
          </c:extLst>
        </c:ser>
        <c:ser>
          <c:idx val="1"/>
          <c:order val="1"/>
          <c:tx>
            <c:strRef>
              <c:f>Sheet1!$C$1</c:f>
              <c:strCache>
                <c:ptCount val="1"/>
                <c:pt idx="0">
                  <c:v>West Bank</c:v>
                </c:pt>
              </c:strCache>
            </c:strRef>
          </c:tx>
          <c:spPr>
            <a:ln>
              <a:solidFill>
                <a:srgbClr val="C0504D">
                  <a:lumMod val="50000"/>
                </a:srgbClr>
              </a:solidFill>
            </a:ln>
          </c:spPr>
          <c:marker>
            <c:symbol val="none"/>
          </c:marker>
          <c:dLbls>
            <c:dLbl>
              <c:idx val="0"/>
              <c:layout>
                <c:manualLayout>
                  <c:x val="-5.7204349796103296E-2"/>
                  <c:y val="3.81457693381736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711-47EF-8916-E74FB3B188ED}"/>
                </c:ext>
              </c:extLst>
            </c:dLbl>
            <c:dLbl>
              <c:idx val="1"/>
              <c:delete val="1"/>
              <c:extLst>
                <c:ext xmlns:c15="http://schemas.microsoft.com/office/drawing/2012/chart" uri="{CE6537A1-D6FC-4f65-9D91-7224C49458BB}"/>
                <c:ext xmlns:c16="http://schemas.microsoft.com/office/drawing/2014/chart" uri="{C3380CC4-5D6E-409C-BE32-E72D297353CC}">
                  <c16:uniqueId val="{0000000F-2ED1-4EFD-9138-6756E71F958A}"/>
                </c:ext>
              </c:extLst>
            </c:dLbl>
            <c:dLbl>
              <c:idx val="2"/>
              <c:delete val="1"/>
              <c:extLst>
                <c:ext xmlns:c15="http://schemas.microsoft.com/office/drawing/2012/chart" uri="{CE6537A1-D6FC-4f65-9D91-7224C49458BB}"/>
                <c:ext xmlns:c16="http://schemas.microsoft.com/office/drawing/2014/chart" uri="{C3380CC4-5D6E-409C-BE32-E72D297353CC}">
                  <c16:uniqueId val="{00000010-2ED1-4EFD-9138-6756E71F958A}"/>
                </c:ext>
              </c:extLst>
            </c:dLbl>
            <c:dLbl>
              <c:idx val="3"/>
              <c:delete val="1"/>
              <c:extLst>
                <c:ext xmlns:c15="http://schemas.microsoft.com/office/drawing/2012/chart" uri="{CE6537A1-D6FC-4f65-9D91-7224C49458BB}"/>
                <c:ext xmlns:c16="http://schemas.microsoft.com/office/drawing/2014/chart" uri="{C3380CC4-5D6E-409C-BE32-E72D297353CC}">
                  <c16:uniqueId val="{00000011-2ED1-4EFD-9138-6756E71F958A}"/>
                </c:ext>
              </c:extLst>
            </c:dLbl>
            <c:dLbl>
              <c:idx val="4"/>
              <c:delete val="1"/>
              <c:extLst>
                <c:ext xmlns:c15="http://schemas.microsoft.com/office/drawing/2012/chart" uri="{CE6537A1-D6FC-4f65-9D91-7224C49458BB}"/>
                <c:ext xmlns:c16="http://schemas.microsoft.com/office/drawing/2014/chart" uri="{C3380CC4-5D6E-409C-BE32-E72D297353CC}">
                  <c16:uniqueId val="{00000012-2ED1-4EFD-9138-6756E71F958A}"/>
                </c:ext>
              </c:extLst>
            </c:dLbl>
            <c:dLbl>
              <c:idx val="5"/>
              <c:delete val="1"/>
              <c:extLst>
                <c:ext xmlns:c15="http://schemas.microsoft.com/office/drawing/2012/chart" uri="{CE6537A1-D6FC-4f65-9D91-7224C49458BB}"/>
                <c:ext xmlns:c16="http://schemas.microsoft.com/office/drawing/2014/chart" uri="{C3380CC4-5D6E-409C-BE32-E72D297353CC}">
                  <c16:uniqueId val="{00000013-2ED1-4EFD-9138-6756E71F958A}"/>
                </c:ext>
              </c:extLst>
            </c:dLbl>
            <c:dLbl>
              <c:idx val="6"/>
              <c:layout>
                <c:manualLayout>
                  <c:x val="-5.6637970095151839E-4"/>
                  <c:y val="-6.5344875733035464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2ED1-4EFD-9138-6756E71F958A}"/>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Sheet1!$C$2:$C$8</c:f>
              <c:numCache>
                <c:formatCode>General</c:formatCode>
                <c:ptCount val="7"/>
                <c:pt idx="0">
                  <c:v>14.5</c:v>
                </c:pt>
                <c:pt idx="1">
                  <c:v>19.2</c:v>
                </c:pt>
                <c:pt idx="2">
                  <c:v>14.6</c:v>
                </c:pt>
                <c:pt idx="3">
                  <c:v>14.6</c:v>
                </c:pt>
                <c:pt idx="4">
                  <c:v>16.600000000000001</c:v>
                </c:pt>
                <c:pt idx="5">
                  <c:v>21.5</c:v>
                </c:pt>
                <c:pt idx="6">
                  <c:v>21.4</c:v>
                </c:pt>
              </c:numCache>
            </c:numRef>
          </c:val>
          <c:smooth val="0"/>
          <c:extLst>
            <c:ext xmlns:c16="http://schemas.microsoft.com/office/drawing/2014/chart" uri="{C3380CC4-5D6E-409C-BE32-E72D297353CC}">
              <c16:uniqueId val="{0000001C-2ED1-4EFD-9138-6756E71F958A}"/>
            </c:ext>
          </c:extLst>
        </c:ser>
        <c:ser>
          <c:idx val="2"/>
          <c:order val="2"/>
          <c:tx>
            <c:strRef>
              <c:f>Sheet1!$D$1</c:f>
              <c:strCache>
                <c:ptCount val="1"/>
                <c:pt idx="0">
                  <c:v>Gaza Strip</c:v>
                </c:pt>
              </c:strCache>
            </c:strRef>
          </c:tx>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1D-2ED1-4EFD-9138-6756E71F958A}"/>
                </c:ext>
              </c:extLst>
            </c:dLbl>
            <c:dLbl>
              <c:idx val="2"/>
              <c:delete val="1"/>
              <c:extLst>
                <c:ext xmlns:c15="http://schemas.microsoft.com/office/drawing/2012/chart" uri="{CE6537A1-D6FC-4f65-9D91-7224C49458BB}"/>
                <c:ext xmlns:c16="http://schemas.microsoft.com/office/drawing/2014/chart" uri="{C3380CC4-5D6E-409C-BE32-E72D297353CC}">
                  <c16:uniqueId val="{0000001E-2ED1-4EFD-9138-6756E71F958A}"/>
                </c:ext>
              </c:extLst>
            </c:dLbl>
            <c:dLbl>
              <c:idx val="3"/>
              <c:delete val="1"/>
              <c:extLst>
                <c:ext xmlns:c15="http://schemas.microsoft.com/office/drawing/2012/chart" uri="{CE6537A1-D6FC-4f65-9D91-7224C49458BB}"/>
                <c:ext xmlns:c16="http://schemas.microsoft.com/office/drawing/2014/chart" uri="{C3380CC4-5D6E-409C-BE32-E72D297353CC}">
                  <c16:uniqueId val="{0000001F-2ED1-4EFD-9138-6756E71F958A}"/>
                </c:ext>
              </c:extLst>
            </c:dLbl>
            <c:dLbl>
              <c:idx val="4"/>
              <c:delete val="1"/>
              <c:extLst>
                <c:ext xmlns:c15="http://schemas.microsoft.com/office/drawing/2012/chart" uri="{CE6537A1-D6FC-4f65-9D91-7224C49458BB}"/>
                <c:ext xmlns:c16="http://schemas.microsoft.com/office/drawing/2014/chart" uri="{C3380CC4-5D6E-409C-BE32-E72D297353CC}">
                  <c16:uniqueId val="{00000020-2ED1-4EFD-9138-6756E71F958A}"/>
                </c:ext>
              </c:extLst>
            </c:dLbl>
            <c:dLbl>
              <c:idx val="5"/>
              <c:delete val="1"/>
              <c:extLst>
                <c:ext xmlns:c15="http://schemas.microsoft.com/office/drawing/2012/chart" uri="{CE6537A1-D6FC-4f65-9D91-7224C49458BB}"/>
                <c:ext xmlns:c16="http://schemas.microsoft.com/office/drawing/2014/chart" uri="{C3380CC4-5D6E-409C-BE32-E72D297353CC}">
                  <c16:uniqueId val="{00000021-2ED1-4EFD-9138-6756E71F958A}"/>
                </c:ext>
              </c:extLst>
            </c:dLbl>
            <c:dLbl>
              <c:idx val="6"/>
              <c:layout>
                <c:manualLayout>
                  <c:x val="-1.1893973719981889E-2"/>
                  <c:y val="0.1051661547053897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2ED1-4EFD-9138-6756E71F958A}"/>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Sheet1!$D$2:$D$8</c:f>
              <c:numCache>
                <c:formatCode>General</c:formatCode>
                <c:ptCount val="7"/>
                <c:pt idx="0">
                  <c:v>22.4</c:v>
                </c:pt>
                <c:pt idx="1">
                  <c:v>20.3</c:v>
                </c:pt>
                <c:pt idx="2">
                  <c:v>19.600000000000001</c:v>
                </c:pt>
                <c:pt idx="3">
                  <c:v>30.8</c:v>
                </c:pt>
                <c:pt idx="4">
                  <c:v>38.9</c:v>
                </c:pt>
                <c:pt idx="5">
                  <c:v>25.5</c:v>
                </c:pt>
                <c:pt idx="6">
                  <c:v>21.1</c:v>
                </c:pt>
              </c:numCache>
            </c:numRef>
          </c:val>
          <c:smooth val="0"/>
          <c:extLst>
            <c:ext xmlns:c16="http://schemas.microsoft.com/office/drawing/2014/chart" uri="{C3380CC4-5D6E-409C-BE32-E72D297353CC}">
              <c16:uniqueId val="{00000029-2ED1-4EFD-9138-6756E71F958A}"/>
            </c:ext>
          </c:extLst>
        </c:ser>
        <c:dLbls>
          <c:showLegendKey val="0"/>
          <c:showVal val="1"/>
          <c:showCatName val="0"/>
          <c:showSerName val="0"/>
          <c:showPercent val="0"/>
          <c:showBubbleSize val="0"/>
        </c:dLbls>
        <c:smooth val="0"/>
        <c:axId val="151394944"/>
        <c:axId val="151413504"/>
      </c:lineChart>
      <c:catAx>
        <c:axId val="15139494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overlay val="0"/>
        </c:title>
        <c:numFmt formatCode="General" sourceLinked="0"/>
        <c:majorTickMark val="none"/>
        <c:minorTickMark val="none"/>
        <c:tickLblPos val="nextTo"/>
        <c:spPr>
          <a:ln>
            <a:solidFill>
              <a:sysClr val="windowText" lastClr="000000"/>
            </a:solidFill>
          </a:ln>
        </c:spPr>
        <c:txPr>
          <a:bodyPr/>
          <a:lstStyle/>
          <a:p>
            <a:pPr>
              <a:defRPr lang="en-GB"/>
            </a:pPr>
            <a:endParaRPr lang="ar-SA"/>
          </a:p>
        </c:txPr>
        <c:crossAx val="151413504"/>
        <c:crosses val="autoZero"/>
        <c:auto val="1"/>
        <c:lblAlgn val="ctr"/>
        <c:lblOffset val="100"/>
        <c:noMultiLvlLbl val="0"/>
      </c:catAx>
      <c:valAx>
        <c:axId val="151413504"/>
        <c:scaling>
          <c:orientation val="minMax"/>
          <c:max val="50"/>
          <c:min val="1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51394944"/>
        <c:crosses val="autoZero"/>
        <c:crossBetween val="between"/>
        <c:majorUnit val="5"/>
      </c:valAx>
    </c:plotArea>
    <c:legend>
      <c:legendPos val="r"/>
      <c:layout>
        <c:manualLayout>
          <c:xMode val="edge"/>
          <c:yMode val="edge"/>
          <c:x val="0.45102198088401652"/>
          <c:y val="5.284144005875277E-2"/>
          <c:w val="0.50624980700942013"/>
          <c:h val="0.12206076860479781"/>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693498496195087E-2"/>
          <c:y val="5.4827364229714931E-2"/>
          <c:w val="0.89885187428494562"/>
          <c:h val="0.74869490451624632"/>
        </c:manualLayout>
      </c:layout>
      <c:lineChart>
        <c:grouping val="standard"/>
        <c:varyColors val="0"/>
        <c:ser>
          <c:idx val="0"/>
          <c:order val="0"/>
          <c:tx>
            <c:strRef>
              <c:f>Sheet1!$B$1</c:f>
              <c:strCache>
                <c:ptCount val="1"/>
                <c:pt idx="0">
                  <c:v>Palestine</c:v>
                </c:pt>
              </c:strCache>
            </c:strRef>
          </c:tx>
          <c:spPr>
            <a:ln>
              <a:solidFill>
                <a:srgbClr val="C0504D">
                  <a:lumMod val="50000"/>
                </a:srgbClr>
              </a:solidFill>
            </a:ln>
          </c:spPr>
          <c:marker>
            <c:symbol val="square"/>
            <c:size val="5"/>
            <c:spPr>
              <a:ln>
                <a:solidFill>
                  <a:srgbClr val="C0504D">
                    <a:lumMod val="50000"/>
                  </a:srgbClr>
                </a:solidFill>
              </a:ln>
            </c:spPr>
          </c:marker>
          <c:dLbls>
            <c:dLbl>
              <c:idx val="0"/>
              <c:layout>
                <c:manualLayout>
                  <c:x val="-6.5700045310376071E-2"/>
                  <c:y val="1.624255549539797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93F-4AA5-84BE-DE9A3B6FF61C}"/>
                </c:ext>
              </c:extLst>
            </c:dLbl>
            <c:dLbl>
              <c:idx val="1"/>
              <c:delete val="1"/>
              <c:extLst>
                <c:ext xmlns:c15="http://schemas.microsoft.com/office/drawing/2012/chart" uri="{CE6537A1-D6FC-4f65-9D91-7224C49458BB}"/>
                <c:ext xmlns:c16="http://schemas.microsoft.com/office/drawing/2014/chart" uri="{C3380CC4-5D6E-409C-BE32-E72D297353CC}">
                  <c16:uniqueId val="{00000005-393F-4AA5-84BE-DE9A3B6FF61C}"/>
                </c:ext>
              </c:extLst>
            </c:dLbl>
            <c:dLbl>
              <c:idx val="3"/>
              <c:delete val="1"/>
              <c:extLst>
                <c:ext xmlns:c15="http://schemas.microsoft.com/office/drawing/2012/chart" uri="{CE6537A1-D6FC-4f65-9D91-7224C49458BB}"/>
                <c:ext xmlns:c16="http://schemas.microsoft.com/office/drawing/2014/chart" uri="{C3380CC4-5D6E-409C-BE32-E72D297353CC}">
                  <c16:uniqueId val="{00000003-393F-4AA5-84BE-DE9A3B6FF61C}"/>
                </c:ext>
              </c:extLst>
            </c:dLbl>
            <c:dLbl>
              <c:idx val="4"/>
              <c:delete val="1"/>
              <c:extLst>
                <c:ext xmlns:c15="http://schemas.microsoft.com/office/drawing/2012/chart" uri="{CE6537A1-D6FC-4f65-9D91-7224C49458BB}"/>
                <c:ext xmlns:c16="http://schemas.microsoft.com/office/drawing/2014/chart" uri="{C3380CC4-5D6E-409C-BE32-E72D297353CC}">
                  <c16:uniqueId val="{00000002-393F-4AA5-84BE-DE9A3B6FF61C}"/>
                </c:ext>
              </c:extLst>
            </c:dLbl>
            <c:dLbl>
              <c:idx val="6"/>
              <c:delete val="1"/>
              <c:extLst>
                <c:ext xmlns:c15="http://schemas.microsoft.com/office/drawing/2012/chart" uri="{CE6537A1-D6FC-4f65-9D91-7224C49458BB}"/>
                <c:ext xmlns:c16="http://schemas.microsoft.com/office/drawing/2014/chart" uri="{C3380CC4-5D6E-409C-BE32-E72D297353CC}">
                  <c16:uniqueId val="{00000000-32EF-4832-AE30-B16CB990F1FE}"/>
                </c:ext>
              </c:extLst>
            </c:dLbl>
            <c:dLbl>
              <c:idx val="7"/>
              <c:layout>
                <c:manualLayout>
                  <c:x val="-6.4141414141415136E-3"/>
                  <c:y val="1.08518719479113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EF-4832-AE30-B16CB990F1FE}"/>
                </c:ext>
              </c:extLst>
            </c:dLbl>
            <c:spPr>
              <a:noFill/>
              <a:ln w="2541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Sheet1!$A$2:$A$4</c:f>
              <c:numCache>
                <c:formatCode>General</c:formatCode>
                <c:ptCount val="3"/>
                <c:pt idx="0">
                  <c:v>2014</c:v>
                </c:pt>
                <c:pt idx="1">
                  <c:v>2019</c:v>
                </c:pt>
                <c:pt idx="2">
                  <c:v>2022</c:v>
                </c:pt>
              </c:numCache>
            </c:numRef>
          </c:cat>
          <c:val>
            <c:numRef>
              <c:f>Sheet1!$B$2:$B$4</c:f>
              <c:numCache>
                <c:formatCode>General</c:formatCode>
                <c:ptCount val="3"/>
                <c:pt idx="0">
                  <c:v>73.7</c:v>
                </c:pt>
                <c:pt idx="1">
                  <c:v>74.900000000000006</c:v>
                </c:pt>
                <c:pt idx="2">
                  <c:v>79.2</c:v>
                </c:pt>
              </c:numCache>
            </c:numRef>
          </c:val>
          <c:smooth val="0"/>
          <c:extLst>
            <c:ext xmlns:c16="http://schemas.microsoft.com/office/drawing/2014/chart" uri="{C3380CC4-5D6E-409C-BE32-E72D297353CC}">
              <c16:uniqueId val="{00000002-32EF-4832-AE30-B16CB990F1FE}"/>
            </c:ext>
          </c:extLst>
        </c:ser>
        <c:ser>
          <c:idx val="1"/>
          <c:order val="1"/>
          <c:tx>
            <c:strRef>
              <c:f>Sheet1!$C$1</c:f>
              <c:strCache>
                <c:ptCount val="1"/>
                <c:pt idx="0">
                  <c:v>West Bank</c:v>
                </c:pt>
              </c:strCache>
            </c:strRef>
          </c:tx>
          <c:marker>
            <c:symbol val="square"/>
            <c:size val="5"/>
          </c:marker>
          <c:dLbls>
            <c:dLbl>
              <c:idx val="0"/>
              <c:layout>
                <c:manualLayout>
                  <c:x val="-3.8484848484848642E-2"/>
                  <c:y val="-5.968529571351058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2EF-4832-AE30-B16CB990F1FE}"/>
                </c:ext>
              </c:extLst>
            </c:dLbl>
            <c:dLbl>
              <c:idx val="1"/>
              <c:delete val="1"/>
              <c:extLst>
                <c:ext xmlns:c15="http://schemas.microsoft.com/office/drawing/2012/chart" uri="{CE6537A1-D6FC-4f65-9D91-7224C49458BB}"/>
                <c:ext xmlns:c16="http://schemas.microsoft.com/office/drawing/2014/chart" uri="{C3380CC4-5D6E-409C-BE32-E72D297353CC}">
                  <c16:uniqueId val="{00000004-32EF-4832-AE30-B16CB990F1FE}"/>
                </c:ext>
              </c:extLst>
            </c:dLbl>
            <c:dLbl>
              <c:idx val="3"/>
              <c:delete val="1"/>
              <c:extLst>
                <c:ext xmlns:c15="http://schemas.microsoft.com/office/drawing/2012/chart" uri="{CE6537A1-D6FC-4f65-9D91-7224C49458BB}"/>
                <c:ext xmlns:c16="http://schemas.microsoft.com/office/drawing/2014/chart" uri="{C3380CC4-5D6E-409C-BE32-E72D297353CC}">
                  <c16:uniqueId val="{00000006-32EF-4832-AE30-B16CB990F1FE}"/>
                </c:ext>
              </c:extLst>
            </c:dLbl>
            <c:dLbl>
              <c:idx val="4"/>
              <c:delete val="1"/>
              <c:extLst>
                <c:ext xmlns:c15="http://schemas.microsoft.com/office/drawing/2012/chart" uri="{CE6537A1-D6FC-4f65-9D91-7224C49458BB}"/>
                <c:ext xmlns:c16="http://schemas.microsoft.com/office/drawing/2014/chart" uri="{C3380CC4-5D6E-409C-BE32-E72D297353CC}">
                  <c16:uniqueId val="{00000007-32EF-4832-AE30-B16CB990F1FE}"/>
                </c:ext>
              </c:extLst>
            </c:dLbl>
            <c:dLbl>
              <c:idx val="6"/>
              <c:delete val="1"/>
              <c:extLst>
                <c:ext xmlns:c15="http://schemas.microsoft.com/office/drawing/2012/chart" uri="{CE6537A1-D6FC-4f65-9D91-7224C49458BB}"/>
                <c:ext xmlns:c16="http://schemas.microsoft.com/office/drawing/2014/chart" uri="{C3380CC4-5D6E-409C-BE32-E72D297353CC}">
                  <c16:uniqueId val="{00000000-393F-4AA5-84BE-DE9A3B6FF61C}"/>
                </c:ext>
              </c:extLst>
            </c:dLbl>
            <c:dLbl>
              <c:idx val="7"/>
              <c:layout>
                <c:manualLayout>
                  <c:x val="-1.4966329966329971E-2"/>
                  <c:y val="-3.79815518176885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2EF-4832-AE30-B16CB990F1FE}"/>
                </c:ext>
              </c:extLst>
            </c:dLbl>
            <c:spPr>
              <a:noFill/>
              <a:ln w="2541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Sheet1!$A$2:$A$4</c:f>
              <c:numCache>
                <c:formatCode>General</c:formatCode>
                <c:ptCount val="3"/>
                <c:pt idx="0">
                  <c:v>2014</c:v>
                </c:pt>
                <c:pt idx="1">
                  <c:v>2019</c:v>
                </c:pt>
                <c:pt idx="2">
                  <c:v>2022</c:v>
                </c:pt>
              </c:numCache>
            </c:numRef>
          </c:cat>
          <c:val>
            <c:numRef>
              <c:f>Sheet1!$C$2:$C$4</c:f>
              <c:numCache>
                <c:formatCode>General</c:formatCode>
                <c:ptCount val="3"/>
                <c:pt idx="0">
                  <c:v>77.5</c:v>
                </c:pt>
                <c:pt idx="1">
                  <c:v>81.599999999999994</c:v>
                </c:pt>
                <c:pt idx="2">
                  <c:v>86.1</c:v>
                </c:pt>
              </c:numCache>
            </c:numRef>
          </c:val>
          <c:smooth val="0"/>
          <c:extLst>
            <c:ext xmlns:c16="http://schemas.microsoft.com/office/drawing/2014/chart" uri="{C3380CC4-5D6E-409C-BE32-E72D297353CC}">
              <c16:uniqueId val="{0000000A-32EF-4832-AE30-B16CB990F1FE}"/>
            </c:ext>
          </c:extLst>
        </c:ser>
        <c:ser>
          <c:idx val="2"/>
          <c:order val="2"/>
          <c:tx>
            <c:strRef>
              <c:f>Sheet1!$D$1</c:f>
              <c:strCache>
                <c:ptCount val="1"/>
                <c:pt idx="0">
                  <c:v>Gaza Strip</c:v>
                </c:pt>
              </c:strCache>
            </c:strRef>
          </c:tx>
          <c:marker>
            <c:symbol val="square"/>
            <c:size val="5"/>
          </c:marker>
          <c:dLbls>
            <c:dLbl>
              <c:idx val="0"/>
              <c:layout>
                <c:manualLayout>
                  <c:x val="-6.4141414141415136E-3"/>
                  <c:y val="2.712967986977744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32EF-4832-AE30-B16CB990F1FE}"/>
                </c:ext>
              </c:extLst>
            </c:dLbl>
            <c:dLbl>
              <c:idx val="1"/>
              <c:delete val="1"/>
              <c:extLst>
                <c:ext xmlns:c15="http://schemas.microsoft.com/office/drawing/2012/chart" uri="{CE6537A1-D6FC-4f65-9D91-7224C49458BB}"/>
                <c:ext xmlns:c16="http://schemas.microsoft.com/office/drawing/2014/chart" uri="{C3380CC4-5D6E-409C-BE32-E72D297353CC}">
                  <c16:uniqueId val="{0000000C-32EF-4832-AE30-B16CB990F1FE}"/>
                </c:ext>
              </c:extLst>
            </c:dLbl>
            <c:dLbl>
              <c:idx val="3"/>
              <c:delete val="1"/>
              <c:extLst>
                <c:ext xmlns:c15="http://schemas.microsoft.com/office/drawing/2012/chart" uri="{CE6537A1-D6FC-4f65-9D91-7224C49458BB}"/>
                <c:ext xmlns:c16="http://schemas.microsoft.com/office/drawing/2014/chart" uri="{C3380CC4-5D6E-409C-BE32-E72D297353CC}">
                  <c16:uniqueId val="{0000000E-32EF-4832-AE30-B16CB990F1FE}"/>
                </c:ext>
              </c:extLst>
            </c:dLbl>
            <c:dLbl>
              <c:idx val="4"/>
              <c:delete val="1"/>
              <c:extLst>
                <c:ext xmlns:c15="http://schemas.microsoft.com/office/drawing/2012/chart" uri="{CE6537A1-D6FC-4f65-9D91-7224C49458BB}"/>
                <c:ext xmlns:c16="http://schemas.microsoft.com/office/drawing/2014/chart" uri="{C3380CC4-5D6E-409C-BE32-E72D297353CC}">
                  <c16:uniqueId val="{0000000F-32EF-4832-AE30-B16CB990F1FE}"/>
                </c:ext>
              </c:extLst>
            </c:dLbl>
            <c:dLbl>
              <c:idx val="6"/>
              <c:delete val="1"/>
              <c:extLst>
                <c:ext xmlns:c15="http://schemas.microsoft.com/office/drawing/2012/chart" uri="{CE6537A1-D6FC-4f65-9D91-7224C49458BB}"/>
                <c:ext xmlns:c16="http://schemas.microsoft.com/office/drawing/2014/chart" uri="{C3380CC4-5D6E-409C-BE32-E72D297353CC}">
                  <c16:uniqueId val="{00000011-32EF-4832-AE30-B16CB990F1FE}"/>
                </c:ext>
              </c:extLst>
            </c:dLbl>
            <c:dLbl>
              <c:idx val="7"/>
              <c:layout>
                <c:manualLayout>
                  <c:x val="-8.5521885521888906E-3"/>
                  <c:y val="1.62778079218665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2EF-4832-AE30-B16CB990F1FE}"/>
                </c:ext>
              </c:extLst>
            </c:dLbl>
            <c:spPr>
              <a:noFill/>
              <a:ln w="2541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Sheet1!$A$2:$A$4</c:f>
              <c:numCache>
                <c:formatCode>General</c:formatCode>
                <c:ptCount val="3"/>
                <c:pt idx="0">
                  <c:v>2014</c:v>
                </c:pt>
                <c:pt idx="1">
                  <c:v>2019</c:v>
                </c:pt>
                <c:pt idx="2">
                  <c:v>2022</c:v>
                </c:pt>
              </c:numCache>
            </c:numRef>
          </c:cat>
          <c:val>
            <c:numRef>
              <c:f>Sheet1!$D$2:$D$4</c:f>
              <c:numCache>
                <c:formatCode>General</c:formatCode>
                <c:ptCount val="3"/>
                <c:pt idx="0">
                  <c:v>67.2</c:v>
                </c:pt>
                <c:pt idx="1">
                  <c:v>64.2</c:v>
                </c:pt>
                <c:pt idx="2">
                  <c:v>68.7</c:v>
                </c:pt>
              </c:numCache>
            </c:numRef>
          </c:val>
          <c:smooth val="0"/>
          <c:extLst>
            <c:ext xmlns:c16="http://schemas.microsoft.com/office/drawing/2014/chart" uri="{C3380CC4-5D6E-409C-BE32-E72D297353CC}">
              <c16:uniqueId val="{00000013-32EF-4832-AE30-B16CB990F1FE}"/>
            </c:ext>
          </c:extLst>
        </c:ser>
        <c:dLbls>
          <c:showLegendKey val="0"/>
          <c:showVal val="0"/>
          <c:showCatName val="0"/>
          <c:showSerName val="0"/>
          <c:showPercent val="0"/>
          <c:showBubbleSize val="0"/>
        </c:dLbls>
        <c:marker val="1"/>
        <c:smooth val="0"/>
        <c:axId val="151485824"/>
        <c:axId val="151504384"/>
      </c:lineChart>
      <c:catAx>
        <c:axId val="1514858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txPr>
          <a:bodyPr/>
          <a:lstStyle/>
          <a:p>
            <a:pPr>
              <a:defRPr lang="en-GB"/>
            </a:pPr>
            <a:endParaRPr lang="ar-SA"/>
          </a:p>
        </c:txPr>
        <c:crossAx val="151504384"/>
        <c:crosses val="autoZero"/>
        <c:auto val="1"/>
        <c:lblAlgn val="ctr"/>
        <c:lblOffset val="100"/>
        <c:noMultiLvlLbl val="0"/>
      </c:catAx>
      <c:valAx>
        <c:axId val="151504384"/>
        <c:scaling>
          <c:orientation val="minMax"/>
          <c:max val="100"/>
          <c:min val="5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General" sourceLinked="1"/>
        <c:majorTickMark val="out"/>
        <c:minorTickMark val="none"/>
        <c:tickLblPos val="nextTo"/>
        <c:txPr>
          <a:bodyPr/>
          <a:lstStyle/>
          <a:p>
            <a:pPr>
              <a:defRPr lang="en-GB"/>
            </a:pPr>
            <a:endParaRPr lang="ar-SA"/>
          </a:p>
        </c:txPr>
        <c:crossAx val="151485824"/>
        <c:crosses val="autoZero"/>
        <c:crossBetween val="between"/>
        <c:majorUnit val="10"/>
      </c:valAx>
      <c:spPr>
        <a:ln>
          <a:noFill/>
        </a:ln>
      </c:spPr>
    </c:plotArea>
    <c:legend>
      <c:legendPos val="r"/>
      <c:layout>
        <c:manualLayout>
          <c:xMode val="edge"/>
          <c:yMode val="edge"/>
          <c:x val="0.40375804477862104"/>
          <c:y val="4.2465551181102373E-2"/>
          <c:w val="0.57837397487943776"/>
          <c:h val="0.13916010498687664"/>
        </c:manualLayout>
      </c:layout>
      <c:overlay val="0"/>
      <c:spPr>
        <a:ln>
          <a:solidFill>
            <a:sysClr val="windowText" lastClr="000000">
              <a:shade val="95000"/>
              <a:satMod val="105000"/>
            </a:sysClr>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824890414129891E-2"/>
          <c:y val="5.9685295713510583E-2"/>
          <c:w val="0.90717597253058502"/>
          <c:h val="0.76945575635645003"/>
        </c:manualLayout>
      </c:layout>
      <c:lineChart>
        <c:grouping val="standard"/>
        <c:varyColors val="0"/>
        <c:ser>
          <c:idx val="0"/>
          <c:order val="0"/>
          <c:tx>
            <c:strRef>
              <c:f>Sheet1!$B$1</c:f>
              <c:strCache>
                <c:ptCount val="1"/>
                <c:pt idx="0">
                  <c:v>Male</c:v>
                </c:pt>
              </c:strCache>
            </c:strRef>
          </c:tx>
          <c:marker>
            <c:symbol val="square"/>
            <c:size val="4"/>
          </c:marker>
          <c:dLbls>
            <c:dLbl>
              <c:idx val="0"/>
              <c:layout>
                <c:manualLayout>
                  <c:x val="-5.8491901523852023E-2"/>
                  <c:y val="-4.950319260591547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6C0-45B5-A86B-3D5D09BFE7BE}"/>
                </c:ext>
              </c:extLst>
            </c:dLbl>
            <c:dLbl>
              <c:idx val="1"/>
              <c:delete val="1"/>
              <c:extLst>
                <c:ext xmlns:c15="http://schemas.microsoft.com/office/drawing/2012/chart" uri="{CE6537A1-D6FC-4f65-9D91-7224C49458BB}"/>
                <c:ext xmlns:c16="http://schemas.microsoft.com/office/drawing/2014/chart" uri="{C3380CC4-5D6E-409C-BE32-E72D297353CC}">
                  <c16:uniqueId val="{00000001-86C0-45B5-A86B-3D5D09BFE7BE}"/>
                </c:ext>
              </c:extLst>
            </c:dLbl>
            <c:dLbl>
              <c:idx val="3"/>
              <c:delete val="1"/>
              <c:extLst>
                <c:ext xmlns:c15="http://schemas.microsoft.com/office/drawing/2012/chart" uri="{CE6537A1-D6FC-4f65-9D91-7224C49458BB}"/>
                <c:ext xmlns:c16="http://schemas.microsoft.com/office/drawing/2014/chart" uri="{C3380CC4-5D6E-409C-BE32-E72D297353CC}">
                  <c16:uniqueId val="{00000003-86C0-45B5-A86B-3D5D09BFE7BE}"/>
                </c:ext>
              </c:extLst>
            </c:dLbl>
            <c:dLbl>
              <c:idx val="4"/>
              <c:delete val="1"/>
              <c:extLst>
                <c:ext xmlns:c15="http://schemas.microsoft.com/office/drawing/2012/chart" uri="{CE6537A1-D6FC-4f65-9D91-7224C49458BB}"/>
                <c:ext xmlns:c16="http://schemas.microsoft.com/office/drawing/2014/chart" uri="{C3380CC4-5D6E-409C-BE32-E72D297353CC}">
                  <c16:uniqueId val="{00000004-86C0-45B5-A86B-3D5D09BFE7BE}"/>
                </c:ext>
              </c:extLst>
            </c:dLbl>
            <c:dLbl>
              <c:idx val="5"/>
              <c:delete val="1"/>
              <c:extLst>
                <c:ext xmlns:c15="http://schemas.microsoft.com/office/drawing/2012/chart" uri="{CE6537A1-D6FC-4f65-9D91-7224C49458BB}"/>
                <c:ext xmlns:c16="http://schemas.microsoft.com/office/drawing/2014/chart" uri="{C3380CC4-5D6E-409C-BE32-E72D297353CC}">
                  <c16:uniqueId val="{00000005-86C0-45B5-A86B-3D5D09BFE7BE}"/>
                </c:ext>
              </c:extLst>
            </c:dLbl>
            <c:dLbl>
              <c:idx val="6"/>
              <c:delete val="1"/>
              <c:extLst>
                <c:ext xmlns:c15="http://schemas.microsoft.com/office/drawing/2012/chart" uri="{CE6537A1-D6FC-4f65-9D91-7224C49458BB}"/>
                <c:ext xmlns:c16="http://schemas.microsoft.com/office/drawing/2014/chart" uri="{C3380CC4-5D6E-409C-BE32-E72D297353CC}">
                  <c16:uniqueId val="{00000000-3F54-4A6E-88A4-60F83DFFFCF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Sheet1!$A$2:$A$4</c:f>
              <c:numCache>
                <c:formatCode>General</c:formatCode>
                <c:ptCount val="3"/>
                <c:pt idx="0">
                  <c:v>2014</c:v>
                </c:pt>
                <c:pt idx="1">
                  <c:v>2019</c:v>
                </c:pt>
                <c:pt idx="2">
                  <c:v>2022</c:v>
                </c:pt>
              </c:numCache>
            </c:numRef>
          </c:cat>
          <c:val>
            <c:numRef>
              <c:f>Sheet1!$B$2:$B$4</c:f>
              <c:numCache>
                <c:formatCode>General</c:formatCode>
                <c:ptCount val="3"/>
                <c:pt idx="0">
                  <c:v>81.8</c:v>
                </c:pt>
                <c:pt idx="1">
                  <c:v>79.2</c:v>
                </c:pt>
                <c:pt idx="2">
                  <c:v>82.7</c:v>
                </c:pt>
              </c:numCache>
            </c:numRef>
          </c:val>
          <c:smooth val="0"/>
          <c:extLst>
            <c:ext xmlns:c16="http://schemas.microsoft.com/office/drawing/2014/chart" uri="{C3380CC4-5D6E-409C-BE32-E72D297353CC}">
              <c16:uniqueId val="{00000006-86C0-45B5-A86B-3D5D09BFE7BE}"/>
            </c:ext>
          </c:extLst>
        </c:ser>
        <c:ser>
          <c:idx val="1"/>
          <c:order val="1"/>
          <c:tx>
            <c:strRef>
              <c:f>Sheet1!$C$1</c:f>
              <c:strCache>
                <c:ptCount val="1"/>
                <c:pt idx="0">
                  <c:v>Female</c:v>
                </c:pt>
              </c:strCache>
            </c:strRef>
          </c:tx>
          <c:spPr>
            <a:ln>
              <a:solidFill>
                <a:srgbClr val="C0504D">
                  <a:lumMod val="50000"/>
                </a:srgbClr>
              </a:solidFill>
            </a:ln>
          </c:spPr>
          <c:marker>
            <c:symbol val="square"/>
            <c:size val="4"/>
            <c:spPr>
              <a:ln>
                <a:solidFill>
                  <a:srgbClr val="C0504D">
                    <a:lumMod val="50000"/>
                  </a:srgbClr>
                </a:solidFill>
              </a:ln>
            </c:spPr>
          </c:marker>
          <c:dLbls>
            <c:dLbl>
              <c:idx val="0"/>
              <c:layout>
                <c:manualLayout>
                  <c:x val="-4.1972717733473289E-2"/>
                  <c:y val="-4.11039342337052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091-4F2E-8544-EB518B6702AB}"/>
                </c:ext>
              </c:extLst>
            </c:dLbl>
            <c:dLbl>
              <c:idx val="1"/>
              <c:delete val="1"/>
              <c:extLst>
                <c:ext xmlns:c15="http://schemas.microsoft.com/office/drawing/2012/chart" uri="{CE6537A1-D6FC-4f65-9D91-7224C49458BB}"/>
                <c:ext xmlns:c16="http://schemas.microsoft.com/office/drawing/2014/chart" uri="{C3380CC4-5D6E-409C-BE32-E72D297353CC}">
                  <c16:uniqueId val="{00000007-86C0-45B5-A86B-3D5D09BFE7BE}"/>
                </c:ext>
              </c:extLst>
            </c:dLbl>
            <c:dLbl>
              <c:idx val="3"/>
              <c:delete val="1"/>
              <c:extLst>
                <c:ext xmlns:c15="http://schemas.microsoft.com/office/drawing/2012/chart" uri="{CE6537A1-D6FC-4f65-9D91-7224C49458BB}"/>
                <c:ext xmlns:c16="http://schemas.microsoft.com/office/drawing/2014/chart" uri="{C3380CC4-5D6E-409C-BE32-E72D297353CC}">
                  <c16:uniqueId val="{00000009-86C0-45B5-A86B-3D5D09BFE7BE}"/>
                </c:ext>
              </c:extLst>
            </c:dLbl>
            <c:dLbl>
              <c:idx val="4"/>
              <c:delete val="1"/>
              <c:extLst>
                <c:ext xmlns:c15="http://schemas.microsoft.com/office/drawing/2012/chart" uri="{CE6537A1-D6FC-4f65-9D91-7224C49458BB}"/>
                <c:ext xmlns:c16="http://schemas.microsoft.com/office/drawing/2014/chart" uri="{C3380CC4-5D6E-409C-BE32-E72D297353CC}">
                  <c16:uniqueId val="{0000000A-86C0-45B5-A86B-3D5D09BFE7BE}"/>
                </c:ext>
              </c:extLst>
            </c:dLbl>
            <c:dLbl>
              <c:idx val="5"/>
              <c:delete val="1"/>
              <c:extLst>
                <c:ext xmlns:c15="http://schemas.microsoft.com/office/drawing/2012/chart" uri="{CE6537A1-D6FC-4f65-9D91-7224C49458BB}"/>
                <c:ext xmlns:c16="http://schemas.microsoft.com/office/drawing/2014/chart" uri="{C3380CC4-5D6E-409C-BE32-E72D297353CC}">
                  <c16:uniqueId val="{0000000B-86C0-45B5-A86B-3D5D09BFE7BE}"/>
                </c:ext>
              </c:extLst>
            </c:dLbl>
            <c:dLbl>
              <c:idx val="6"/>
              <c:delete val="1"/>
              <c:extLst>
                <c:ext xmlns:c15="http://schemas.microsoft.com/office/drawing/2012/chart" uri="{CE6537A1-D6FC-4f65-9D91-7224C49458BB}"/>
                <c:ext xmlns:c16="http://schemas.microsoft.com/office/drawing/2014/chart" uri="{C3380CC4-5D6E-409C-BE32-E72D297353CC}">
                  <c16:uniqueId val="{00000001-3F54-4A6E-88A4-60F83DFFFCF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Sheet1!$A$2:$A$4</c:f>
              <c:numCache>
                <c:formatCode>General</c:formatCode>
                <c:ptCount val="3"/>
                <c:pt idx="0">
                  <c:v>2014</c:v>
                </c:pt>
                <c:pt idx="1">
                  <c:v>2019</c:v>
                </c:pt>
                <c:pt idx="2">
                  <c:v>2022</c:v>
                </c:pt>
              </c:numCache>
            </c:numRef>
          </c:cat>
          <c:val>
            <c:numRef>
              <c:f>Sheet1!$C$2:$C$4</c:f>
              <c:numCache>
                <c:formatCode>General</c:formatCode>
                <c:ptCount val="3"/>
                <c:pt idx="0">
                  <c:v>65.3</c:v>
                </c:pt>
                <c:pt idx="1">
                  <c:v>70.5</c:v>
                </c:pt>
                <c:pt idx="2">
                  <c:v>75.7</c:v>
                </c:pt>
              </c:numCache>
            </c:numRef>
          </c:val>
          <c:smooth val="0"/>
          <c:extLst>
            <c:ext xmlns:c16="http://schemas.microsoft.com/office/drawing/2014/chart" uri="{C3380CC4-5D6E-409C-BE32-E72D297353CC}">
              <c16:uniqueId val="{0000000C-86C0-45B5-A86B-3D5D09BFE7BE}"/>
            </c:ext>
          </c:extLst>
        </c:ser>
        <c:dLbls>
          <c:showLegendKey val="0"/>
          <c:showVal val="0"/>
          <c:showCatName val="0"/>
          <c:showSerName val="0"/>
          <c:showPercent val="0"/>
          <c:showBubbleSize val="0"/>
        </c:dLbls>
        <c:marker val="1"/>
        <c:smooth val="0"/>
        <c:axId val="151654784"/>
        <c:axId val="151656704"/>
      </c:lineChart>
      <c:catAx>
        <c:axId val="15165478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spPr>
          <a:ln>
            <a:solidFill>
              <a:sysClr val="windowText" lastClr="000000">
                <a:shade val="95000"/>
                <a:satMod val="105000"/>
              </a:sysClr>
            </a:solidFill>
          </a:ln>
        </c:spPr>
        <c:txPr>
          <a:bodyPr/>
          <a:lstStyle/>
          <a:p>
            <a:pPr>
              <a:defRPr lang="en-GB"/>
            </a:pPr>
            <a:endParaRPr lang="ar-SA"/>
          </a:p>
        </c:txPr>
        <c:crossAx val="151656704"/>
        <c:crosses val="autoZero"/>
        <c:auto val="1"/>
        <c:lblAlgn val="ctr"/>
        <c:lblOffset val="100"/>
        <c:noMultiLvlLbl val="0"/>
      </c:catAx>
      <c:valAx>
        <c:axId val="151656704"/>
        <c:scaling>
          <c:orientation val="minMax"/>
          <c:max val="100"/>
          <c:min val="5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51654784"/>
        <c:crosses val="autoZero"/>
        <c:crossBetween val="between"/>
        <c:majorUnit val="10"/>
      </c:valAx>
      <c:spPr>
        <a:noFill/>
        <a:ln w="25375">
          <a:noFill/>
        </a:ln>
      </c:spPr>
    </c:plotArea>
    <c:legend>
      <c:legendPos val="r"/>
      <c:layout>
        <c:manualLayout>
          <c:xMode val="edge"/>
          <c:yMode val="edge"/>
          <c:x val="0.18327134241909693"/>
          <c:y val="5.1427603807588824E-2"/>
          <c:w val="0.30148600408906295"/>
          <c:h val="0.1296747583971358"/>
        </c:manualLayout>
      </c:layout>
      <c:overlay val="0"/>
      <c:spPr>
        <a:ln>
          <a:solidFill>
            <a:sysClr val="windowText" lastClr="000000">
              <a:shade val="95000"/>
              <a:satMod val="105000"/>
            </a:sysClr>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87693602693622"/>
          <c:y val="0.11495080342303952"/>
          <c:w val="0.86860454545455756"/>
          <c:h val="0.74912052840926091"/>
        </c:manualLayout>
      </c:layout>
      <c:barChart>
        <c:barDir val="col"/>
        <c:grouping val="clustered"/>
        <c:varyColors val="0"/>
        <c:ser>
          <c:idx val="0"/>
          <c:order val="0"/>
          <c:tx>
            <c:strRef>
              <c:f>Sheet1!$B$1</c:f>
              <c:strCache>
                <c:ptCount val="1"/>
                <c:pt idx="0">
                  <c:v>Column2</c:v>
                </c:pt>
              </c:strCache>
            </c:strRef>
          </c:tx>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Palestine</c:v>
                </c:pt>
                <c:pt idx="1">
                  <c:v>West Bank</c:v>
                </c:pt>
                <c:pt idx="2">
                  <c:v>Gaza Strip</c:v>
                </c:pt>
              </c:strCache>
            </c:strRef>
          </c:cat>
          <c:val>
            <c:numRef>
              <c:f>Sheet1!$B$2:$B$4</c:f>
              <c:numCache>
                <c:formatCode>General</c:formatCode>
                <c:ptCount val="3"/>
                <c:pt idx="0">
                  <c:v>39.5</c:v>
                </c:pt>
                <c:pt idx="1">
                  <c:v>66.2</c:v>
                </c:pt>
                <c:pt idx="2">
                  <c:v>4.3</c:v>
                </c:pt>
              </c:numCache>
            </c:numRef>
          </c:val>
          <c:extLst>
            <c:ext xmlns:c16="http://schemas.microsoft.com/office/drawing/2014/chart" uri="{C3380CC4-5D6E-409C-BE32-E72D297353CC}">
              <c16:uniqueId val="{00000000-F893-4D87-87E7-63FDF62100BF}"/>
            </c:ext>
          </c:extLst>
        </c:ser>
        <c:dLbls>
          <c:showLegendKey val="0"/>
          <c:showVal val="0"/>
          <c:showCatName val="0"/>
          <c:showSerName val="0"/>
          <c:showPercent val="0"/>
          <c:showBubbleSize val="0"/>
        </c:dLbls>
        <c:gapWidth val="150"/>
        <c:axId val="151612032"/>
        <c:axId val="151626112"/>
      </c:barChart>
      <c:catAx>
        <c:axId val="151612032"/>
        <c:scaling>
          <c:orientation val="minMax"/>
        </c:scaling>
        <c:delete val="0"/>
        <c:axPos val="b"/>
        <c:numFmt formatCode="General" sourceLinked="0"/>
        <c:majorTickMark val="out"/>
        <c:minorTickMark val="none"/>
        <c:tickLblPos val="nextTo"/>
        <c:txPr>
          <a:bodyPr/>
          <a:lstStyle/>
          <a:p>
            <a:pPr>
              <a:defRPr lang="en-GB"/>
            </a:pPr>
            <a:endParaRPr lang="ar-SA"/>
          </a:p>
        </c:txPr>
        <c:crossAx val="151626112"/>
        <c:crosses val="autoZero"/>
        <c:auto val="1"/>
        <c:lblAlgn val="ctr"/>
        <c:lblOffset val="100"/>
        <c:noMultiLvlLbl val="0"/>
      </c:catAx>
      <c:valAx>
        <c:axId val="15162611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overlay val="0"/>
        </c:title>
        <c:numFmt formatCode="General" sourceLinked="1"/>
        <c:majorTickMark val="out"/>
        <c:minorTickMark val="none"/>
        <c:tickLblPos val="nextTo"/>
        <c:txPr>
          <a:bodyPr/>
          <a:lstStyle/>
          <a:p>
            <a:pPr>
              <a:defRPr lang="en-GB"/>
            </a:pPr>
            <a:endParaRPr lang="ar-SA"/>
          </a:p>
        </c:txPr>
        <c:crossAx val="151612032"/>
        <c:crosses val="autoZero"/>
        <c:crossBetween val="between"/>
      </c:valAx>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20390985609559"/>
          <c:y val="5.9995606276087882E-2"/>
          <c:w val="0.84788479316191667"/>
          <c:h val="0.70210263087192837"/>
        </c:manualLayout>
      </c:layout>
      <c:barChart>
        <c:barDir val="col"/>
        <c:grouping val="clustered"/>
        <c:varyColors val="0"/>
        <c:ser>
          <c:idx val="0"/>
          <c:order val="0"/>
          <c:tx>
            <c:strRef>
              <c:f>Sheet1!$A$2</c:f>
              <c:strCache>
                <c:ptCount val="1"/>
                <c:pt idx="0">
                  <c:v>الأراضي الفلسطينية</c:v>
                </c:pt>
              </c:strCache>
            </c:strRef>
          </c:tx>
          <c:spPr>
            <a:solidFill>
              <a:srgbClr val="15A3C5"/>
            </a:solidFill>
            <a:ln>
              <a:solidFill>
                <a:srgbClr val="15A3C5"/>
              </a:solidFill>
            </a:ln>
          </c:spPr>
          <c:invertIfNegative val="0"/>
          <c:dLbls>
            <c:dLbl>
              <c:idx val="0"/>
              <c:layout>
                <c:manualLayout>
                  <c:x val="-3.8716085128589284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713-40C1-8653-9ABD4D350FBB}"/>
                </c:ext>
              </c:extLst>
            </c:dLbl>
            <c:dLbl>
              <c:idx val="1"/>
              <c:layout>
                <c:manualLayout>
                  <c:x val="1.0224857649074265E-3"/>
                  <c:y val="-2.428412315619218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713-40C1-8653-9ABD4D350FBB}"/>
                </c:ext>
              </c:extLst>
            </c:dLbl>
            <c:dLbl>
              <c:idx val="2"/>
              <c:layout>
                <c:manualLayout>
                  <c:x val="-3.2852868271210428E-3"/>
                  <c:y val="3.8880010847352612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713-40C1-8653-9ABD4D350FBB}"/>
                </c:ext>
              </c:extLst>
            </c:dLbl>
            <c:dLbl>
              <c:idx val="3"/>
              <c:layout>
                <c:manualLayout>
                  <c:x val="-3.2852868271210428E-3"/>
                  <c:y val="-2.203755895826681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713-40C1-8653-9ABD4D350FBB}"/>
                </c:ext>
              </c:extLst>
            </c:dLbl>
            <c:dLbl>
              <c:idx val="4"/>
              <c:layout>
                <c:manualLayout>
                  <c:x val="-4.9070563133109181E-4"/>
                  <c:y val="1.372809948571928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713-40C1-8653-9ABD4D350FBB}"/>
                </c:ext>
              </c:extLst>
            </c:dLbl>
            <c:dLbl>
              <c:idx val="5"/>
              <c:layout>
                <c:manualLayout>
                  <c:x val="-6.3677262148751981E-3"/>
                  <c:y val="-2.806752476973588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713-40C1-8653-9ABD4D350FBB}"/>
                </c:ext>
              </c:extLst>
            </c:dLbl>
            <c:dLbl>
              <c:idx val="6"/>
              <c:layout>
                <c:manualLayout>
                  <c:x val="2.7769056927745071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713-40C1-8653-9ABD4D350FBB}"/>
                </c:ext>
              </c:extLst>
            </c:dLbl>
            <c:dLbl>
              <c:idx val="7"/>
              <c:layout>
                <c:manualLayout>
                  <c:x val="-3.1599842044764009E-3"/>
                  <c:y val="-2.719606857653434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713-40C1-8653-9ABD4D350FBB}"/>
                </c:ext>
              </c:extLst>
            </c:dLbl>
            <c:dLbl>
              <c:idx val="8"/>
              <c:layout>
                <c:manualLayout>
                  <c:x val="-2.0793035079105612E-2"/>
                  <c:y val="8.17251480804359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713-40C1-8653-9ABD4D350FBB}"/>
                </c:ext>
              </c:extLst>
            </c:dLbl>
            <c:numFmt formatCode="#,##0.0" sourceLinked="0"/>
            <c:spPr>
              <a:noFill/>
              <a:ln w="2540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Sheet1!$B$1:$I$1</c:f>
              <c:numCache>
                <c:formatCode>General</c:formatCode>
                <c:ptCount val="8"/>
                <c:pt idx="0">
                  <c:v>2000</c:v>
                </c:pt>
                <c:pt idx="1">
                  <c:v>2002</c:v>
                </c:pt>
                <c:pt idx="2">
                  <c:v>2006</c:v>
                </c:pt>
                <c:pt idx="3">
                  <c:v>2007</c:v>
                </c:pt>
                <c:pt idx="4">
                  <c:v>2011</c:v>
                </c:pt>
                <c:pt idx="5">
                  <c:v>2014</c:v>
                </c:pt>
                <c:pt idx="6">
                  <c:v>2017</c:v>
                </c:pt>
                <c:pt idx="7">
                  <c:v>2019</c:v>
                </c:pt>
              </c:numCache>
            </c:numRef>
          </c:cat>
          <c:val>
            <c:numRef>
              <c:f>Sheet1!$B$2:$I$2</c:f>
              <c:numCache>
                <c:formatCode>General</c:formatCode>
                <c:ptCount val="8"/>
                <c:pt idx="0">
                  <c:v>99.6</c:v>
                </c:pt>
                <c:pt idx="1">
                  <c:v>99</c:v>
                </c:pt>
                <c:pt idx="2">
                  <c:v>99.3</c:v>
                </c:pt>
                <c:pt idx="3">
                  <c:v>99.2</c:v>
                </c:pt>
                <c:pt idx="4">
                  <c:v>99.3</c:v>
                </c:pt>
                <c:pt idx="5">
                  <c:v>98.6</c:v>
                </c:pt>
                <c:pt idx="6">
                  <c:v>99.7</c:v>
                </c:pt>
                <c:pt idx="7">
                  <c:v>97.6</c:v>
                </c:pt>
              </c:numCache>
            </c:numRef>
          </c:val>
          <c:extLst>
            <c:ext xmlns:c16="http://schemas.microsoft.com/office/drawing/2014/chart" uri="{C3380CC4-5D6E-409C-BE32-E72D297353CC}">
              <c16:uniqueId val="{00000009-A713-40C1-8653-9ABD4D350FBB}"/>
            </c:ext>
          </c:extLst>
        </c:ser>
        <c:dLbls>
          <c:showLegendKey val="0"/>
          <c:showVal val="0"/>
          <c:showCatName val="0"/>
          <c:showSerName val="0"/>
          <c:showPercent val="0"/>
          <c:showBubbleSize val="0"/>
        </c:dLbls>
        <c:gapWidth val="150"/>
        <c:axId val="151805952"/>
        <c:axId val="151807872"/>
      </c:barChart>
      <c:catAx>
        <c:axId val="15180595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49866369770218288"/>
              <c:y val="0.88218278043113119"/>
            </c:manualLayout>
          </c:layout>
          <c:overlay val="0"/>
        </c:title>
        <c:numFmt formatCode="General" sourceLinked="1"/>
        <c:majorTickMark val="out"/>
        <c:minorTickMark val="none"/>
        <c:tickLblPos val="nextTo"/>
        <c:txPr>
          <a:bodyPr rot="0" vert="horz"/>
          <a:lstStyle/>
          <a:p>
            <a:pPr>
              <a:defRPr lang="en-GB"/>
            </a:pPr>
            <a:endParaRPr lang="ar-SA"/>
          </a:p>
        </c:txPr>
        <c:crossAx val="151807872"/>
        <c:crosses val="autoZero"/>
        <c:auto val="1"/>
        <c:lblAlgn val="ctr"/>
        <c:lblOffset val="100"/>
        <c:tickLblSkip val="1"/>
        <c:tickMarkSkip val="1"/>
        <c:noMultiLvlLbl val="0"/>
      </c:catAx>
      <c:valAx>
        <c:axId val="151807872"/>
        <c:scaling>
          <c:orientation val="minMax"/>
          <c:max val="100"/>
          <c:min val="8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overlay val="0"/>
        </c:title>
        <c:numFmt formatCode="#,##0" sourceLinked="0"/>
        <c:majorTickMark val="out"/>
        <c:minorTickMark val="none"/>
        <c:tickLblPos val="nextTo"/>
        <c:txPr>
          <a:bodyPr rot="0" vert="horz"/>
          <a:lstStyle/>
          <a:p>
            <a:pPr>
              <a:defRPr lang="en-GB"/>
            </a:pPr>
            <a:endParaRPr lang="ar-SA"/>
          </a:p>
        </c:txPr>
        <c:crossAx val="151805952"/>
        <c:crosses val="autoZero"/>
        <c:crossBetween val="between"/>
        <c:majorUnit val="5"/>
        <c:minorUnit val="1"/>
      </c:valAx>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Sheet1!$A$2</c:f>
              <c:strCache>
                <c:ptCount val="1"/>
              </c:strCache>
            </c:strRef>
          </c:tx>
          <c:spPr>
            <a:ln>
              <a:solidFill>
                <a:srgbClr val="15A3C5"/>
              </a:solidFill>
            </a:ln>
          </c:spPr>
          <c:marker>
            <c:spPr>
              <a:solidFill>
                <a:srgbClr val="15A3C5"/>
              </a:solidFill>
              <a:ln>
                <a:solidFill>
                  <a:srgbClr val="15A3C5"/>
                </a:solidFill>
              </a:ln>
            </c:spPr>
          </c:marker>
          <c:dLbls>
            <c:dLbl>
              <c:idx val="0"/>
              <c:layout>
                <c:manualLayout>
                  <c:x val="-6.4477987375057999E-2"/>
                  <c:y val="-9.1408028150823745E-2"/>
                </c:manualLayout>
              </c:layout>
              <c:tx>
                <c:rich>
                  <a:bodyPr/>
                  <a:lstStyle/>
                  <a:p>
                    <a:r>
                      <a:rPr lang="en-US"/>
                      <a:t>117.00</a:t>
                    </a:r>
                  </a:p>
                </c:rich>
              </c:tx>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951-4842-A029-105A1A9B4D63}"/>
                </c:ext>
              </c:extLst>
            </c:dLbl>
            <c:dLbl>
              <c:idx val="1"/>
              <c:layout>
                <c:manualLayout>
                  <c:x val="-5.2584098760339752E-2"/>
                  <c:y val="-7.5272965173518405E-2"/>
                </c:manualLayout>
              </c:layout>
              <c:tx>
                <c:rich>
                  <a:bodyPr/>
                  <a:lstStyle/>
                  <a:p>
                    <a:r>
                      <a:rPr lang="en-US"/>
                      <a:t>106.00</a:t>
                    </a:r>
                  </a:p>
                </c:rich>
              </c:tx>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951-4842-A029-105A1A9B4D63}"/>
                </c:ext>
              </c:extLst>
            </c:dLbl>
            <c:dLbl>
              <c:idx val="2"/>
              <c:layout>
                <c:manualLayout>
                  <c:x val="-5.2443596561655238E-2"/>
                  <c:y val="5.3769428324013997E-2"/>
                </c:manualLayout>
              </c:layout>
              <c:tx>
                <c:rich>
                  <a:bodyPr/>
                  <a:lstStyle/>
                  <a:p>
                    <a:r>
                      <a:rPr lang="en-US"/>
                      <a:t>103.00</a:t>
                    </a:r>
                  </a:p>
                </c:rich>
              </c:tx>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951-4842-A029-105A1A9B4D63}"/>
                </c:ext>
              </c:extLst>
            </c:dLbl>
            <c:dLbl>
              <c:idx val="3"/>
              <c:layout>
                <c:manualLayout>
                  <c:x val="-4.4895700595891416E-2"/>
                  <c:y val="-8.0645250077808622E-2"/>
                </c:manualLayout>
              </c:layout>
              <c:tx>
                <c:rich>
                  <a:bodyPr/>
                  <a:lstStyle/>
                  <a:p>
                    <a:r>
                      <a:rPr lang="en-US"/>
                      <a:t>141.63</a:t>
                    </a:r>
                  </a:p>
                </c:rich>
              </c:tx>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951-4842-A029-105A1A9B4D63}"/>
                </c:ext>
              </c:extLst>
            </c:dLbl>
            <c:dLbl>
              <c:idx val="4"/>
              <c:layout>
                <c:manualLayout>
                  <c:x val="-4.6632182553420304E-2"/>
                  <c:y val="8.067700867856703E-2"/>
                </c:manualLayout>
              </c:layout>
              <c:tx>
                <c:rich>
                  <a:bodyPr/>
                  <a:lstStyle/>
                  <a:p>
                    <a:r>
                      <a:rPr lang="en-US"/>
                      <a:t>114.30</a:t>
                    </a:r>
                  </a:p>
                </c:rich>
              </c:tx>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951-4842-A029-105A1A9B4D63}"/>
                </c:ext>
              </c:extLst>
            </c:dLbl>
            <c:dLbl>
              <c:idx val="5"/>
              <c:layout>
                <c:manualLayout>
                  <c:x val="-6.8884379396448314E-2"/>
                  <c:y val="-5.37982227887015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951-4842-A029-105A1A9B4D63}"/>
                </c:ext>
              </c:extLst>
            </c:dLbl>
            <c:dLbl>
              <c:idx val="6"/>
              <c:layout>
                <c:manualLayout>
                  <c:x val="-2.1439199192710832E-2"/>
                  <c:y val="-5.9142560124324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951-4842-A029-105A1A9B4D63}"/>
                </c:ext>
              </c:extLst>
            </c:dLbl>
            <c:dLbl>
              <c:idx val="7"/>
              <c:layout>
                <c:manualLayout>
                  <c:x val="-4.0619989310529125E-2"/>
                  <c:y val="-7.52688172043010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951-4842-A029-105A1A9B4D63}"/>
                </c:ext>
              </c:extLst>
            </c:dLbl>
            <c:dLbl>
              <c:idx val="8"/>
              <c:layout>
                <c:manualLayout>
                  <c:x val="-4.0619989310529125E-2"/>
                  <c:y val="-7.52688172043010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951-4842-A029-105A1A9B4D63}"/>
                </c:ext>
              </c:extLst>
            </c:dLbl>
            <c:dLbl>
              <c:idx val="9"/>
              <c:layout>
                <c:manualLayout>
                  <c:x val="-3.6344200962052382E-2"/>
                  <c:y val="6.98924731182817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951-4842-A029-105A1A9B4D63}"/>
                </c:ext>
              </c:extLst>
            </c:dLbl>
            <c:numFmt formatCode="#,##0.0" sourceLinked="0"/>
            <c:spPr>
              <a:noFill/>
              <a:ln w="2537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Sheet1!$D$1:$H$1</c:f>
              <c:numCache>
                <c:formatCode>General</c:formatCode>
                <c:ptCount val="5"/>
                <c:pt idx="0">
                  <c:v>2015</c:v>
                </c:pt>
                <c:pt idx="1">
                  <c:v>2016</c:v>
                </c:pt>
                <c:pt idx="2">
                  <c:v>2017</c:v>
                </c:pt>
                <c:pt idx="3">
                  <c:v>2018</c:v>
                </c:pt>
                <c:pt idx="4">
                  <c:v>2019</c:v>
                </c:pt>
              </c:numCache>
            </c:numRef>
          </c:cat>
          <c:val>
            <c:numRef>
              <c:f>Sheet1!$D$2:$H$2</c:f>
              <c:numCache>
                <c:formatCode>#,##0.0</c:formatCode>
                <c:ptCount val="5"/>
                <c:pt idx="0" formatCode="#,##0.00">
                  <c:v>117</c:v>
                </c:pt>
                <c:pt idx="1">
                  <c:v>106</c:v>
                </c:pt>
                <c:pt idx="2">
                  <c:v>103</c:v>
                </c:pt>
                <c:pt idx="3">
                  <c:v>141.6</c:v>
                </c:pt>
                <c:pt idx="4" formatCode="#,##0.00">
                  <c:v>114.3</c:v>
                </c:pt>
              </c:numCache>
            </c:numRef>
          </c:val>
          <c:smooth val="0"/>
          <c:extLst>
            <c:ext xmlns:c16="http://schemas.microsoft.com/office/drawing/2014/chart" uri="{C3380CC4-5D6E-409C-BE32-E72D297353CC}">
              <c16:uniqueId val="{0000000A-E951-4842-A029-105A1A9B4D63}"/>
            </c:ext>
          </c:extLst>
        </c:ser>
        <c:dLbls>
          <c:showLegendKey val="0"/>
          <c:showVal val="0"/>
          <c:showCatName val="0"/>
          <c:showSerName val="0"/>
          <c:showPercent val="0"/>
          <c:showBubbleSize val="0"/>
        </c:dLbls>
        <c:marker val="1"/>
        <c:smooth val="0"/>
        <c:axId val="151771008"/>
        <c:axId val="151851008"/>
      </c:lineChart>
      <c:catAx>
        <c:axId val="15177100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manualLayout>
              <c:xMode val="edge"/>
              <c:yMode val="edge"/>
              <c:x val="0.51199590462791778"/>
              <c:y val="0.90674912610916991"/>
            </c:manualLayout>
          </c:layout>
          <c:overlay val="0"/>
        </c:title>
        <c:numFmt formatCode="General" sourceLinked="1"/>
        <c:majorTickMark val="none"/>
        <c:minorTickMark val="none"/>
        <c:tickLblPos val="nextTo"/>
        <c:txPr>
          <a:bodyPr rot="0" vert="horz"/>
          <a:lstStyle/>
          <a:p>
            <a:pPr>
              <a:defRPr lang="en-GB"/>
            </a:pPr>
            <a:endParaRPr lang="ar-SA"/>
          </a:p>
        </c:txPr>
        <c:crossAx val="151851008"/>
        <c:crosses val="autoZero"/>
        <c:auto val="1"/>
        <c:lblAlgn val="ctr"/>
        <c:lblOffset val="50"/>
        <c:tickLblSkip val="1"/>
        <c:tickMarkSkip val="1"/>
        <c:noMultiLvlLbl val="0"/>
      </c:catAx>
      <c:valAx>
        <c:axId val="151851008"/>
        <c:scaling>
          <c:orientation val="minMax"/>
          <c:max val="150"/>
          <c:min val="40"/>
        </c:scaling>
        <c:delete val="0"/>
        <c:axPos val="l"/>
        <c:title>
          <c:tx>
            <c:rich>
              <a:bodyPr/>
              <a:lstStyle/>
              <a:p>
                <a:pPr>
                  <a:defRPr lang="en-GB" sz="899" b="1" i="0" u="none" strike="noStrike" baseline="0">
                    <a:solidFill>
                      <a:srgbClr val="000000"/>
                    </a:solidFill>
                    <a:latin typeface="Arial"/>
                    <a:ea typeface="Arial"/>
                    <a:cs typeface="Arial"/>
                  </a:defRPr>
                </a:pPr>
                <a:r>
                  <a:rPr lang="en-US"/>
                  <a:t>Million USD</a:t>
                </a:r>
              </a:p>
            </c:rich>
          </c:tx>
          <c:layout/>
          <c:overlay val="0"/>
        </c:title>
        <c:numFmt formatCode="#,##0" sourceLinked="0"/>
        <c:majorTickMark val="out"/>
        <c:minorTickMark val="none"/>
        <c:tickLblPos val="nextTo"/>
        <c:txPr>
          <a:bodyPr rot="-60000" vert="horz"/>
          <a:lstStyle/>
          <a:p>
            <a:pPr>
              <a:defRPr lang="en-GB"/>
            </a:pPr>
            <a:endParaRPr lang="ar-SA"/>
          </a:p>
        </c:txPr>
        <c:crossAx val="151771008"/>
        <c:crosses val="autoZero"/>
        <c:crossBetween val="between"/>
        <c:minorUnit val="10"/>
      </c:valAx>
      <c:spPr>
        <a:noFill/>
        <a:ln w="25374">
          <a:noFill/>
        </a:ln>
      </c:spPr>
    </c:plotArea>
    <c:plotVisOnly val="1"/>
    <c:dispBlanksAs val="gap"/>
    <c:showDLblsOverMax val="0"/>
  </c:chart>
  <c:spPr>
    <a:noFill/>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46656908676212"/>
          <c:y val="0.15851887147222218"/>
          <c:w val="0.86604655395682084"/>
          <c:h val="0.64517120859625232"/>
        </c:manualLayout>
      </c:layout>
      <c:barChart>
        <c:barDir val="col"/>
        <c:grouping val="clustered"/>
        <c:varyColors val="0"/>
        <c:ser>
          <c:idx val="0"/>
          <c:order val="0"/>
          <c:spPr>
            <a:ln>
              <a:solidFill>
                <a:srgbClr val="F9AF2A"/>
              </a:solidFill>
            </a:ln>
          </c:spPr>
          <c:invertIfNegative val="0"/>
          <c:dLbls>
            <c:dLbl>
              <c:idx val="0"/>
              <c:layout>
                <c:manualLayout>
                  <c:x val="-2.7033115566569135E-2"/>
                  <c:y val="-5.51117766412493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3F1-4E1C-BD5E-3C18433CD823}"/>
                </c:ext>
              </c:extLst>
            </c:dLbl>
            <c:dLbl>
              <c:idx val="1"/>
              <c:layout>
                <c:manualLayout>
                  <c:x val="-3.9383027673466964E-2"/>
                  <c:y val="-5.27692513012144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3F1-4E1C-BD5E-3C18433CD823}"/>
                </c:ext>
              </c:extLst>
            </c:dLbl>
            <c:dLbl>
              <c:idx val="2"/>
              <c:layout>
                <c:manualLayout>
                  <c:x val="-2.4625146118956442E-2"/>
                  <c:y val="-6.01325078547888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3F1-4E1C-BD5E-3C18433CD823}"/>
                </c:ext>
              </c:extLst>
            </c:dLbl>
            <c:dLbl>
              <c:idx val="3"/>
              <c:layout>
                <c:manualLayout>
                  <c:x val="-3.3791394458211402E-2"/>
                  <c:y val="-6.33676176861117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3F1-4E1C-BD5E-3C18433CD823}"/>
                </c:ext>
              </c:extLst>
            </c:dLbl>
            <c:dLbl>
              <c:idx val="4"/>
              <c:layout>
                <c:manualLayout>
                  <c:x val="-3.6044154088758731E-2"/>
                  <c:y val="-7.18152761786707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3F1-4E1C-BD5E-3C18433CD823}"/>
                </c:ext>
              </c:extLst>
            </c:dLbl>
            <c:dLbl>
              <c:idx val="5"/>
              <c:layout>
                <c:manualLayout>
                  <c:x val="-3.3791394458211312E-2"/>
                  <c:y val="-5.1709278942832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3F1-4E1C-BD5E-3C18433CD823}"/>
                </c:ext>
              </c:extLst>
            </c:dLbl>
            <c:dLbl>
              <c:idx val="6"/>
              <c:layout>
                <c:manualLayout>
                  <c:x val="-3.6044154088758731E-2"/>
                  <c:y val="-5.1709278942832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3F1-4E1C-BD5E-3C18433CD823}"/>
                </c:ext>
              </c:extLst>
            </c:dLbl>
            <c:spPr>
              <a:noFill/>
              <a:ln w="25392">
                <a:noFill/>
              </a:ln>
            </c:spPr>
            <c:txPr>
              <a:bodyPr/>
              <a:lstStyle/>
              <a:p>
                <a:pPr>
                  <a:defRPr lang="en-GB" sz="8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Palestine</c:v>
                </c:pt>
                <c:pt idx="1">
                  <c:v>West Bank </c:v>
                </c:pt>
                <c:pt idx="2">
                  <c:v>Gaza Strip </c:v>
                </c:pt>
              </c:strCache>
            </c:strRef>
          </c:cat>
          <c:val>
            <c:numRef>
              <c:f>Sheet1!$B$2:$D$2</c:f>
              <c:numCache>
                <c:formatCode>0.0</c:formatCode>
                <c:ptCount val="3"/>
                <c:pt idx="0">
                  <c:v>81.5</c:v>
                </c:pt>
                <c:pt idx="1">
                  <c:v>79.599999999999994</c:v>
                </c:pt>
                <c:pt idx="2">
                  <c:v>84.2</c:v>
                </c:pt>
              </c:numCache>
            </c:numRef>
          </c:val>
          <c:extLst>
            <c:ext xmlns:c16="http://schemas.microsoft.com/office/drawing/2014/chart" uri="{C3380CC4-5D6E-409C-BE32-E72D297353CC}">
              <c16:uniqueId val="{00000007-63F1-4E1C-BD5E-3C18433CD823}"/>
            </c:ext>
          </c:extLst>
        </c:ser>
        <c:dLbls>
          <c:showLegendKey val="0"/>
          <c:showVal val="0"/>
          <c:showCatName val="0"/>
          <c:showSerName val="0"/>
          <c:showPercent val="0"/>
          <c:showBubbleSize val="0"/>
        </c:dLbls>
        <c:gapWidth val="150"/>
        <c:axId val="151890560"/>
        <c:axId val="151916928"/>
      </c:barChart>
      <c:catAx>
        <c:axId val="151890560"/>
        <c:scaling>
          <c:orientation val="minMax"/>
        </c:scaling>
        <c:delete val="0"/>
        <c:axPos val="b"/>
        <c:numFmt formatCode="General" sourceLinked="1"/>
        <c:majorTickMark val="out"/>
        <c:minorTickMark val="none"/>
        <c:tickLblPos val="nextTo"/>
        <c:txPr>
          <a:bodyPr/>
          <a:lstStyle/>
          <a:p>
            <a:pPr>
              <a:defRPr lang="en-GB" sz="800">
                <a:cs typeface="+mn-cs"/>
              </a:defRPr>
            </a:pPr>
            <a:endParaRPr lang="ar-SA"/>
          </a:p>
        </c:txPr>
        <c:crossAx val="151916928"/>
        <c:crosses val="autoZero"/>
        <c:auto val="1"/>
        <c:lblAlgn val="ctr"/>
        <c:lblOffset val="100"/>
        <c:noMultiLvlLbl val="0"/>
      </c:catAx>
      <c:valAx>
        <c:axId val="151916928"/>
        <c:scaling>
          <c:orientation val="minMax"/>
          <c:min val="70"/>
        </c:scaling>
        <c:delete val="0"/>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layout/>
          <c:overlay val="0"/>
        </c:title>
        <c:numFmt formatCode="0.0" sourceLinked="1"/>
        <c:majorTickMark val="out"/>
        <c:minorTickMark val="none"/>
        <c:tickLblPos val="nextTo"/>
        <c:txPr>
          <a:bodyPr/>
          <a:lstStyle/>
          <a:p>
            <a:pPr>
              <a:defRPr lang="en-GB"/>
            </a:pPr>
            <a:endParaRPr lang="ar-SA"/>
          </a:p>
        </c:txPr>
        <c:crossAx val="151890560"/>
        <c:crosses val="autoZero"/>
        <c:crossBetween val="between"/>
      </c:valAx>
    </c:plotArea>
    <c:plotVisOnly val="1"/>
    <c:dispBlanksAs val="gap"/>
    <c:showDLblsOverMax val="0"/>
  </c:chart>
  <c:spPr>
    <a:ln>
      <a:noFill/>
    </a:ln>
  </c:sp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46656908676212"/>
          <c:y val="0.15851887147222218"/>
          <c:w val="0.86604655395682084"/>
          <c:h val="0.64517120859625232"/>
        </c:manualLayout>
      </c:layout>
      <c:lineChart>
        <c:grouping val="standard"/>
        <c:varyColors val="0"/>
        <c:ser>
          <c:idx val="0"/>
          <c:order val="0"/>
          <c:tx>
            <c:strRef>
              <c:f>Sheet1!$B$1</c:f>
              <c:strCache>
                <c:ptCount val="1"/>
                <c:pt idx="0">
                  <c:v>Series 1</c:v>
                </c:pt>
              </c:strCache>
            </c:strRef>
          </c:tx>
          <c:spPr>
            <a:ln>
              <a:solidFill>
                <a:srgbClr val="F9AF2A"/>
              </a:solidFill>
            </a:ln>
          </c:spPr>
          <c:marker>
            <c:symbol val="none"/>
          </c:marker>
          <c:dLbls>
            <c:dLbl>
              <c:idx val="0"/>
              <c:layout>
                <c:manualLayout>
                  <c:x val="-2.7033115566569135E-2"/>
                  <c:y val="-5.51117766412493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E2A-4216-9E50-412AE25593FA}"/>
                </c:ext>
              </c:extLst>
            </c:dLbl>
            <c:dLbl>
              <c:idx val="1"/>
              <c:layout>
                <c:manualLayout>
                  <c:x val="-3.9383027673466964E-2"/>
                  <c:y val="-5.276925130121449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E2A-4216-9E50-412AE25593FA}"/>
                </c:ext>
              </c:extLst>
            </c:dLbl>
            <c:dLbl>
              <c:idx val="2"/>
              <c:layout>
                <c:manualLayout>
                  <c:x val="-2.4625146118956442E-2"/>
                  <c:y val="-6.01325078547888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E2A-4216-9E50-412AE25593FA}"/>
                </c:ext>
              </c:extLst>
            </c:dLbl>
            <c:dLbl>
              <c:idx val="3"/>
              <c:layout>
                <c:manualLayout>
                  <c:x val="-3.3791394458211402E-2"/>
                  <c:y val="-6.33676176861117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E2A-4216-9E50-412AE25593FA}"/>
                </c:ext>
              </c:extLst>
            </c:dLbl>
            <c:dLbl>
              <c:idx val="4"/>
              <c:layout>
                <c:manualLayout>
                  <c:x val="-3.6044154088758731E-2"/>
                  <c:y val="-7.18152761786707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E2A-4216-9E50-412AE25593FA}"/>
                </c:ext>
              </c:extLst>
            </c:dLbl>
            <c:dLbl>
              <c:idx val="5"/>
              <c:layout>
                <c:manualLayout>
                  <c:x val="-3.3791394458211312E-2"/>
                  <c:y val="-5.170927894283253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E2A-4216-9E50-412AE25593FA}"/>
                </c:ext>
              </c:extLst>
            </c:dLbl>
            <c:dLbl>
              <c:idx val="6"/>
              <c:layout>
                <c:manualLayout>
                  <c:x val="-3.6044154088758731E-2"/>
                  <c:y val="-5.170927894283257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8E2A-4216-9E50-412AE25593FA}"/>
                </c:ext>
              </c:extLst>
            </c:dLbl>
            <c:spPr>
              <a:noFill/>
              <a:ln w="2539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Sheet1!$A$4:$A$10</c:f>
              <c:numCache>
                <c:formatCode>General</c:formatCode>
                <c:ptCount val="7"/>
                <c:pt idx="0">
                  <c:v>2015</c:v>
                </c:pt>
                <c:pt idx="1">
                  <c:v>2016</c:v>
                </c:pt>
                <c:pt idx="2">
                  <c:v>2017</c:v>
                </c:pt>
                <c:pt idx="3">
                  <c:v>2018</c:v>
                </c:pt>
                <c:pt idx="4">
                  <c:v>2019</c:v>
                </c:pt>
                <c:pt idx="5">
                  <c:v>2020</c:v>
                </c:pt>
                <c:pt idx="6">
                  <c:v>2021</c:v>
                </c:pt>
              </c:numCache>
            </c:numRef>
          </c:cat>
          <c:val>
            <c:numRef>
              <c:f>Sheet1!$B$4:$B$10</c:f>
              <c:numCache>
                <c:formatCode>General</c:formatCode>
                <c:ptCount val="7"/>
                <c:pt idx="0">
                  <c:v>13.8</c:v>
                </c:pt>
                <c:pt idx="1">
                  <c:v>13.6</c:v>
                </c:pt>
                <c:pt idx="2">
                  <c:v>10.3</c:v>
                </c:pt>
                <c:pt idx="3">
                  <c:v>10.7</c:v>
                </c:pt>
                <c:pt idx="4">
                  <c:v>11.7</c:v>
                </c:pt>
                <c:pt idx="5">
                  <c:v>10.9</c:v>
                </c:pt>
                <c:pt idx="6">
                  <c:v>10.6</c:v>
                </c:pt>
              </c:numCache>
            </c:numRef>
          </c:val>
          <c:smooth val="0"/>
          <c:extLst>
            <c:ext xmlns:c16="http://schemas.microsoft.com/office/drawing/2014/chart" uri="{C3380CC4-5D6E-409C-BE32-E72D297353CC}">
              <c16:uniqueId val="{00000007-8E2A-4216-9E50-412AE25593FA}"/>
            </c:ext>
          </c:extLst>
        </c:ser>
        <c:dLbls>
          <c:showLegendKey val="0"/>
          <c:showVal val="0"/>
          <c:showCatName val="0"/>
          <c:showSerName val="0"/>
          <c:showPercent val="0"/>
          <c:showBubbleSize val="0"/>
        </c:dLbls>
        <c:smooth val="0"/>
        <c:axId val="152050688"/>
        <c:axId val="152069248"/>
      </c:lineChart>
      <c:catAx>
        <c:axId val="152050688"/>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a:t>
                </a:r>
              </a:p>
            </c:rich>
          </c:tx>
          <c:layout/>
          <c:overlay val="0"/>
        </c:title>
        <c:numFmt formatCode="General" sourceLinked="1"/>
        <c:majorTickMark val="out"/>
        <c:minorTickMark val="none"/>
        <c:tickLblPos val="nextTo"/>
        <c:txPr>
          <a:bodyPr/>
          <a:lstStyle/>
          <a:p>
            <a:pPr>
              <a:defRPr lang="en-GB"/>
            </a:pPr>
            <a:endParaRPr lang="ar-SA"/>
          </a:p>
        </c:txPr>
        <c:crossAx val="152069248"/>
        <c:crosses val="autoZero"/>
        <c:auto val="1"/>
        <c:lblAlgn val="ctr"/>
        <c:lblOffset val="100"/>
        <c:noMultiLvlLbl val="0"/>
      </c:catAx>
      <c:valAx>
        <c:axId val="152069248"/>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layout/>
          <c:overlay val="0"/>
        </c:title>
        <c:numFmt formatCode="General" sourceLinked="1"/>
        <c:majorTickMark val="out"/>
        <c:minorTickMark val="none"/>
        <c:tickLblPos val="nextTo"/>
        <c:txPr>
          <a:bodyPr/>
          <a:lstStyle/>
          <a:p>
            <a:pPr>
              <a:defRPr lang="en-GB"/>
            </a:pPr>
            <a:endParaRPr lang="ar-SA"/>
          </a:p>
        </c:txPr>
        <c:crossAx val="152050688"/>
        <c:crosses val="autoZero"/>
        <c:crossBetween val="between"/>
      </c:valAx>
    </c:plotArea>
    <c:plotVisOnly val="1"/>
    <c:dispBlanksAs val="gap"/>
    <c:showDLblsOverMax val="0"/>
  </c:chart>
  <c:spPr>
    <a:ln>
      <a:noFill/>
    </a:ln>
  </c:sp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820199949661884E-2"/>
          <c:y val="6.6739771025554326E-2"/>
          <c:w val="0.87226844319021613"/>
          <c:h val="0.73105502149654666"/>
        </c:manualLayout>
      </c:layout>
      <c:barChart>
        <c:barDir val="col"/>
        <c:grouping val="clustered"/>
        <c:varyColors val="0"/>
        <c:ser>
          <c:idx val="0"/>
          <c:order val="0"/>
          <c:tx>
            <c:strRef>
              <c:f>Sheet1!$A$2</c:f>
              <c:strCache>
                <c:ptCount val="1"/>
                <c:pt idx="0">
                  <c:v>الأراضي الفلسطينية</c:v>
                </c:pt>
              </c:strCache>
            </c:strRef>
          </c:tx>
          <c:spPr>
            <a:solidFill>
              <a:srgbClr val="F9AF2A"/>
            </a:solidFill>
            <a:ln>
              <a:solidFill>
                <a:srgbClr val="15A3C5"/>
              </a:solidFill>
            </a:ln>
          </c:spPr>
          <c:invertIfNegative val="0"/>
          <c:dPt>
            <c:idx val="0"/>
            <c:invertIfNegative val="0"/>
            <c:bubble3D val="0"/>
            <c:spPr>
              <a:solidFill>
                <a:srgbClr val="F9AF2A"/>
              </a:solidFill>
              <a:ln>
                <a:solidFill>
                  <a:srgbClr val="F9AF2A"/>
                </a:solidFill>
              </a:ln>
            </c:spPr>
            <c:extLst>
              <c:ext xmlns:c16="http://schemas.microsoft.com/office/drawing/2014/chart" uri="{C3380CC4-5D6E-409C-BE32-E72D297353CC}">
                <c16:uniqueId val="{00000000-D5F5-4491-94F3-60D12E15410E}"/>
              </c:ext>
            </c:extLst>
          </c:dPt>
          <c:dPt>
            <c:idx val="1"/>
            <c:invertIfNegative val="0"/>
            <c:bubble3D val="0"/>
            <c:spPr>
              <a:solidFill>
                <a:srgbClr val="F9AF2A"/>
              </a:solidFill>
              <a:ln>
                <a:solidFill>
                  <a:srgbClr val="F9AF2A"/>
                </a:solidFill>
              </a:ln>
            </c:spPr>
            <c:extLst>
              <c:ext xmlns:c16="http://schemas.microsoft.com/office/drawing/2014/chart" uri="{C3380CC4-5D6E-409C-BE32-E72D297353CC}">
                <c16:uniqueId val="{00000001-D5F5-4491-94F3-60D12E15410E}"/>
              </c:ext>
            </c:extLst>
          </c:dPt>
          <c:dPt>
            <c:idx val="2"/>
            <c:invertIfNegative val="0"/>
            <c:bubble3D val="0"/>
            <c:spPr>
              <a:solidFill>
                <a:srgbClr val="F9AF2A"/>
              </a:solidFill>
              <a:ln>
                <a:solidFill>
                  <a:srgbClr val="F9AF2A"/>
                </a:solidFill>
              </a:ln>
            </c:spPr>
            <c:extLst>
              <c:ext xmlns:c16="http://schemas.microsoft.com/office/drawing/2014/chart" uri="{C3380CC4-5D6E-409C-BE32-E72D297353CC}">
                <c16:uniqueId val="{00000002-D5F5-4491-94F3-60D12E15410E}"/>
              </c:ext>
            </c:extLst>
          </c:dPt>
          <c:dPt>
            <c:idx val="3"/>
            <c:invertIfNegative val="0"/>
            <c:bubble3D val="0"/>
            <c:spPr>
              <a:solidFill>
                <a:srgbClr val="F9AF2A"/>
              </a:solidFill>
              <a:ln>
                <a:solidFill>
                  <a:srgbClr val="F9AF2A"/>
                </a:solidFill>
              </a:ln>
            </c:spPr>
            <c:extLst>
              <c:ext xmlns:c16="http://schemas.microsoft.com/office/drawing/2014/chart" uri="{C3380CC4-5D6E-409C-BE32-E72D297353CC}">
                <c16:uniqueId val="{00000003-D5F5-4491-94F3-60D12E15410E}"/>
              </c:ext>
            </c:extLst>
          </c:dPt>
          <c:dPt>
            <c:idx val="4"/>
            <c:invertIfNegative val="0"/>
            <c:bubble3D val="0"/>
            <c:spPr>
              <a:solidFill>
                <a:srgbClr val="F9AF2A"/>
              </a:solidFill>
              <a:ln>
                <a:solidFill>
                  <a:srgbClr val="F9AF2A"/>
                </a:solidFill>
              </a:ln>
            </c:spPr>
            <c:extLst>
              <c:ext xmlns:c16="http://schemas.microsoft.com/office/drawing/2014/chart" uri="{C3380CC4-5D6E-409C-BE32-E72D297353CC}">
                <c16:uniqueId val="{00000004-D5F5-4491-94F3-60D12E15410E}"/>
              </c:ext>
            </c:extLst>
          </c:dPt>
          <c:dPt>
            <c:idx val="5"/>
            <c:invertIfNegative val="0"/>
            <c:bubble3D val="0"/>
            <c:spPr>
              <a:solidFill>
                <a:srgbClr val="F9AF2A"/>
              </a:solidFill>
              <a:ln>
                <a:solidFill>
                  <a:srgbClr val="F9AF2A"/>
                </a:solidFill>
              </a:ln>
            </c:spPr>
            <c:extLst>
              <c:ext xmlns:c16="http://schemas.microsoft.com/office/drawing/2014/chart" uri="{C3380CC4-5D6E-409C-BE32-E72D297353CC}">
                <c16:uniqueId val="{00000005-D5F5-4491-94F3-60D12E15410E}"/>
              </c:ext>
            </c:extLst>
          </c:dPt>
          <c:dLbls>
            <c:dLbl>
              <c:idx val="0"/>
              <c:layout>
                <c:manualLayout>
                  <c:x val="3.278965129358808E-3"/>
                  <c:y val="1.267088546447033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5F5-4491-94F3-60D12E15410E}"/>
                </c:ext>
              </c:extLst>
            </c:dLbl>
            <c:dLbl>
              <c:idx val="1"/>
              <c:layout>
                <c:manualLayout>
                  <c:x val="2.3109043187783383E-3"/>
                  <c:y val="-8.7082749625623079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5F5-4491-94F3-60D12E15410E}"/>
                </c:ext>
              </c:extLst>
            </c:dLbl>
            <c:dLbl>
              <c:idx val="2"/>
              <c:layout>
                <c:manualLayout>
                  <c:x val="-1.9969662883048711E-3"/>
                  <c:y val="7.1117337326699242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5F5-4491-94F3-60D12E15410E}"/>
                </c:ext>
              </c:extLst>
            </c:dLbl>
            <c:dLbl>
              <c:idx val="3"/>
              <c:layout>
                <c:manualLayout>
                  <c:x val="2.7201145311373675E-4"/>
                  <c:y val="2.2849137722815406E-4"/>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5F5-4491-94F3-60D12E15410E}"/>
                </c:ext>
              </c:extLst>
            </c:dLbl>
            <c:dLbl>
              <c:idx val="4"/>
              <c:layout>
                <c:manualLayout>
                  <c:x val="-1.5253775096294793E-3"/>
                  <c:y val="5.818559489879718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5F5-4491-94F3-60D12E15410E}"/>
                </c:ext>
              </c:extLst>
            </c:dLbl>
            <c:dLbl>
              <c:idx val="5"/>
              <c:layout>
                <c:manualLayout>
                  <c:x val="1.5442955994136314E-3"/>
                  <c:y val="3.887734892034151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5F5-4491-94F3-60D12E15410E}"/>
                </c:ext>
              </c:extLst>
            </c:dLbl>
            <c:dLbl>
              <c:idx val="6"/>
              <c:layout>
                <c:manualLayout>
                  <c:x val="2.347206599175024E-3"/>
                  <c:y val="1.173711414907486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D5F5-4491-94F3-60D12E15410E}"/>
                </c:ext>
              </c:extLst>
            </c:dLbl>
            <c:dLbl>
              <c:idx val="7"/>
              <c:layout>
                <c:manualLayout>
                  <c:x val="-3.9233732147118819E-3"/>
                  <c:y val="5.2775228249842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5F5-4491-94F3-60D12E15410E}"/>
                </c:ext>
              </c:extLst>
            </c:dLbl>
            <c:dLbl>
              <c:idx val="8"/>
              <c:layout>
                <c:manualLayout>
                  <c:x val="8.519957732554572E-4"/>
                  <c:y val="-1.029950243949570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5F5-4491-94F3-60D12E15410E}"/>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Sheet1!$F$1:$L$1</c:f>
              <c:numCache>
                <c:formatCode>General</c:formatCode>
                <c:ptCount val="7"/>
                <c:pt idx="0">
                  <c:v>2015</c:v>
                </c:pt>
                <c:pt idx="1">
                  <c:v>2016</c:v>
                </c:pt>
                <c:pt idx="2">
                  <c:v>2017</c:v>
                </c:pt>
                <c:pt idx="3">
                  <c:v>2018</c:v>
                </c:pt>
                <c:pt idx="4">
                  <c:v>2019</c:v>
                </c:pt>
                <c:pt idx="5">
                  <c:v>2020</c:v>
                </c:pt>
                <c:pt idx="6">
                  <c:v>2021</c:v>
                </c:pt>
              </c:numCache>
            </c:numRef>
          </c:cat>
          <c:val>
            <c:numRef>
              <c:f>Sheet1!$F$2:$L$2</c:f>
              <c:numCache>
                <c:formatCode>General</c:formatCode>
                <c:ptCount val="7"/>
                <c:pt idx="0">
                  <c:v>2.6</c:v>
                </c:pt>
                <c:pt idx="1">
                  <c:v>5.4</c:v>
                </c:pt>
                <c:pt idx="2">
                  <c:v>7.4</c:v>
                </c:pt>
                <c:pt idx="3">
                  <c:v>8.1999999999999993</c:v>
                </c:pt>
                <c:pt idx="4">
                  <c:v>16.100000000000001</c:v>
                </c:pt>
                <c:pt idx="5">
                  <c:v>23.1</c:v>
                </c:pt>
                <c:pt idx="6">
                  <c:v>34.1</c:v>
                </c:pt>
              </c:numCache>
            </c:numRef>
          </c:val>
          <c:extLst>
            <c:ext xmlns:c16="http://schemas.microsoft.com/office/drawing/2014/chart" uri="{C3380CC4-5D6E-409C-BE32-E72D297353CC}">
              <c16:uniqueId val="{00000009-D5F5-4491-94F3-60D12E15410E}"/>
            </c:ext>
          </c:extLst>
        </c:ser>
        <c:dLbls>
          <c:showLegendKey val="0"/>
          <c:showVal val="0"/>
          <c:showCatName val="0"/>
          <c:showSerName val="0"/>
          <c:showPercent val="0"/>
          <c:showBubbleSize val="0"/>
        </c:dLbls>
        <c:gapWidth val="150"/>
        <c:axId val="42413056"/>
        <c:axId val="42427520"/>
      </c:barChart>
      <c:catAx>
        <c:axId val="424130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endParaRPr lang="ar-JO"/>
              </a:p>
            </c:rich>
          </c:tx>
          <c:layout/>
          <c:overlay val="0"/>
        </c:title>
        <c:numFmt formatCode="General" sourceLinked="1"/>
        <c:majorTickMark val="out"/>
        <c:minorTickMark val="none"/>
        <c:tickLblPos val="nextTo"/>
        <c:txPr>
          <a:bodyPr rot="0" vert="horz"/>
          <a:lstStyle/>
          <a:p>
            <a:pPr>
              <a:defRPr lang="en-GB"/>
            </a:pPr>
            <a:endParaRPr lang="ar-SA"/>
          </a:p>
        </c:txPr>
        <c:crossAx val="42427520"/>
        <c:crosses val="autoZero"/>
        <c:auto val="1"/>
        <c:lblAlgn val="ctr"/>
        <c:lblOffset val="100"/>
        <c:tickLblSkip val="1"/>
        <c:tickMarkSkip val="1"/>
        <c:noMultiLvlLbl val="0"/>
      </c:catAx>
      <c:valAx>
        <c:axId val="42427520"/>
        <c:scaling>
          <c:orientation val="minMax"/>
          <c:max val="36"/>
          <c:min val="0"/>
        </c:scaling>
        <c:delete val="0"/>
        <c:axPos val="l"/>
        <c:title>
          <c:tx>
            <c:rich>
              <a:bodyPr/>
              <a:lstStyle/>
              <a:p>
                <a:pPr>
                  <a:defRPr lang="en-GB" sz="900" b="1" i="0" u="none" strike="noStrike" baseline="0">
                    <a:solidFill>
                      <a:srgbClr val="000000"/>
                    </a:solidFill>
                    <a:latin typeface="Arial"/>
                    <a:ea typeface="Arial"/>
                    <a:cs typeface="Arial"/>
                  </a:defRPr>
                </a:pPr>
                <a:r>
                  <a:rPr lang="en-US"/>
                  <a:t>Watt/Capita</a:t>
                </a:r>
                <a:endParaRPr lang="ar-JO"/>
              </a:p>
            </c:rich>
          </c:tx>
          <c:layout/>
          <c:overlay val="0"/>
        </c:title>
        <c:numFmt formatCode="#,##0" sourceLinked="0"/>
        <c:majorTickMark val="out"/>
        <c:minorTickMark val="none"/>
        <c:tickLblPos val="nextTo"/>
        <c:txPr>
          <a:bodyPr rot="0" vert="horz"/>
          <a:lstStyle/>
          <a:p>
            <a:pPr>
              <a:defRPr lang="en-GB"/>
            </a:pPr>
            <a:endParaRPr lang="ar-SA"/>
          </a:p>
        </c:txPr>
        <c:crossAx val="42413056"/>
        <c:crosses val="autoZero"/>
        <c:crossBetween val="between"/>
        <c:majorUnit val="5"/>
        <c:minorUnit val="1"/>
      </c:valAx>
    </c:plotArea>
    <c:plotVisOnly val="1"/>
    <c:dispBlanksAs val="zero"/>
    <c:showDLblsOverMax val="0"/>
  </c:chart>
  <c:spPr>
    <a:ln>
      <a:solidFill>
        <a:sysClr val="windowText" lastClr="000000"/>
      </a:solid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259781791840156"/>
          <c:y val="0.14953183071437237"/>
          <c:w val="0.35779549431321084"/>
          <c:h val="0.74735351292576679"/>
        </c:manualLayout>
      </c:layout>
      <c:pieChart>
        <c:varyColors val="1"/>
        <c:ser>
          <c:idx val="0"/>
          <c:order val="0"/>
          <c:tx>
            <c:strRef>
              <c:f>Sheet1!$B$1</c:f>
              <c:strCache>
                <c:ptCount val="1"/>
                <c:pt idx="0">
                  <c:v>Sales</c:v>
                </c:pt>
              </c:strCache>
            </c:strRef>
          </c:tx>
          <c:dPt>
            <c:idx val="0"/>
            <c:bubble3D val="0"/>
            <c:spPr>
              <a:solidFill>
                <a:srgbClr val="C08F2E"/>
              </a:solidFill>
            </c:spPr>
            <c:extLst>
              <c:ext xmlns:c16="http://schemas.microsoft.com/office/drawing/2014/chart" uri="{C3380CC4-5D6E-409C-BE32-E72D297353CC}">
                <c16:uniqueId val="{00000001-9BBE-42F8-AE67-FBD8F0663822}"/>
              </c:ext>
            </c:extLst>
          </c:dPt>
          <c:dPt>
            <c:idx val="1"/>
            <c:bubble3D val="0"/>
            <c:explosion val="2"/>
            <c:spPr>
              <a:solidFill>
                <a:srgbClr val="DFBE7B"/>
              </a:solidFill>
            </c:spPr>
            <c:extLst>
              <c:ext xmlns:c16="http://schemas.microsoft.com/office/drawing/2014/chart" uri="{C3380CC4-5D6E-409C-BE32-E72D297353CC}">
                <c16:uniqueId val="{00000003-9BBE-42F8-AE67-FBD8F0663822}"/>
              </c:ext>
            </c:extLst>
          </c:dPt>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Severe food insecurity </c:v>
                </c:pt>
                <c:pt idx="1">
                  <c:v>Not lacking</c:v>
                </c:pt>
              </c:strCache>
            </c:strRef>
          </c:cat>
          <c:val>
            <c:numRef>
              <c:f>Sheet1!$B$2:$B$3</c:f>
              <c:numCache>
                <c:formatCode>0.0</c:formatCode>
                <c:ptCount val="2"/>
                <c:pt idx="0">
                  <c:v>6.7</c:v>
                </c:pt>
                <c:pt idx="1">
                  <c:v>93.3</c:v>
                </c:pt>
              </c:numCache>
            </c:numRef>
          </c:val>
          <c:extLst>
            <c:ext xmlns:c16="http://schemas.microsoft.com/office/drawing/2014/chart" uri="{C3380CC4-5D6E-409C-BE32-E72D297353CC}">
              <c16:uniqueId val="{00000004-9BBE-42F8-AE67-FBD8F0663822}"/>
            </c:ext>
          </c:extLst>
        </c:ser>
        <c:dLbls>
          <c:showLegendKey val="0"/>
          <c:showVal val="1"/>
          <c:showCatName val="0"/>
          <c:showSerName val="0"/>
          <c:showPercent val="0"/>
          <c:showBubbleSize val="0"/>
          <c:showLeaderLines val="1"/>
        </c:dLbls>
        <c:firstSliceAng val="0"/>
      </c:pieChart>
      <c:spPr>
        <a:noFill/>
        <a:ln w="25361">
          <a:noFill/>
        </a:ln>
      </c:spPr>
    </c:plotArea>
    <c:legend>
      <c:legendPos val="r"/>
      <c:overlay val="0"/>
    </c:legend>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9161043966609"/>
          <c:y val="0.14017727784026995"/>
          <c:w val="0.83780226908085031"/>
          <c:h val="0.74934452902026716"/>
        </c:manualLayout>
      </c:layout>
      <c:lineChart>
        <c:grouping val="standard"/>
        <c:varyColors val="0"/>
        <c:ser>
          <c:idx val="0"/>
          <c:order val="0"/>
          <c:tx>
            <c:strRef>
              <c:f>Sheet1!$B$1</c:f>
              <c:strCache>
                <c:ptCount val="1"/>
                <c:pt idx="0">
                  <c:v>Palestine</c:v>
                </c:pt>
              </c:strCache>
            </c:strRef>
          </c:tx>
          <c:spPr>
            <a:ln w="38085">
              <a:solidFill>
                <a:srgbClr val="EEECE1">
                  <a:lumMod val="50000"/>
                </a:srgbClr>
              </a:solidFill>
            </a:ln>
          </c:spPr>
          <c:marker>
            <c:symbol val="none"/>
          </c:marker>
          <c:dLbls>
            <c:dLbl>
              <c:idx val="0"/>
              <c:layout>
                <c:manualLayout>
                  <c:x val="-4.0895149380892865E-2"/>
                  <c:y val="2.6533996683250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323-40E5-B878-C221ABC7C918}"/>
                </c:ext>
              </c:extLst>
            </c:dLbl>
            <c:dLbl>
              <c:idx val="1"/>
              <c:delete val="1"/>
              <c:extLst>
                <c:ext xmlns:c15="http://schemas.microsoft.com/office/drawing/2012/chart" uri="{CE6537A1-D6FC-4f65-9D91-7224C49458BB}"/>
                <c:ext xmlns:c16="http://schemas.microsoft.com/office/drawing/2014/chart" uri="{C3380CC4-5D6E-409C-BE32-E72D297353CC}">
                  <c16:uniqueId val="{00000012-6323-40E5-B878-C221ABC7C918}"/>
                </c:ext>
              </c:extLst>
            </c:dLbl>
            <c:dLbl>
              <c:idx val="2"/>
              <c:delete val="1"/>
              <c:extLst>
                <c:ext xmlns:c15="http://schemas.microsoft.com/office/drawing/2012/chart" uri="{CE6537A1-D6FC-4f65-9D91-7224C49458BB}"/>
                <c:ext xmlns:c16="http://schemas.microsoft.com/office/drawing/2014/chart" uri="{C3380CC4-5D6E-409C-BE32-E72D297353CC}">
                  <c16:uniqueId val="{00000013-6323-40E5-B878-C221ABC7C918}"/>
                </c:ext>
              </c:extLst>
            </c:dLbl>
            <c:dLbl>
              <c:idx val="3"/>
              <c:delete val="1"/>
              <c:extLst>
                <c:ext xmlns:c15="http://schemas.microsoft.com/office/drawing/2012/chart" uri="{CE6537A1-D6FC-4f65-9D91-7224C49458BB}"/>
                <c:ext xmlns:c16="http://schemas.microsoft.com/office/drawing/2014/chart" uri="{C3380CC4-5D6E-409C-BE32-E72D297353CC}">
                  <c16:uniqueId val="{00000014-6323-40E5-B878-C221ABC7C918}"/>
                </c:ext>
              </c:extLst>
            </c:dLbl>
            <c:dLbl>
              <c:idx val="4"/>
              <c:delete val="1"/>
              <c:extLst>
                <c:ext xmlns:c15="http://schemas.microsoft.com/office/drawing/2012/chart" uri="{CE6537A1-D6FC-4f65-9D91-7224C49458BB}"/>
                <c:ext xmlns:c16="http://schemas.microsoft.com/office/drawing/2014/chart" uri="{C3380CC4-5D6E-409C-BE32-E72D297353CC}">
                  <c16:uniqueId val="{00000015-6323-40E5-B878-C221ABC7C918}"/>
                </c:ext>
              </c:extLst>
            </c:dLbl>
            <c:dLbl>
              <c:idx val="5"/>
              <c:delete val="1"/>
              <c:extLst>
                <c:ext xmlns:c15="http://schemas.microsoft.com/office/drawing/2012/chart" uri="{CE6537A1-D6FC-4f65-9D91-7224C49458BB}"/>
                <c:ext xmlns:c16="http://schemas.microsoft.com/office/drawing/2014/chart" uri="{C3380CC4-5D6E-409C-BE32-E72D297353CC}">
                  <c16:uniqueId val="{00000016-6323-40E5-B878-C221ABC7C918}"/>
                </c:ext>
              </c:extLst>
            </c:dLbl>
            <c:dLbl>
              <c:idx val="6"/>
              <c:layout>
                <c:manualLayout>
                  <c:x val="-2.0447574690446439E-2"/>
                  <c:y val="1.99004975124378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323-40E5-B878-C221ABC7C91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Sheet1!$B$17:$B$23</c:f>
              <c:numCache>
                <c:formatCode>0.0</c:formatCode>
                <c:ptCount val="7"/>
                <c:pt idx="0">
                  <c:v>1.3888029693782911</c:v>
                </c:pt>
                <c:pt idx="1">
                  <c:v>6.4645047133835787</c:v>
                </c:pt>
                <c:pt idx="2">
                  <c:v>-0.76508682445985965</c:v>
                </c:pt>
                <c:pt idx="3">
                  <c:v>-1.3109641650544277</c:v>
                </c:pt>
                <c:pt idx="4">
                  <c:v>-1.2</c:v>
                </c:pt>
                <c:pt idx="5">
                  <c:v>-11.3</c:v>
                </c:pt>
                <c:pt idx="6">
                  <c:v>7.1</c:v>
                </c:pt>
              </c:numCache>
            </c:numRef>
          </c:val>
          <c:smooth val="0"/>
          <c:extLst>
            <c:ext xmlns:c16="http://schemas.microsoft.com/office/drawing/2014/chart" uri="{C3380CC4-5D6E-409C-BE32-E72D297353CC}">
              <c16:uniqueId val="{00000000-E3C2-4FBE-ABE4-16DE6992A4B1}"/>
            </c:ext>
          </c:extLst>
        </c:ser>
        <c:ser>
          <c:idx val="1"/>
          <c:order val="1"/>
          <c:tx>
            <c:strRef>
              <c:f>Sheet1!$C$1</c:f>
              <c:strCache>
                <c:ptCount val="1"/>
                <c:pt idx="0">
                  <c:v>West Bank</c:v>
                </c:pt>
              </c:strCache>
            </c:strRef>
          </c:tx>
          <c:spPr>
            <a:ln w="38085">
              <a:solidFill>
                <a:srgbClr val="FF0000"/>
              </a:solidFill>
            </a:ln>
          </c:spPr>
          <c:marker>
            <c:symbol val="none"/>
          </c:marker>
          <c:dLbls>
            <c:dLbl>
              <c:idx val="0"/>
              <c:layout>
                <c:manualLayout>
                  <c:x val="-4.3167102124275797E-2"/>
                  <c:y val="-5.30679933665008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323-40E5-B878-C221ABC7C918}"/>
                </c:ext>
              </c:extLst>
            </c:dLbl>
            <c:dLbl>
              <c:idx val="1"/>
              <c:delete val="1"/>
              <c:extLst>
                <c:ext xmlns:c15="http://schemas.microsoft.com/office/drawing/2012/chart" uri="{CE6537A1-D6FC-4f65-9D91-7224C49458BB}"/>
                <c:ext xmlns:c16="http://schemas.microsoft.com/office/drawing/2014/chart" uri="{C3380CC4-5D6E-409C-BE32-E72D297353CC}">
                  <c16:uniqueId val="{0000000E-6323-40E5-B878-C221ABC7C918}"/>
                </c:ext>
              </c:extLst>
            </c:dLbl>
            <c:dLbl>
              <c:idx val="2"/>
              <c:delete val="1"/>
              <c:extLst>
                <c:ext xmlns:c15="http://schemas.microsoft.com/office/drawing/2012/chart" uri="{CE6537A1-D6FC-4f65-9D91-7224C49458BB}"/>
                <c:ext xmlns:c16="http://schemas.microsoft.com/office/drawing/2014/chart" uri="{C3380CC4-5D6E-409C-BE32-E72D297353CC}">
                  <c16:uniqueId val="{0000000D-6323-40E5-B878-C221ABC7C918}"/>
                </c:ext>
              </c:extLst>
            </c:dLbl>
            <c:dLbl>
              <c:idx val="3"/>
              <c:delete val="1"/>
              <c:extLst>
                <c:ext xmlns:c15="http://schemas.microsoft.com/office/drawing/2012/chart" uri="{CE6537A1-D6FC-4f65-9D91-7224C49458BB}"/>
                <c:ext xmlns:c16="http://schemas.microsoft.com/office/drawing/2014/chart" uri="{C3380CC4-5D6E-409C-BE32-E72D297353CC}">
                  <c16:uniqueId val="{0000000C-6323-40E5-B878-C221ABC7C918}"/>
                </c:ext>
              </c:extLst>
            </c:dLbl>
            <c:dLbl>
              <c:idx val="4"/>
              <c:delete val="1"/>
              <c:extLst>
                <c:ext xmlns:c15="http://schemas.microsoft.com/office/drawing/2012/chart" uri="{CE6537A1-D6FC-4f65-9D91-7224C49458BB}"/>
                <c:ext xmlns:c16="http://schemas.microsoft.com/office/drawing/2014/chart" uri="{C3380CC4-5D6E-409C-BE32-E72D297353CC}">
                  <c16:uniqueId val="{0000000B-6323-40E5-B878-C221ABC7C918}"/>
                </c:ext>
              </c:extLst>
            </c:dLbl>
            <c:dLbl>
              <c:idx val="5"/>
              <c:delete val="1"/>
              <c:extLst>
                <c:ext xmlns:c15="http://schemas.microsoft.com/office/drawing/2012/chart" uri="{CE6537A1-D6FC-4f65-9D91-7224C49458BB}"/>
                <c:ext xmlns:c16="http://schemas.microsoft.com/office/drawing/2014/chart" uri="{C3380CC4-5D6E-409C-BE32-E72D297353CC}">
                  <c16:uniqueId val="{0000000A-6323-40E5-B878-C221ABC7C918}"/>
                </c:ext>
              </c:extLst>
            </c:dLbl>
            <c:dLbl>
              <c:idx val="6"/>
              <c:layout>
                <c:manualLayout>
                  <c:x val="-4.9982960354424677E-2"/>
                  <c:y val="-6.63349917081260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323-40E5-B878-C221ABC7C91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trendline>
            <c:trendlineType val="linear"/>
            <c:dispRSqr val="0"/>
            <c:dispEq val="0"/>
          </c:trendline>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Sheet1!$C$17:$C$23</c:f>
              <c:numCache>
                <c:formatCode>0.0</c:formatCode>
                <c:ptCount val="7"/>
                <c:pt idx="0">
                  <c:v>2.3424415536742655</c:v>
                </c:pt>
                <c:pt idx="1">
                  <c:v>6.7319763271162145</c:v>
                </c:pt>
                <c:pt idx="2">
                  <c:v>1.88821910902941</c:v>
                </c:pt>
                <c:pt idx="3">
                  <c:v>7.008864151720752E-2</c:v>
                </c:pt>
                <c:pt idx="4">
                  <c:v>-0.70000000000000051</c:v>
                </c:pt>
                <c:pt idx="5">
                  <c:v>-11</c:v>
                </c:pt>
                <c:pt idx="6">
                  <c:v>7.8</c:v>
                </c:pt>
              </c:numCache>
            </c:numRef>
          </c:val>
          <c:smooth val="0"/>
          <c:extLst>
            <c:ext xmlns:c16="http://schemas.microsoft.com/office/drawing/2014/chart" uri="{C3380CC4-5D6E-409C-BE32-E72D297353CC}">
              <c16:uniqueId val="{00000001-E3C2-4FBE-ABE4-16DE6992A4B1}"/>
            </c:ext>
          </c:extLst>
        </c:ser>
        <c:ser>
          <c:idx val="2"/>
          <c:order val="2"/>
          <c:tx>
            <c:strRef>
              <c:f>Sheet1!$D$1</c:f>
              <c:strCache>
                <c:ptCount val="1"/>
                <c:pt idx="0">
                  <c:v>Gaza Strip</c:v>
                </c:pt>
              </c:strCache>
            </c:strRef>
          </c:tx>
          <c:spPr>
            <a:ln w="38085">
              <a:solidFill>
                <a:srgbClr val="4F81BD">
                  <a:lumMod val="50000"/>
                </a:srgbClr>
              </a:solidFill>
            </a:ln>
          </c:spPr>
          <c:marker>
            <c:symbol val="none"/>
          </c:marker>
          <c:dLbls>
            <c:dLbl>
              <c:idx val="0"/>
              <c:layout>
                <c:manualLayout>
                  <c:x val="-6.8158582301488125E-3"/>
                  <c:y val="3.98009950248755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6323-40E5-B878-C221ABC7C918}"/>
                </c:ext>
              </c:extLst>
            </c:dLbl>
            <c:dLbl>
              <c:idx val="2"/>
              <c:delete val="1"/>
              <c:extLst>
                <c:ext xmlns:c15="http://schemas.microsoft.com/office/drawing/2012/chart" uri="{CE6537A1-D6FC-4f65-9D91-7224C49458BB}"/>
                <c:ext xmlns:c16="http://schemas.microsoft.com/office/drawing/2014/chart" uri="{C3380CC4-5D6E-409C-BE32-E72D297353CC}">
                  <c16:uniqueId val="{00000019-6323-40E5-B878-C221ABC7C918}"/>
                </c:ext>
              </c:extLst>
            </c:dLbl>
            <c:dLbl>
              <c:idx val="3"/>
              <c:delete val="1"/>
              <c:extLst>
                <c:ext xmlns:c15="http://schemas.microsoft.com/office/drawing/2012/chart" uri="{CE6537A1-D6FC-4f65-9D91-7224C49458BB}"/>
                <c:ext xmlns:c16="http://schemas.microsoft.com/office/drawing/2014/chart" uri="{C3380CC4-5D6E-409C-BE32-E72D297353CC}">
                  <c16:uniqueId val="{0000001A-6323-40E5-B878-C221ABC7C918}"/>
                </c:ext>
              </c:extLst>
            </c:dLbl>
            <c:dLbl>
              <c:idx val="5"/>
              <c:delete val="1"/>
              <c:extLst>
                <c:ext xmlns:c15="http://schemas.microsoft.com/office/drawing/2012/chart" uri="{CE6537A1-D6FC-4f65-9D91-7224C49458BB}"/>
                <c:ext xmlns:c16="http://schemas.microsoft.com/office/drawing/2014/chart" uri="{C3380CC4-5D6E-409C-BE32-E72D297353CC}">
                  <c16:uniqueId val="{0000001B-6323-40E5-B878-C221ABC7C91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Sheet1!$D$17:$D$23</c:f>
              <c:numCache>
                <c:formatCode>0.0</c:formatCode>
                <c:ptCount val="7"/>
                <c:pt idx="0">
                  <c:v>-1.3565069944891817</c:v>
                </c:pt>
                <c:pt idx="1">
                  <c:v>6.2557554177665695</c:v>
                </c:pt>
                <c:pt idx="2">
                  <c:v>-10.064709960711815</c:v>
                </c:pt>
                <c:pt idx="3">
                  <c:v>-6.3150456122317848</c:v>
                </c:pt>
                <c:pt idx="4">
                  <c:v>-2.5</c:v>
                </c:pt>
                <c:pt idx="5">
                  <c:v>-12.6</c:v>
                </c:pt>
                <c:pt idx="6">
                  <c:v>3.4</c:v>
                </c:pt>
              </c:numCache>
            </c:numRef>
          </c:val>
          <c:smooth val="0"/>
          <c:extLst>
            <c:ext xmlns:c16="http://schemas.microsoft.com/office/drawing/2014/chart" uri="{C3380CC4-5D6E-409C-BE32-E72D297353CC}">
              <c16:uniqueId val="{00000002-E3C2-4FBE-ABE4-16DE6992A4B1}"/>
            </c:ext>
          </c:extLst>
        </c:ser>
        <c:dLbls>
          <c:showLegendKey val="0"/>
          <c:showVal val="0"/>
          <c:showCatName val="0"/>
          <c:showSerName val="0"/>
          <c:showPercent val="0"/>
          <c:showBubbleSize val="0"/>
        </c:dLbls>
        <c:smooth val="0"/>
        <c:axId val="152412544"/>
        <c:axId val="152414464"/>
      </c:lineChart>
      <c:catAx>
        <c:axId val="152412544"/>
        <c:scaling>
          <c:orientation val="minMax"/>
        </c:scaling>
        <c:delete val="0"/>
        <c:axPos val="b"/>
        <c:title>
          <c:tx>
            <c:rich>
              <a:bodyPr/>
              <a:lstStyle/>
              <a:p>
                <a:pPr>
                  <a:defRPr lang="en-GB" sz="1000" b="0" i="0" u="none" strike="noStrike" baseline="0">
                    <a:solidFill>
                      <a:srgbClr val="000000"/>
                    </a:solidFill>
                    <a:latin typeface="Calibri"/>
                    <a:ea typeface="Calibri"/>
                    <a:cs typeface="Calibri"/>
                  </a:defRPr>
                </a:pPr>
                <a:r>
                  <a:rPr lang="en-US" b="1"/>
                  <a:t>Year</a:t>
                </a:r>
              </a:p>
            </c:rich>
          </c:tx>
          <c:overlay val="0"/>
        </c:title>
        <c:numFmt formatCode="General" sourceLinked="1"/>
        <c:majorTickMark val="out"/>
        <c:minorTickMark val="none"/>
        <c:tickLblPos val="nextTo"/>
        <c:txPr>
          <a:bodyPr rot="5400000" vert="horz"/>
          <a:lstStyle/>
          <a:p>
            <a:pPr>
              <a:defRPr lang="en-GB" sz="1000" b="0" i="0" u="none" strike="noStrike" baseline="0">
                <a:solidFill>
                  <a:srgbClr val="000000"/>
                </a:solidFill>
                <a:latin typeface="Calibri"/>
                <a:ea typeface="Calibri"/>
                <a:cs typeface="Calibri"/>
              </a:defRPr>
            </a:pPr>
            <a:endParaRPr lang="ar-SA"/>
          </a:p>
        </c:txPr>
        <c:crossAx val="152414464"/>
        <c:crosses val="autoZero"/>
        <c:auto val="1"/>
        <c:lblAlgn val="ctr"/>
        <c:lblOffset val="200"/>
        <c:noMultiLvlLbl val="0"/>
      </c:catAx>
      <c:valAx>
        <c:axId val="152414464"/>
        <c:scaling>
          <c:orientation val="minMax"/>
        </c:scaling>
        <c:delete val="0"/>
        <c:axPos val="l"/>
        <c:title>
          <c:tx>
            <c:rich>
              <a:bodyPr/>
              <a:lstStyle/>
              <a:p>
                <a:pPr>
                  <a:defRPr lang="en-GB" sz="1000" b="0" i="0" u="none" strike="noStrike" baseline="0">
                    <a:solidFill>
                      <a:srgbClr val="000000"/>
                    </a:solidFill>
                    <a:latin typeface="Calibri"/>
                    <a:ea typeface="Calibri"/>
                    <a:cs typeface="Calibri"/>
                  </a:defRPr>
                </a:pPr>
                <a:r>
                  <a:rPr lang="en-US" b="1"/>
                  <a:t>Annual</a:t>
                </a:r>
                <a:r>
                  <a:rPr lang="en-US"/>
                  <a:t> </a:t>
                </a:r>
                <a:r>
                  <a:rPr lang="en-US" b="1"/>
                  <a:t>Growth</a:t>
                </a:r>
                <a:r>
                  <a:rPr lang="en-US"/>
                  <a:t> </a:t>
                </a:r>
                <a:r>
                  <a:rPr lang="en-US" b="1"/>
                  <a:t>Rate</a:t>
                </a:r>
              </a:p>
            </c:rich>
          </c:tx>
          <c:overlay val="0"/>
        </c:title>
        <c:numFmt formatCode="0.0" sourceLinked="1"/>
        <c:majorTickMark val="out"/>
        <c:minorTickMark val="none"/>
        <c:tickLblPos val="nextTo"/>
        <c:txPr>
          <a:bodyPr rot="0" vert="horz"/>
          <a:lstStyle/>
          <a:p>
            <a:pPr>
              <a:defRPr lang="en-GB" sz="1000" b="0" i="0" u="none" strike="noStrike" baseline="0">
                <a:solidFill>
                  <a:srgbClr val="000000"/>
                </a:solidFill>
                <a:latin typeface="Calibri"/>
                <a:ea typeface="Calibri"/>
                <a:cs typeface="Calibri"/>
              </a:defRPr>
            </a:pPr>
            <a:endParaRPr lang="ar-SA"/>
          </a:p>
        </c:txPr>
        <c:crossAx val="152412544"/>
        <c:crosses val="autoZero"/>
        <c:crossBetween val="between"/>
      </c:valAx>
      <c:spPr>
        <a:noFill/>
        <a:ln w="25391">
          <a:noFill/>
        </a:ln>
      </c:spPr>
    </c:plotArea>
    <c:legend>
      <c:legendPos val="b"/>
      <c:layout>
        <c:manualLayout>
          <c:xMode val="edge"/>
          <c:yMode val="edge"/>
          <c:x val="0.14114930607677587"/>
          <c:y val="5.1590551181102361E-2"/>
          <c:w val="0.75857203291529662"/>
          <c:h val="0.13075892786129087"/>
        </c:manualLayout>
      </c:layout>
      <c:overlay val="0"/>
      <c:spPr>
        <a:ln>
          <a:solidFill>
            <a:schemeClr val="tx1"/>
          </a:solidFill>
        </a:ln>
      </c:spPr>
      <c:txPr>
        <a:bodyPr/>
        <a:lstStyle/>
        <a:p>
          <a:pPr>
            <a:defRPr lang="en-GB" sz="920" b="0" i="0" u="none" strike="noStrike" baseline="0">
              <a:solidFill>
                <a:srgbClr val="000000"/>
              </a:solidFill>
              <a:latin typeface="Calibri"/>
              <a:ea typeface="Calibri"/>
              <a:cs typeface="Calibri"/>
            </a:defRPr>
          </a:pPr>
          <a:endParaRPr lang="ar-SA"/>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ar-SA"/>
    </a:p>
  </c:txPr>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56229463161246"/>
          <c:y val="0.15183565324476619"/>
          <c:w val="0.8695141443296025"/>
          <c:h val="0.77759002873456029"/>
        </c:manualLayout>
      </c:layout>
      <c:barChart>
        <c:barDir val="col"/>
        <c:grouping val="clustered"/>
        <c:varyColors val="0"/>
        <c:ser>
          <c:idx val="2"/>
          <c:order val="0"/>
          <c:tx>
            <c:strRef>
              <c:f>Sheet1!$D$1</c:f>
              <c:strCache>
                <c:ptCount val="1"/>
                <c:pt idx="0">
                  <c:v>Gaza Strip</c:v>
                </c:pt>
              </c:strCache>
            </c:strRef>
          </c:tx>
          <c:spPr>
            <a:solidFill>
              <a:srgbClr val="FFC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Sheet1!$A$10:$A$14</c:f>
              <c:numCache>
                <c:formatCode>General</c:formatCode>
                <c:ptCount val="5"/>
                <c:pt idx="0">
                  <c:v>2015</c:v>
                </c:pt>
                <c:pt idx="1">
                  <c:v>2016</c:v>
                </c:pt>
                <c:pt idx="2">
                  <c:v>2017</c:v>
                </c:pt>
                <c:pt idx="3">
                  <c:v>2018</c:v>
                </c:pt>
                <c:pt idx="4">
                  <c:v>2019</c:v>
                </c:pt>
              </c:numCache>
            </c:numRef>
          </c:cat>
          <c:val>
            <c:numRef>
              <c:f>Sheet1!$D$10:$D$14</c:f>
              <c:numCache>
                <c:formatCode>0.0</c:formatCode>
                <c:ptCount val="5"/>
                <c:pt idx="0">
                  <c:v>-8.2000000000000011</c:v>
                </c:pt>
                <c:pt idx="1">
                  <c:v>5</c:v>
                </c:pt>
                <c:pt idx="2">
                  <c:v>-5.3</c:v>
                </c:pt>
                <c:pt idx="3">
                  <c:v>5.8</c:v>
                </c:pt>
                <c:pt idx="4">
                  <c:v>-2.4</c:v>
                </c:pt>
              </c:numCache>
            </c:numRef>
          </c:val>
          <c:extLst>
            <c:ext xmlns:c16="http://schemas.microsoft.com/office/drawing/2014/chart" uri="{C3380CC4-5D6E-409C-BE32-E72D297353CC}">
              <c16:uniqueId val="{00000000-FA23-4575-AA25-1D02602A114F}"/>
            </c:ext>
          </c:extLst>
        </c:ser>
        <c:ser>
          <c:idx val="1"/>
          <c:order val="1"/>
          <c:tx>
            <c:strRef>
              <c:f>Sheet1!$C$1</c:f>
              <c:strCache>
                <c:ptCount val="1"/>
                <c:pt idx="0">
                  <c:v>West Bank</c:v>
                </c:pt>
              </c:strCache>
            </c:strRef>
          </c:tx>
          <c:spPr>
            <a:solidFill>
              <a:srgbClr val="4F81BD">
                <a:lumMod val="20000"/>
                <a:lumOff val="80000"/>
              </a:srgbClr>
            </a:solidFill>
          </c:spPr>
          <c:invertIfNegative val="0"/>
          <c:dLbls>
            <c:dLbl>
              <c:idx val="4"/>
              <c:layout>
                <c:manualLayout>
                  <c:x val="0"/>
                  <c:y val="-3.79146919431278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F93-4985-AA5F-2BCB14FD125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Sheet1!$A$10:$A$14</c:f>
              <c:numCache>
                <c:formatCode>General</c:formatCode>
                <c:ptCount val="5"/>
                <c:pt idx="0">
                  <c:v>2015</c:v>
                </c:pt>
                <c:pt idx="1">
                  <c:v>2016</c:v>
                </c:pt>
                <c:pt idx="2">
                  <c:v>2017</c:v>
                </c:pt>
                <c:pt idx="3">
                  <c:v>2018</c:v>
                </c:pt>
                <c:pt idx="4">
                  <c:v>2019</c:v>
                </c:pt>
              </c:numCache>
            </c:numRef>
          </c:cat>
          <c:val>
            <c:numRef>
              <c:f>Sheet1!$C$10:$C$14</c:f>
              <c:numCache>
                <c:formatCode>0.0</c:formatCode>
                <c:ptCount val="5"/>
                <c:pt idx="0">
                  <c:v>2.9</c:v>
                </c:pt>
                <c:pt idx="1">
                  <c:v>9.8000000000000007</c:v>
                </c:pt>
                <c:pt idx="2">
                  <c:v>3.1</c:v>
                </c:pt>
                <c:pt idx="3">
                  <c:v>-16.600000000000001</c:v>
                </c:pt>
                <c:pt idx="4">
                  <c:v>-1.3</c:v>
                </c:pt>
              </c:numCache>
            </c:numRef>
          </c:val>
          <c:extLst>
            <c:ext xmlns:c16="http://schemas.microsoft.com/office/drawing/2014/chart" uri="{C3380CC4-5D6E-409C-BE32-E72D297353CC}">
              <c16:uniqueId val="{00000001-FA23-4575-AA25-1D02602A114F}"/>
            </c:ext>
          </c:extLst>
        </c:ser>
        <c:ser>
          <c:idx val="0"/>
          <c:order val="2"/>
          <c:tx>
            <c:strRef>
              <c:f>Sheet1!$B$1</c:f>
              <c:strCache>
                <c:ptCount val="1"/>
                <c:pt idx="0">
                  <c:v>palestine</c:v>
                </c:pt>
              </c:strCache>
            </c:strRef>
          </c:tx>
          <c:spPr>
            <a:solidFill>
              <a:srgbClr val="9BBB59">
                <a:lumMod val="50000"/>
              </a:srgbClr>
            </a:solidFill>
          </c:spPr>
          <c:invertIfNegative val="0"/>
          <c:dLbls>
            <c:dLbl>
              <c:idx val="0"/>
              <c:layout>
                <c:manualLayout>
                  <c:x val="9.0620752152242978E-3"/>
                  <c:y val="8.688683197890441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93-4985-AA5F-2BCB14FD125F}"/>
                </c:ext>
              </c:extLst>
            </c:dLbl>
            <c:dLbl>
              <c:idx val="4"/>
              <c:layout>
                <c:manualLayout>
                  <c:x val="1.132759401903037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93-4985-AA5F-2BCB14FD125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Sheet1!$A$10:$A$14</c:f>
              <c:numCache>
                <c:formatCode>General</c:formatCode>
                <c:ptCount val="5"/>
                <c:pt idx="0">
                  <c:v>2015</c:v>
                </c:pt>
                <c:pt idx="1">
                  <c:v>2016</c:v>
                </c:pt>
                <c:pt idx="2">
                  <c:v>2017</c:v>
                </c:pt>
                <c:pt idx="3">
                  <c:v>2018</c:v>
                </c:pt>
                <c:pt idx="4">
                  <c:v>2019</c:v>
                </c:pt>
              </c:numCache>
            </c:numRef>
          </c:cat>
          <c:val>
            <c:numRef>
              <c:f>Sheet1!$B$10:$B$14</c:f>
              <c:numCache>
                <c:formatCode>0.0</c:formatCode>
                <c:ptCount val="5"/>
                <c:pt idx="0">
                  <c:v>-0.5</c:v>
                </c:pt>
                <c:pt idx="1">
                  <c:v>8.1</c:v>
                </c:pt>
                <c:pt idx="2">
                  <c:v>1.9000000000000001</c:v>
                </c:pt>
                <c:pt idx="3">
                  <c:v>-9.6</c:v>
                </c:pt>
                <c:pt idx="4">
                  <c:v>-1.5</c:v>
                </c:pt>
              </c:numCache>
            </c:numRef>
          </c:val>
          <c:extLst>
            <c:ext xmlns:c16="http://schemas.microsoft.com/office/drawing/2014/chart" uri="{C3380CC4-5D6E-409C-BE32-E72D297353CC}">
              <c16:uniqueId val="{00000002-FA23-4575-AA25-1D02602A114F}"/>
            </c:ext>
          </c:extLst>
        </c:ser>
        <c:dLbls>
          <c:showLegendKey val="0"/>
          <c:showVal val="0"/>
          <c:showCatName val="0"/>
          <c:showSerName val="0"/>
          <c:showPercent val="0"/>
          <c:showBubbleSize val="0"/>
        </c:dLbls>
        <c:gapWidth val="150"/>
        <c:axId val="152439808"/>
        <c:axId val="152466560"/>
      </c:barChart>
      <c:catAx>
        <c:axId val="15243980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51141378088984069"/>
              <c:y val="0.85589098410669162"/>
            </c:manualLayout>
          </c:layout>
          <c:overlay val="0"/>
        </c:title>
        <c:numFmt formatCode="General" sourceLinked="1"/>
        <c:majorTickMark val="out"/>
        <c:minorTickMark val="none"/>
        <c:tickLblPos val="nextTo"/>
        <c:txPr>
          <a:bodyPr rot="0" vert="horz"/>
          <a:lstStyle/>
          <a:p>
            <a:pPr>
              <a:defRPr lang="en-GB"/>
            </a:pPr>
            <a:endParaRPr lang="ar-SA"/>
          </a:p>
        </c:txPr>
        <c:crossAx val="152466560"/>
        <c:crosses val="autoZero"/>
        <c:auto val="1"/>
        <c:lblAlgn val="ctr"/>
        <c:lblOffset val="200"/>
        <c:noMultiLvlLbl val="0"/>
      </c:catAx>
      <c:valAx>
        <c:axId val="15246656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Annual Growth Rate</a:t>
                </a:r>
              </a:p>
            </c:rich>
          </c:tx>
          <c:overlay val="0"/>
        </c:title>
        <c:numFmt formatCode="#,##0" sourceLinked="0"/>
        <c:majorTickMark val="out"/>
        <c:minorTickMark val="none"/>
        <c:tickLblPos val="nextTo"/>
        <c:txPr>
          <a:bodyPr/>
          <a:lstStyle/>
          <a:p>
            <a:pPr>
              <a:defRPr lang="en-GB"/>
            </a:pPr>
            <a:endParaRPr lang="ar-SA"/>
          </a:p>
        </c:txPr>
        <c:crossAx val="152439808"/>
        <c:crosses val="autoZero"/>
        <c:crossBetween val="between"/>
      </c:valAx>
    </c:plotArea>
    <c:legend>
      <c:legendPos val="b"/>
      <c:layout>
        <c:manualLayout>
          <c:xMode val="edge"/>
          <c:yMode val="edge"/>
          <c:x val="0.26414589179812725"/>
          <c:y val="4.0653552992222841E-2"/>
          <c:w val="0.51627714355774657"/>
          <c:h val="8.8968823546503734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642328852475844E-2"/>
          <c:y val="0.13962473440819897"/>
          <c:w val="0.8488209832395871"/>
          <c:h val="0.63229440069992515"/>
        </c:manualLayout>
      </c:layout>
      <c:lineChart>
        <c:grouping val="standard"/>
        <c:varyColors val="0"/>
        <c:ser>
          <c:idx val="2"/>
          <c:order val="0"/>
          <c:tx>
            <c:strRef>
              <c:f>Sheet1!$D$1</c:f>
              <c:strCache>
                <c:ptCount val="1"/>
                <c:pt idx="0">
                  <c:v>Gaza Strip</c:v>
                </c:pt>
              </c:strCache>
            </c:strRef>
          </c:tx>
          <c:spPr>
            <a:ln w="28568">
              <a:solidFill>
                <a:srgbClr val="9BBB58"/>
              </a:solidFill>
            </a:ln>
          </c:spPr>
          <c:marker>
            <c:spPr>
              <a:solidFill>
                <a:srgbClr val="9BBB58"/>
              </a:solidFill>
              <a:ln w="28568">
                <a:solidFill>
                  <a:srgbClr val="9BBB58"/>
                </a:solidFill>
              </a:ln>
            </c:spPr>
          </c:marker>
          <c:cat>
            <c:numRef>
              <c:f>Sheet1!$A$8:$A$15</c:f>
              <c:numCache>
                <c:formatCode>General</c:formatCode>
                <c:ptCount val="8"/>
                <c:pt idx="0">
                  <c:v>2015</c:v>
                </c:pt>
                <c:pt idx="1">
                  <c:v>2016</c:v>
                </c:pt>
                <c:pt idx="2">
                  <c:v>2017</c:v>
                </c:pt>
                <c:pt idx="3">
                  <c:v>2018</c:v>
                </c:pt>
                <c:pt idx="4">
                  <c:v>2019</c:v>
                </c:pt>
                <c:pt idx="5">
                  <c:v>2020</c:v>
                </c:pt>
                <c:pt idx="6">
                  <c:v>2021</c:v>
                </c:pt>
                <c:pt idx="7">
                  <c:v>2022</c:v>
                </c:pt>
              </c:numCache>
            </c:numRef>
          </c:cat>
          <c:val>
            <c:numRef>
              <c:f>Sheet1!$D$8:$D$15</c:f>
              <c:numCache>
                <c:formatCode>0.0</c:formatCode>
                <c:ptCount val="8"/>
                <c:pt idx="0">
                  <c:v>47.1</c:v>
                </c:pt>
                <c:pt idx="1">
                  <c:v>50.6</c:v>
                </c:pt>
                <c:pt idx="2">
                  <c:v>51.3</c:v>
                </c:pt>
                <c:pt idx="3" formatCode="General">
                  <c:v>50.8</c:v>
                </c:pt>
                <c:pt idx="4">
                  <c:v>50.9</c:v>
                </c:pt>
                <c:pt idx="5" formatCode="General">
                  <c:v>47.6</c:v>
                </c:pt>
                <c:pt idx="6">
                  <c:v>51.6</c:v>
                </c:pt>
                <c:pt idx="7">
                  <c:v>57.9</c:v>
                </c:pt>
              </c:numCache>
            </c:numRef>
          </c:val>
          <c:smooth val="0"/>
          <c:extLst>
            <c:ext xmlns:c16="http://schemas.microsoft.com/office/drawing/2014/chart" uri="{C3380CC4-5D6E-409C-BE32-E72D297353CC}">
              <c16:uniqueId val="{00000000-58F2-47EA-80D1-32FB6A446D83}"/>
            </c:ext>
          </c:extLst>
        </c:ser>
        <c:ser>
          <c:idx val="1"/>
          <c:order val="1"/>
          <c:tx>
            <c:strRef>
              <c:f>Sheet1!$C$1</c:f>
              <c:strCache>
                <c:ptCount val="1"/>
                <c:pt idx="0">
                  <c:v>West Bank</c:v>
                </c:pt>
              </c:strCache>
            </c:strRef>
          </c:tx>
          <c:spPr>
            <a:ln w="28568">
              <a:solidFill>
                <a:srgbClr val="C1504E"/>
              </a:solidFill>
            </a:ln>
          </c:spPr>
          <c:marker>
            <c:spPr>
              <a:solidFill>
                <a:srgbClr val="C1504E"/>
              </a:solidFill>
              <a:ln w="28568">
                <a:solidFill>
                  <a:srgbClr val="C1504E"/>
                </a:solidFill>
              </a:ln>
            </c:spPr>
          </c:marker>
          <c:cat>
            <c:numRef>
              <c:f>Sheet1!$A$8:$A$15</c:f>
              <c:numCache>
                <c:formatCode>General</c:formatCode>
                <c:ptCount val="8"/>
                <c:pt idx="0">
                  <c:v>2015</c:v>
                </c:pt>
                <c:pt idx="1">
                  <c:v>2016</c:v>
                </c:pt>
                <c:pt idx="2">
                  <c:v>2017</c:v>
                </c:pt>
                <c:pt idx="3">
                  <c:v>2018</c:v>
                </c:pt>
                <c:pt idx="4">
                  <c:v>2019</c:v>
                </c:pt>
                <c:pt idx="5">
                  <c:v>2020</c:v>
                </c:pt>
                <c:pt idx="6">
                  <c:v>2021</c:v>
                </c:pt>
                <c:pt idx="7">
                  <c:v>2022</c:v>
                </c:pt>
              </c:numCache>
            </c:numRef>
          </c:cat>
          <c:val>
            <c:numRef>
              <c:f>Sheet1!$C$8:$C$15</c:f>
              <c:numCache>
                <c:formatCode>0.0</c:formatCode>
                <c:ptCount val="8"/>
                <c:pt idx="0">
                  <c:v>70.099999999999994</c:v>
                </c:pt>
                <c:pt idx="1">
                  <c:v>70.2</c:v>
                </c:pt>
                <c:pt idx="2">
                  <c:v>71</c:v>
                </c:pt>
                <c:pt idx="3" formatCode="General">
                  <c:v>70.099999999999994</c:v>
                </c:pt>
                <c:pt idx="4">
                  <c:v>67.099999999999994</c:v>
                </c:pt>
                <c:pt idx="5" formatCode="General">
                  <c:v>63.6</c:v>
                </c:pt>
                <c:pt idx="6">
                  <c:v>65.099999999999994</c:v>
                </c:pt>
                <c:pt idx="7">
                  <c:v>64.900000000000006</c:v>
                </c:pt>
              </c:numCache>
            </c:numRef>
          </c:val>
          <c:smooth val="0"/>
          <c:extLst>
            <c:ext xmlns:c16="http://schemas.microsoft.com/office/drawing/2014/chart" uri="{C3380CC4-5D6E-409C-BE32-E72D297353CC}">
              <c16:uniqueId val="{00000001-58F2-47EA-80D1-32FB6A446D83}"/>
            </c:ext>
          </c:extLst>
        </c:ser>
        <c:ser>
          <c:idx val="0"/>
          <c:order val="2"/>
          <c:tx>
            <c:strRef>
              <c:f>Sheet1!$B$1</c:f>
              <c:strCache>
                <c:ptCount val="1"/>
                <c:pt idx="0">
                  <c:v>Palestine</c:v>
                </c:pt>
              </c:strCache>
            </c:strRef>
          </c:tx>
          <c:spPr>
            <a:ln w="28568">
              <a:solidFill>
                <a:srgbClr val="5B9BD5">
                  <a:lumMod val="20000"/>
                  <a:lumOff val="80000"/>
                </a:srgbClr>
              </a:solidFill>
            </a:ln>
          </c:spPr>
          <c:marker>
            <c:spPr>
              <a:solidFill>
                <a:srgbClr val="5B9BD5">
                  <a:lumMod val="20000"/>
                  <a:lumOff val="80000"/>
                </a:srgbClr>
              </a:solidFill>
              <a:ln w="28568">
                <a:solidFill>
                  <a:srgbClr val="5B9BD5">
                    <a:lumMod val="20000"/>
                    <a:lumOff val="80000"/>
                  </a:srgbClr>
                </a:solidFill>
              </a:ln>
            </c:spPr>
          </c:marker>
          <c:cat>
            <c:numRef>
              <c:f>Sheet1!$A$8:$A$15</c:f>
              <c:numCache>
                <c:formatCode>General</c:formatCode>
                <c:ptCount val="8"/>
                <c:pt idx="0">
                  <c:v>2015</c:v>
                </c:pt>
                <c:pt idx="1">
                  <c:v>2016</c:v>
                </c:pt>
                <c:pt idx="2">
                  <c:v>2017</c:v>
                </c:pt>
                <c:pt idx="3">
                  <c:v>2018</c:v>
                </c:pt>
                <c:pt idx="4">
                  <c:v>2019</c:v>
                </c:pt>
                <c:pt idx="5">
                  <c:v>2020</c:v>
                </c:pt>
                <c:pt idx="6">
                  <c:v>2021</c:v>
                </c:pt>
                <c:pt idx="7">
                  <c:v>2022</c:v>
                </c:pt>
              </c:numCache>
            </c:numRef>
          </c:cat>
          <c:val>
            <c:numRef>
              <c:f>Sheet1!$B$8:$B$15</c:f>
              <c:numCache>
                <c:formatCode>0.0</c:formatCode>
                <c:ptCount val="8"/>
                <c:pt idx="0">
                  <c:v>63.1</c:v>
                </c:pt>
                <c:pt idx="1">
                  <c:v>64.099999999999994</c:v>
                </c:pt>
                <c:pt idx="2">
                  <c:v>65.099999999999994</c:v>
                </c:pt>
                <c:pt idx="3">
                  <c:v>65</c:v>
                </c:pt>
                <c:pt idx="4">
                  <c:v>62.9</c:v>
                </c:pt>
                <c:pt idx="5" formatCode="General">
                  <c:v>59.8</c:v>
                </c:pt>
                <c:pt idx="6">
                  <c:v>61.7</c:v>
                </c:pt>
                <c:pt idx="7">
                  <c:v>63.1</c:v>
                </c:pt>
              </c:numCache>
            </c:numRef>
          </c:val>
          <c:smooth val="0"/>
          <c:extLst>
            <c:ext xmlns:c16="http://schemas.microsoft.com/office/drawing/2014/chart" uri="{C3380CC4-5D6E-409C-BE32-E72D297353CC}">
              <c16:uniqueId val="{00000002-58F2-47EA-80D1-32FB6A446D83}"/>
            </c:ext>
          </c:extLst>
        </c:ser>
        <c:dLbls>
          <c:showLegendKey val="0"/>
          <c:showVal val="0"/>
          <c:showCatName val="0"/>
          <c:showSerName val="0"/>
          <c:showPercent val="0"/>
          <c:showBubbleSize val="0"/>
        </c:dLbls>
        <c:marker val="1"/>
        <c:smooth val="0"/>
        <c:axId val="275424000"/>
        <c:axId val="275425920"/>
      </c:lineChart>
      <c:catAx>
        <c:axId val="27542400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75425920"/>
        <c:crosses val="autoZero"/>
        <c:auto val="1"/>
        <c:lblAlgn val="ctr"/>
        <c:lblOffset val="80"/>
        <c:tickLblSkip val="1"/>
        <c:noMultiLvlLbl val="0"/>
      </c:catAx>
      <c:valAx>
        <c:axId val="27542592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75424000"/>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786104181719448E-2"/>
          <c:y val="0.13850318441377621"/>
          <c:w val="0.88776512419355891"/>
          <c:h val="0.58963395704569188"/>
        </c:manualLayout>
      </c:layout>
      <c:lineChart>
        <c:grouping val="standard"/>
        <c:varyColors val="0"/>
        <c:ser>
          <c:idx val="1"/>
          <c:order val="0"/>
          <c:tx>
            <c:strRef>
              <c:f>Sheet1!$B$1</c:f>
              <c:strCache>
                <c:ptCount val="1"/>
                <c:pt idx="0">
                  <c:v>West Bank</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Sheet1!$A$1:$A$9</c:f>
              <c:strCache>
                <c:ptCount val="8"/>
                <c:pt idx="0">
                  <c:v>2015</c:v>
                </c:pt>
                <c:pt idx="1">
                  <c:v>2016</c:v>
                </c:pt>
                <c:pt idx="2">
                  <c:v>2017</c:v>
                </c:pt>
                <c:pt idx="3">
                  <c:v>2018</c:v>
                </c:pt>
                <c:pt idx="4">
                  <c:v>2019</c:v>
                </c:pt>
                <c:pt idx="5">
                  <c:v>2020</c:v>
                </c:pt>
                <c:pt idx="6">
                  <c:v>2021</c:v>
                </c:pt>
                <c:pt idx="7">
                  <c:v>2022</c:v>
                </c:pt>
              </c:strCache>
            </c:strRef>
          </c:cat>
          <c:val>
            <c:numRef>
              <c:f>Sheet1!$B$1:$B$9</c:f>
              <c:numCache>
                <c:formatCode>0.0</c:formatCode>
                <c:ptCount val="8"/>
                <c:pt idx="0">
                  <c:v>17.100000000000001</c:v>
                </c:pt>
                <c:pt idx="1">
                  <c:v>18</c:v>
                </c:pt>
                <c:pt idx="2">
                  <c:v>18.7</c:v>
                </c:pt>
                <c:pt idx="3">
                  <c:v>17.600000000000001</c:v>
                </c:pt>
                <c:pt idx="4">
                  <c:v>14.6</c:v>
                </c:pt>
                <c:pt idx="5">
                  <c:v>15.7</c:v>
                </c:pt>
                <c:pt idx="6">
                  <c:v>15.5</c:v>
                </c:pt>
                <c:pt idx="7">
                  <c:v>13.1</c:v>
                </c:pt>
              </c:numCache>
            </c:numRef>
          </c:val>
          <c:smooth val="0"/>
          <c:extLst>
            <c:ext xmlns:c16="http://schemas.microsoft.com/office/drawing/2014/chart" uri="{C3380CC4-5D6E-409C-BE32-E72D297353CC}">
              <c16:uniqueId val="{00000005-FD21-4622-9529-291762CD2CD8}"/>
            </c:ext>
          </c:extLst>
        </c:ser>
        <c:ser>
          <c:idx val="2"/>
          <c:order val="1"/>
          <c:tx>
            <c:strRef>
              <c:f>Sheet1!$C$1</c:f>
              <c:strCache>
                <c:ptCount val="1"/>
                <c:pt idx="0">
                  <c:v>Gaza Strip</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7"/>
                <c:pt idx="0">
                  <c:v>2016</c:v>
                </c:pt>
                <c:pt idx="1">
                  <c:v>2017</c:v>
                </c:pt>
                <c:pt idx="2">
                  <c:v>2018</c:v>
                </c:pt>
                <c:pt idx="3">
                  <c:v>2019</c:v>
                </c:pt>
                <c:pt idx="4">
                  <c:v>2020</c:v>
                </c:pt>
                <c:pt idx="5">
                  <c:v>2021</c:v>
                </c:pt>
                <c:pt idx="6">
                  <c:v>2022</c:v>
                </c:pt>
              </c:numCache>
            </c:numRef>
          </c:cat>
          <c:val>
            <c:numRef>
              <c:f>Sheet1!$C$1:$C$9</c:f>
              <c:numCache>
                <c:formatCode>0.0</c:formatCode>
                <c:ptCount val="8"/>
                <c:pt idx="0">
                  <c:v>41</c:v>
                </c:pt>
                <c:pt idx="1">
                  <c:v>41.8</c:v>
                </c:pt>
                <c:pt idx="2">
                  <c:v>44.4</c:v>
                </c:pt>
                <c:pt idx="3">
                  <c:v>52</c:v>
                </c:pt>
                <c:pt idx="4">
                  <c:v>45.1</c:v>
                </c:pt>
                <c:pt idx="5">
                  <c:v>46.6</c:v>
                </c:pt>
                <c:pt idx="6">
                  <c:v>46.9</c:v>
                </c:pt>
                <c:pt idx="7">
                  <c:v>45.3</c:v>
                </c:pt>
              </c:numCache>
            </c:numRef>
          </c:val>
          <c:smooth val="0"/>
          <c:extLst>
            <c:ext xmlns:c16="http://schemas.microsoft.com/office/drawing/2014/chart" uri="{C3380CC4-5D6E-409C-BE32-E72D297353CC}">
              <c16:uniqueId val="{00000006-FD21-4622-9529-291762CD2CD8}"/>
            </c:ext>
          </c:extLst>
        </c:ser>
        <c:dLbls>
          <c:dLblPos val="t"/>
          <c:showLegendKey val="0"/>
          <c:showVal val="1"/>
          <c:showCatName val="0"/>
          <c:showSerName val="0"/>
          <c:showPercent val="0"/>
          <c:showBubbleSize val="0"/>
        </c:dLbls>
        <c:marker val="1"/>
        <c:smooth val="0"/>
        <c:axId val="152649728"/>
        <c:axId val="152651648"/>
      </c:lineChart>
      <c:catAx>
        <c:axId val="15264972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52651648"/>
        <c:crosses val="autoZero"/>
        <c:auto val="1"/>
        <c:lblAlgn val="ctr"/>
        <c:lblOffset val="100"/>
        <c:noMultiLvlLbl val="0"/>
      </c:catAx>
      <c:valAx>
        <c:axId val="15265164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manualLayout>
              <c:xMode val="edge"/>
              <c:yMode val="edge"/>
              <c:x val="1.4012618099057891E-2"/>
              <c:y val="0.36115781301985417"/>
            </c:manualLayout>
          </c:layout>
          <c:overlay val="0"/>
        </c:title>
        <c:numFmt formatCode="0" sourceLinked="0"/>
        <c:majorTickMark val="out"/>
        <c:minorTickMark val="none"/>
        <c:tickLblPos val="nextTo"/>
        <c:txPr>
          <a:bodyPr/>
          <a:lstStyle/>
          <a:p>
            <a:pPr>
              <a:defRPr lang="en-GB"/>
            </a:pPr>
            <a:endParaRPr lang="ar-SA"/>
          </a:p>
        </c:txPr>
        <c:crossAx val="152649728"/>
        <c:crosses val="autoZero"/>
        <c:crossBetween val="between"/>
      </c:valAx>
    </c:plotArea>
    <c:legend>
      <c:legendPos val="t"/>
      <c:layout>
        <c:manualLayout>
          <c:xMode val="edge"/>
          <c:yMode val="edge"/>
          <c:x val="0.23873561934547091"/>
          <c:y val="3.5756853396901073E-2"/>
          <c:w val="0.35906268166830985"/>
          <c:h val="9.5020787776974841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252854812398092E-2"/>
          <c:y val="3.0837004405286472E-2"/>
          <c:w val="0.88417618270798948"/>
          <c:h val="0.75330396475770856"/>
        </c:manualLayout>
      </c:layout>
      <c:lineChart>
        <c:grouping val="standard"/>
        <c:varyColors val="0"/>
        <c:ser>
          <c:idx val="0"/>
          <c:order val="0"/>
          <c:tx>
            <c:strRef>
              <c:f>Sheet1!$B$1</c:f>
              <c:strCache>
                <c:ptCount val="1"/>
                <c:pt idx="0">
                  <c:v>Female</c:v>
                </c:pt>
              </c:strCache>
            </c:strRef>
          </c:tx>
          <c:spPr>
            <a:ln w="28567">
              <a:solidFill>
                <a:srgbClr val="4F81BD">
                  <a:lumMod val="20000"/>
                  <a:lumOff val="80000"/>
                </a:srgbClr>
              </a:solidFill>
            </a:ln>
          </c:spPr>
          <c:marker>
            <c:spPr>
              <a:solidFill>
                <a:srgbClr val="4E81BD"/>
              </a:solidFill>
              <a:ln w="28567">
                <a:solidFill>
                  <a:srgbClr val="4F81BD">
                    <a:lumMod val="20000"/>
                    <a:lumOff val="8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1-E8B8-4199-8CD5-DB8BEB5D91FD}"/>
                </c:ext>
              </c:extLst>
            </c:dLbl>
            <c:dLbl>
              <c:idx val="2"/>
              <c:delete val="1"/>
              <c:extLst>
                <c:ext xmlns:c15="http://schemas.microsoft.com/office/drawing/2012/chart" uri="{CE6537A1-D6FC-4f65-9D91-7224C49458BB}"/>
                <c:ext xmlns:c16="http://schemas.microsoft.com/office/drawing/2014/chart" uri="{C3380CC4-5D6E-409C-BE32-E72D297353CC}">
                  <c16:uniqueId val="{00000000-E8B8-4199-8CD5-DB8BEB5D91FD}"/>
                </c:ext>
              </c:extLst>
            </c:dLbl>
            <c:dLbl>
              <c:idx val="3"/>
              <c:delete val="1"/>
              <c:extLst>
                <c:ext xmlns:c15="http://schemas.microsoft.com/office/drawing/2012/chart" uri="{CE6537A1-D6FC-4f65-9D91-7224C49458BB}"/>
                <c:ext xmlns:c16="http://schemas.microsoft.com/office/drawing/2014/chart" uri="{C3380CC4-5D6E-409C-BE32-E72D297353CC}">
                  <c16:uniqueId val="{00000002-E8B8-4199-8CD5-DB8BEB5D91FD}"/>
                </c:ext>
              </c:extLst>
            </c:dLbl>
            <c:dLbl>
              <c:idx val="4"/>
              <c:delete val="1"/>
              <c:extLst>
                <c:ext xmlns:c15="http://schemas.microsoft.com/office/drawing/2012/chart" uri="{CE6537A1-D6FC-4f65-9D91-7224C49458BB}"/>
                <c:ext xmlns:c16="http://schemas.microsoft.com/office/drawing/2014/chart" uri="{C3380CC4-5D6E-409C-BE32-E72D297353CC}">
                  <c16:uniqueId val="{00000003-E8B8-4199-8CD5-DB8BEB5D91FD}"/>
                </c:ext>
              </c:extLst>
            </c:dLbl>
            <c:dLbl>
              <c:idx val="5"/>
              <c:delete val="1"/>
              <c:extLst>
                <c:ext xmlns:c15="http://schemas.microsoft.com/office/drawing/2012/chart" uri="{CE6537A1-D6FC-4f65-9D91-7224C49458BB}"/>
                <c:ext xmlns:c16="http://schemas.microsoft.com/office/drawing/2014/chart" uri="{C3380CC4-5D6E-409C-BE32-E72D297353CC}">
                  <c16:uniqueId val="{00000004-E8B8-4199-8CD5-DB8BEB5D91FD}"/>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Sheet1!$B$10:$B$17</c:f>
              <c:numCache>
                <c:formatCode>0.0</c:formatCode>
                <c:ptCount val="8"/>
                <c:pt idx="0">
                  <c:v>39.4</c:v>
                </c:pt>
                <c:pt idx="1">
                  <c:v>45</c:v>
                </c:pt>
                <c:pt idx="2">
                  <c:v>48.2</c:v>
                </c:pt>
                <c:pt idx="3" formatCode="General">
                  <c:v>51.2</c:v>
                </c:pt>
                <c:pt idx="4" formatCode="General">
                  <c:v>41.2</c:v>
                </c:pt>
                <c:pt idx="5" formatCode="General">
                  <c:v>40.1</c:v>
                </c:pt>
                <c:pt idx="6" formatCode="General">
                  <c:v>42.9</c:v>
                </c:pt>
                <c:pt idx="7" formatCode="General">
                  <c:v>40.4</c:v>
                </c:pt>
              </c:numCache>
            </c:numRef>
          </c:val>
          <c:smooth val="0"/>
          <c:extLst>
            <c:ext xmlns:c16="http://schemas.microsoft.com/office/drawing/2014/chart" uri="{C3380CC4-5D6E-409C-BE32-E72D297353CC}">
              <c16:uniqueId val="{00000000-D98D-4FA3-AB69-A79CAFB2F4B1}"/>
            </c:ext>
          </c:extLst>
        </c:ser>
        <c:ser>
          <c:idx val="1"/>
          <c:order val="1"/>
          <c:tx>
            <c:strRef>
              <c:f>Sheet1!$C$1</c:f>
              <c:strCache>
                <c:ptCount val="1"/>
                <c:pt idx="0">
                  <c:v>Male</c:v>
                </c:pt>
              </c:strCache>
            </c:strRef>
          </c:tx>
          <c:spPr>
            <a:ln w="28567">
              <a:solidFill>
                <a:srgbClr val="C1504E"/>
              </a:solidFill>
            </a:ln>
          </c:spPr>
          <c:marker>
            <c:spPr>
              <a:solidFill>
                <a:srgbClr val="C1504E"/>
              </a:solidFill>
              <a:ln w="28567">
                <a:solidFill>
                  <a:srgbClr val="C1504E"/>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9-E8B8-4199-8CD5-DB8BEB5D91FD}"/>
                </c:ext>
              </c:extLst>
            </c:dLbl>
            <c:dLbl>
              <c:idx val="2"/>
              <c:delete val="1"/>
              <c:extLst>
                <c:ext xmlns:c15="http://schemas.microsoft.com/office/drawing/2012/chart" uri="{CE6537A1-D6FC-4f65-9D91-7224C49458BB}"/>
                <c:ext xmlns:c16="http://schemas.microsoft.com/office/drawing/2014/chart" uri="{C3380CC4-5D6E-409C-BE32-E72D297353CC}">
                  <c16:uniqueId val="{00000008-E8B8-4199-8CD5-DB8BEB5D91FD}"/>
                </c:ext>
              </c:extLst>
            </c:dLbl>
            <c:dLbl>
              <c:idx val="3"/>
              <c:delete val="1"/>
              <c:extLst>
                <c:ext xmlns:c15="http://schemas.microsoft.com/office/drawing/2012/chart" uri="{CE6537A1-D6FC-4f65-9D91-7224C49458BB}"/>
                <c:ext xmlns:c16="http://schemas.microsoft.com/office/drawing/2014/chart" uri="{C3380CC4-5D6E-409C-BE32-E72D297353CC}">
                  <c16:uniqueId val="{00000007-E8B8-4199-8CD5-DB8BEB5D91FD}"/>
                </c:ext>
              </c:extLst>
            </c:dLbl>
            <c:dLbl>
              <c:idx val="4"/>
              <c:delete val="1"/>
              <c:extLst>
                <c:ext xmlns:c15="http://schemas.microsoft.com/office/drawing/2012/chart" uri="{CE6537A1-D6FC-4f65-9D91-7224C49458BB}"/>
                <c:ext xmlns:c16="http://schemas.microsoft.com/office/drawing/2014/chart" uri="{C3380CC4-5D6E-409C-BE32-E72D297353CC}">
                  <c16:uniqueId val="{00000006-E8B8-4199-8CD5-DB8BEB5D91FD}"/>
                </c:ext>
              </c:extLst>
            </c:dLbl>
            <c:dLbl>
              <c:idx val="5"/>
              <c:delete val="1"/>
              <c:extLst>
                <c:ext xmlns:c15="http://schemas.microsoft.com/office/drawing/2012/chart" uri="{CE6537A1-D6FC-4f65-9D91-7224C49458BB}"/>
                <c:ext xmlns:c16="http://schemas.microsoft.com/office/drawing/2014/chart" uri="{C3380CC4-5D6E-409C-BE32-E72D297353CC}">
                  <c16:uniqueId val="{00000005-E8B8-4199-8CD5-DB8BEB5D91FD}"/>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Sheet1!$C$10:$C$17</c:f>
              <c:numCache>
                <c:formatCode>0.0</c:formatCode>
                <c:ptCount val="8"/>
                <c:pt idx="0">
                  <c:v>22.5</c:v>
                </c:pt>
                <c:pt idx="1">
                  <c:v>22.3</c:v>
                </c:pt>
                <c:pt idx="2">
                  <c:v>23.2</c:v>
                </c:pt>
                <c:pt idx="3">
                  <c:v>25</c:v>
                </c:pt>
                <c:pt idx="4" formatCode="General">
                  <c:v>21.3</c:v>
                </c:pt>
                <c:pt idx="5" formatCode="General">
                  <c:v>22.5</c:v>
                </c:pt>
                <c:pt idx="6" formatCode="General">
                  <c:v>22.4</c:v>
                </c:pt>
                <c:pt idx="7" formatCode="General">
                  <c:v>20.3</c:v>
                </c:pt>
              </c:numCache>
            </c:numRef>
          </c:val>
          <c:smooth val="0"/>
          <c:extLst>
            <c:ext xmlns:c16="http://schemas.microsoft.com/office/drawing/2014/chart" uri="{C3380CC4-5D6E-409C-BE32-E72D297353CC}">
              <c16:uniqueId val="{00000001-D98D-4FA3-AB69-A79CAFB2F4B1}"/>
            </c:ext>
          </c:extLst>
        </c:ser>
        <c:dLbls>
          <c:showLegendKey val="0"/>
          <c:showVal val="0"/>
          <c:showCatName val="0"/>
          <c:showSerName val="0"/>
          <c:showPercent val="0"/>
          <c:showBubbleSize val="0"/>
        </c:dLbls>
        <c:marker val="1"/>
        <c:smooth val="0"/>
        <c:axId val="152760320"/>
        <c:axId val="152762240"/>
      </c:lineChart>
      <c:catAx>
        <c:axId val="15276032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0" vert="horz"/>
          <a:lstStyle/>
          <a:p>
            <a:pPr>
              <a:defRPr lang="en-GB"/>
            </a:pPr>
            <a:endParaRPr lang="ar-SA"/>
          </a:p>
        </c:txPr>
        <c:crossAx val="152762240"/>
        <c:crosses val="autoZero"/>
        <c:auto val="1"/>
        <c:lblAlgn val="ctr"/>
        <c:lblOffset val="100"/>
        <c:noMultiLvlLbl val="0"/>
      </c:catAx>
      <c:valAx>
        <c:axId val="15276224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52760320"/>
        <c:crosses val="autoZero"/>
        <c:crossBetween val="between"/>
      </c:valAx>
    </c:plotArea>
    <c:legend>
      <c:legendPos val="t"/>
      <c:layout>
        <c:manualLayout>
          <c:xMode val="edge"/>
          <c:yMode val="edge"/>
          <c:x val="0.68090317261889322"/>
          <c:y val="1.6872890888638921E-2"/>
          <c:w val="0.25054762384441831"/>
          <c:h val="8.9704879409758867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solidFill>
      <a:schemeClr val="bg1"/>
    </a:solid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317768581633744E-2"/>
          <c:y val="0.13962473440819897"/>
          <c:w val="0.88624421855498736"/>
          <c:h val="0.64286045494313571"/>
        </c:manualLayout>
      </c:layout>
      <c:lineChart>
        <c:grouping val="standard"/>
        <c:varyColors val="0"/>
        <c:ser>
          <c:idx val="0"/>
          <c:order val="0"/>
          <c:tx>
            <c:strRef>
              <c:f>Sheet1!$B$1</c:f>
              <c:strCache>
                <c:ptCount val="1"/>
                <c:pt idx="0">
                  <c:v>West Bank</c:v>
                </c:pt>
              </c:strCache>
            </c:strRef>
          </c:tx>
          <c:spPr>
            <a:ln w="28569">
              <a:solidFill>
                <a:srgbClr val="4F81BD">
                  <a:lumMod val="60000"/>
                  <a:lumOff val="40000"/>
                </a:srgbClr>
              </a:solidFill>
            </a:ln>
          </c:spPr>
          <c:marker>
            <c:spPr>
              <a:solidFill>
                <a:srgbClr val="4E81BD"/>
              </a:solidFill>
              <a:ln w="28569">
                <a:solidFill>
                  <a:srgbClr val="4F81BD">
                    <a:lumMod val="60000"/>
                    <a:lumOff val="4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D128-4FF4-9939-E7E4128849F0}"/>
                </c:ext>
              </c:extLst>
            </c:dLbl>
            <c:dLbl>
              <c:idx val="2"/>
              <c:delete val="1"/>
              <c:extLst>
                <c:ext xmlns:c15="http://schemas.microsoft.com/office/drawing/2012/chart" uri="{CE6537A1-D6FC-4f65-9D91-7224C49458BB}"/>
                <c:ext xmlns:c16="http://schemas.microsoft.com/office/drawing/2014/chart" uri="{C3380CC4-5D6E-409C-BE32-E72D297353CC}">
                  <c16:uniqueId val="{00000001-D128-4FF4-9939-E7E4128849F0}"/>
                </c:ext>
              </c:extLst>
            </c:dLbl>
            <c:dLbl>
              <c:idx val="3"/>
              <c:delete val="1"/>
              <c:extLst>
                <c:ext xmlns:c15="http://schemas.microsoft.com/office/drawing/2012/chart" uri="{CE6537A1-D6FC-4f65-9D91-7224C49458BB}"/>
                <c:ext xmlns:c16="http://schemas.microsoft.com/office/drawing/2014/chart" uri="{C3380CC4-5D6E-409C-BE32-E72D297353CC}">
                  <c16:uniqueId val="{00000002-D128-4FF4-9939-E7E4128849F0}"/>
                </c:ext>
              </c:extLst>
            </c:dLbl>
            <c:dLbl>
              <c:idx val="4"/>
              <c:delete val="1"/>
              <c:extLst>
                <c:ext xmlns:c15="http://schemas.microsoft.com/office/drawing/2012/chart" uri="{CE6537A1-D6FC-4f65-9D91-7224C49458BB}"/>
                <c:ext xmlns:c16="http://schemas.microsoft.com/office/drawing/2014/chart" uri="{C3380CC4-5D6E-409C-BE32-E72D297353CC}">
                  <c16:uniqueId val="{00000003-D128-4FF4-9939-E7E4128849F0}"/>
                </c:ext>
              </c:extLst>
            </c:dLbl>
            <c:dLbl>
              <c:idx val="5"/>
              <c:delete val="1"/>
              <c:extLst>
                <c:ext xmlns:c15="http://schemas.microsoft.com/office/drawing/2012/chart" uri="{CE6537A1-D6FC-4f65-9D91-7224C49458BB}"/>
                <c:ext xmlns:c16="http://schemas.microsoft.com/office/drawing/2014/chart" uri="{C3380CC4-5D6E-409C-BE32-E72D297353CC}">
                  <c16:uniqueId val="{00000004-D128-4FF4-9939-E7E4128849F0}"/>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Sheet1!$B$10:$B$17</c:f>
              <c:numCache>
                <c:formatCode>_-* #,##0.0_-;_-* #,##0.0\-;_-* "-"??_-;_-@_-</c:formatCode>
                <c:ptCount val="8"/>
                <c:pt idx="0">
                  <c:v>5.6</c:v>
                </c:pt>
                <c:pt idx="1">
                  <c:v>5.2</c:v>
                </c:pt>
                <c:pt idx="2">
                  <c:v>4.5999999999999996</c:v>
                </c:pt>
                <c:pt idx="3" formatCode="0.0">
                  <c:v>4</c:v>
                </c:pt>
                <c:pt idx="4" formatCode="General">
                  <c:v>4.3</c:v>
                </c:pt>
                <c:pt idx="5" formatCode="General">
                  <c:v>2.9</c:v>
                </c:pt>
                <c:pt idx="6" formatCode="General">
                  <c:v>3.8</c:v>
                </c:pt>
                <c:pt idx="7" formatCode="General">
                  <c:v>4.5999999999999996</c:v>
                </c:pt>
              </c:numCache>
            </c:numRef>
          </c:val>
          <c:smooth val="0"/>
          <c:extLst>
            <c:ext xmlns:c16="http://schemas.microsoft.com/office/drawing/2014/chart" uri="{C3380CC4-5D6E-409C-BE32-E72D297353CC}">
              <c16:uniqueId val="{00000000-CDCD-443B-904B-B1C108074FFE}"/>
            </c:ext>
          </c:extLst>
        </c:ser>
        <c:ser>
          <c:idx val="1"/>
          <c:order val="1"/>
          <c:tx>
            <c:strRef>
              <c:f>Sheet1!$C$1</c:f>
              <c:strCache>
                <c:ptCount val="1"/>
                <c:pt idx="0">
                  <c:v>Gaza Strip</c:v>
                </c:pt>
              </c:strCache>
            </c:strRef>
          </c:tx>
          <c:spPr>
            <a:ln w="28569">
              <a:solidFill>
                <a:srgbClr val="C1504E"/>
              </a:solidFill>
            </a:ln>
          </c:spPr>
          <c:marker>
            <c:spPr>
              <a:solidFill>
                <a:srgbClr val="C1504E"/>
              </a:solidFill>
              <a:ln w="28569">
                <a:solidFill>
                  <a:srgbClr val="C1504E"/>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9-D128-4FF4-9939-E7E4128849F0}"/>
                </c:ext>
              </c:extLst>
            </c:dLbl>
            <c:dLbl>
              <c:idx val="2"/>
              <c:delete val="1"/>
              <c:extLst>
                <c:ext xmlns:c15="http://schemas.microsoft.com/office/drawing/2012/chart" uri="{CE6537A1-D6FC-4f65-9D91-7224C49458BB}"/>
                <c:ext xmlns:c16="http://schemas.microsoft.com/office/drawing/2014/chart" uri="{C3380CC4-5D6E-409C-BE32-E72D297353CC}">
                  <c16:uniqueId val="{00000008-D128-4FF4-9939-E7E4128849F0}"/>
                </c:ext>
              </c:extLst>
            </c:dLbl>
            <c:dLbl>
              <c:idx val="3"/>
              <c:delete val="1"/>
              <c:extLst>
                <c:ext xmlns:c15="http://schemas.microsoft.com/office/drawing/2012/chart" uri="{CE6537A1-D6FC-4f65-9D91-7224C49458BB}"/>
                <c:ext xmlns:c16="http://schemas.microsoft.com/office/drawing/2014/chart" uri="{C3380CC4-5D6E-409C-BE32-E72D297353CC}">
                  <c16:uniqueId val="{00000007-D128-4FF4-9939-E7E4128849F0}"/>
                </c:ext>
              </c:extLst>
            </c:dLbl>
            <c:dLbl>
              <c:idx val="4"/>
              <c:delete val="1"/>
              <c:extLst>
                <c:ext xmlns:c15="http://schemas.microsoft.com/office/drawing/2012/chart" uri="{CE6537A1-D6FC-4f65-9D91-7224C49458BB}"/>
                <c:ext xmlns:c16="http://schemas.microsoft.com/office/drawing/2014/chart" uri="{C3380CC4-5D6E-409C-BE32-E72D297353CC}">
                  <c16:uniqueId val="{00000006-D128-4FF4-9939-E7E4128849F0}"/>
                </c:ext>
              </c:extLst>
            </c:dLbl>
            <c:dLbl>
              <c:idx val="5"/>
              <c:delete val="1"/>
              <c:extLst>
                <c:ext xmlns:c15="http://schemas.microsoft.com/office/drawing/2012/chart" uri="{CE6537A1-D6FC-4f65-9D91-7224C49458BB}"/>
                <c:ext xmlns:c16="http://schemas.microsoft.com/office/drawing/2014/chart" uri="{C3380CC4-5D6E-409C-BE32-E72D297353CC}">
                  <c16:uniqueId val="{00000005-D128-4FF4-9939-E7E4128849F0}"/>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Sheet1!$C$10:$C$17</c:f>
              <c:numCache>
                <c:formatCode>_-* #,##0.0_-;_-* #,##0.0\-;_-* "-"??_-;_-@_-</c:formatCode>
                <c:ptCount val="8"/>
                <c:pt idx="0">
                  <c:v>2.8</c:v>
                </c:pt>
                <c:pt idx="1">
                  <c:v>1.9</c:v>
                </c:pt>
                <c:pt idx="2">
                  <c:v>1.7</c:v>
                </c:pt>
                <c:pt idx="3" formatCode="0.0">
                  <c:v>1.3</c:v>
                </c:pt>
                <c:pt idx="4" formatCode="General">
                  <c:v>1.3</c:v>
                </c:pt>
                <c:pt idx="5" formatCode="General">
                  <c:v>0.6</c:v>
                </c:pt>
                <c:pt idx="6" formatCode="General">
                  <c:v>0.9</c:v>
                </c:pt>
                <c:pt idx="7" formatCode="General">
                  <c:v>1.2</c:v>
                </c:pt>
              </c:numCache>
            </c:numRef>
          </c:val>
          <c:smooth val="0"/>
          <c:extLst>
            <c:ext xmlns:c16="http://schemas.microsoft.com/office/drawing/2014/chart" uri="{C3380CC4-5D6E-409C-BE32-E72D297353CC}">
              <c16:uniqueId val="{00000001-CDCD-443B-904B-B1C108074FFE}"/>
            </c:ext>
          </c:extLst>
        </c:ser>
        <c:dLbls>
          <c:showLegendKey val="0"/>
          <c:showVal val="0"/>
          <c:showCatName val="0"/>
          <c:showSerName val="0"/>
          <c:showPercent val="0"/>
          <c:showBubbleSize val="0"/>
        </c:dLbls>
        <c:marker val="1"/>
        <c:smooth val="0"/>
        <c:axId val="152858624"/>
        <c:axId val="152860544"/>
      </c:lineChart>
      <c:catAx>
        <c:axId val="1528586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0" vert="horz"/>
          <a:lstStyle/>
          <a:p>
            <a:pPr>
              <a:defRPr lang="en-GB"/>
            </a:pPr>
            <a:endParaRPr lang="ar-SA"/>
          </a:p>
        </c:txPr>
        <c:crossAx val="152860544"/>
        <c:crosses val="autoZero"/>
        <c:auto val="1"/>
        <c:lblAlgn val="ctr"/>
        <c:lblOffset val="100"/>
        <c:tickLblSkip val="1"/>
        <c:noMultiLvlLbl val="0"/>
      </c:catAx>
      <c:valAx>
        <c:axId val="15286054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0"/>
        <c:majorTickMark val="out"/>
        <c:minorTickMark val="none"/>
        <c:tickLblPos val="nextTo"/>
        <c:txPr>
          <a:bodyPr/>
          <a:lstStyle/>
          <a:p>
            <a:pPr>
              <a:defRPr lang="en-GB"/>
            </a:pPr>
            <a:endParaRPr lang="ar-SA"/>
          </a:p>
        </c:txPr>
        <c:crossAx val="152858624"/>
        <c:crosses val="autoZero"/>
        <c:crossBetween val="between"/>
      </c:valAx>
    </c:plotArea>
    <c:legend>
      <c:legendPos val="t"/>
      <c:layout>
        <c:manualLayout>
          <c:xMode val="edge"/>
          <c:yMode val="edge"/>
          <c:x val="0.5874770925145526"/>
          <c:y val="3.51123595505618E-2"/>
          <c:w val="0.36466717309355751"/>
          <c:h val="0.1120051092630275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29607474721814"/>
          <c:y val="0.15502010524546503"/>
          <c:w val="0.85771712318767768"/>
          <c:h val="0.63458153937654349"/>
        </c:manualLayout>
      </c:layout>
      <c:lineChart>
        <c:grouping val="standard"/>
        <c:varyColors val="0"/>
        <c:ser>
          <c:idx val="0"/>
          <c:order val="0"/>
          <c:tx>
            <c:strRef>
              <c:f>Sheet1!$B$1</c:f>
              <c:strCache>
                <c:ptCount val="1"/>
                <c:pt idx="0">
                  <c:v>Column2</c:v>
                </c:pt>
              </c:strCache>
            </c:strRef>
          </c:tx>
          <c:spPr>
            <a:ln w="28575">
              <a:solidFill>
                <a:srgbClr val="70AD47">
                  <a:lumMod val="75000"/>
                </a:srgbClr>
              </a:solidFill>
            </a:ln>
          </c:spPr>
          <c:marker>
            <c:spPr>
              <a:solidFill>
                <a:srgbClr val="C1504E"/>
              </a:solidFill>
              <a:ln w="28558">
                <a:solidFill>
                  <a:srgbClr val="EC6B2F"/>
                </a:solidFill>
              </a:ln>
            </c:spPr>
          </c:marker>
          <c:dPt>
            <c:idx val="0"/>
            <c:marker>
              <c:spPr>
                <a:solidFill>
                  <a:srgbClr val="C1504E"/>
                </a:solidFill>
                <a:ln w="28558">
                  <a:solidFill>
                    <a:srgbClr val="C1504E"/>
                  </a:solidFill>
                </a:ln>
              </c:spPr>
            </c:marker>
            <c:bubble3D val="0"/>
            <c:spPr>
              <a:ln w="28575">
                <a:solidFill>
                  <a:srgbClr val="C1504E"/>
                </a:solidFill>
              </a:ln>
            </c:spPr>
            <c:extLst>
              <c:ext xmlns:c16="http://schemas.microsoft.com/office/drawing/2014/chart" uri="{C3380CC4-5D6E-409C-BE32-E72D297353CC}">
                <c16:uniqueId val="{00000004-EF7B-4D65-A248-6CD94E39D786}"/>
              </c:ext>
            </c:extLst>
          </c:dPt>
          <c:dPt>
            <c:idx val="1"/>
            <c:marker>
              <c:spPr>
                <a:solidFill>
                  <a:srgbClr val="C1504E"/>
                </a:solidFill>
                <a:ln w="28558">
                  <a:solidFill>
                    <a:srgbClr val="C1504E"/>
                  </a:solidFill>
                </a:ln>
              </c:spPr>
            </c:marker>
            <c:bubble3D val="0"/>
            <c:spPr>
              <a:ln w="28575">
                <a:solidFill>
                  <a:srgbClr val="C1504E"/>
                </a:solidFill>
              </a:ln>
            </c:spPr>
            <c:extLst>
              <c:ext xmlns:c16="http://schemas.microsoft.com/office/drawing/2014/chart" uri="{C3380CC4-5D6E-409C-BE32-E72D297353CC}">
                <c16:uniqueId val="{00000003-EF7B-4D65-A248-6CD94E39D786}"/>
              </c:ext>
            </c:extLst>
          </c:dPt>
          <c:dPt>
            <c:idx val="2"/>
            <c:marker>
              <c:spPr>
                <a:solidFill>
                  <a:srgbClr val="C1504E"/>
                </a:solidFill>
                <a:ln w="28558">
                  <a:solidFill>
                    <a:srgbClr val="C1504E"/>
                  </a:solidFill>
                </a:ln>
              </c:spPr>
            </c:marker>
            <c:bubble3D val="0"/>
            <c:spPr>
              <a:ln w="28575">
                <a:solidFill>
                  <a:srgbClr val="C1504E"/>
                </a:solidFill>
              </a:ln>
            </c:spPr>
            <c:extLst>
              <c:ext xmlns:c16="http://schemas.microsoft.com/office/drawing/2014/chart" uri="{C3380CC4-5D6E-409C-BE32-E72D297353CC}">
                <c16:uniqueId val="{00000002-EF7B-4D65-A248-6CD94E39D786}"/>
              </c:ext>
            </c:extLst>
          </c:dPt>
          <c:dPt>
            <c:idx val="3"/>
            <c:marker>
              <c:spPr>
                <a:solidFill>
                  <a:srgbClr val="C1504E"/>
                </a:solidFill>
                <a:ln w="28558">
                  <a:solidFill>
                    <a:srgbClr val="C1504E"/>
                  </a:solidFill>
                </a:ln>
              </c:spPr>
            </c:marker>
            <c:bubble3D val="0"/>
            <c:spPr>
              <a:ln w="28575">
                <a:solidFill>
                  <a:srgbClr val="C1504E"/>
                </a:solidFill>
              </a:ln>
            </c:spPr>
            <c:extLst>
              <c:ext xmlns:c16="http://schemas.microsoft.com/office/drawing/2014/chart" uri="{C3380CC4-5D6E-409C-BE32-E72D297353CC}">
                <c16:uniqueId val="{00000000-EF7B-4D65-A248-6CD94E39D786}"/>
              </c:ext>
            </c:extLst>
          </c:dPt>
          <c:dPt>
            <c:idx val="4"/>
            <c:marker>
              <c:spPr>
                <a:solidFill>
                  <a:srgbClr val="C1504E"/>
                </a:solidFill>
                <a:ln w="28558">
                  <a:solidFill>
                    <a:srgbClr val="C1504E"/>
                  </a:solidFill>
                </a:ln>
              </c:spPr>
            </c:marker>
            <c:bubble3D val="0"/>
            <c:spPr>
              <a:ln w="28575">
                <a:solidFill>
                  <a:srgbClr val="C1504E"/>
                </a:solidFill>
              </a:ln>
            </c:spPr>
            <c:extLst>
              <c:ext xmlns:c16="http://schemas.microsoft.com/office/drawing/2014/chart" uri="{C3380CC4-5D6E-409C-BE32-E72D297353CC}">
                <c16:uniqueId val="{00000001-EF7B-4D65-A248-6CD94E39D786}"/>
              </c:ext>
            </c:extLst>
          </c:dPt>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2016</c:v>
                </c:pt>
                <c:pt idx="1">
                  <c:v>2017</c:v>
                </c:pt>
                <c:pt idx="2">
                  <c:v>2018</c:v>
                </c:pt>
                <c:pt idx="3">
                  <c:v>2019</c:v>
                </c:pt>
                <c:pt idx="4">
                  <c:v>2021</c:v>
                </c:pt>
              </c:numCache>
            </c:numRef>
          </c:cat>
          <c:val>
            <c:numRef>
              <c:f>Sheet1!$B$2:$B$6</c:f>
              <c:numCache>
                <c:formatCode>0.0</c:formatCode>
                <c:ptCount val="5"/>
                <c:pt idx="0">
                  <c:v>2.2000000000000002</c:v>
                </c:pt>
                <c:pt idx="1">
                  <c:v>2.6</c:v>
                </c:pt>
                <c:pt idx="2">
                  <c:v>2.5</c:v>
                </c:pt>
                <c:pt idx="3">
                  <c:v>2.9</c:v>
                </c:pt>
                <c:pt idx="4">
                  <c:v>0.7</c:v>
                </c:pt>
              </c:numCache>
            </c:numRef>
          </c:val>
          <c:smooth val="0"/>
          <c:extLst>
            <c:ext xmlns:c16="http://schemas.microsoft.com/office/drawing/2014/chart" uri="{C3380CC4-5D6E-409C-BE32-E72D297353CC}">
              <c16:uniqueId val="{00000000-2DCF-41C9-B84C-E02F6096E965}"/>
            </c:ext>
          </c:extLst>
        </c:ser>
        <c:dLbls>
          <c:showLegendKey val="0"/>
          <c:showVal val="0"/>
          <c:showCatName val="0"/>
          <c:showSerName val="0"/>
          <c:showPercent val="0"/>
          <c:showBubbleSize val="0"/>
        </c:dLbls>
        <c:marker val="1"/>
        <c:smooth val="0"/>
        <c:axId val="152742144"/>
        <c:axId val="152916352"/>
      </c:lineChart>
      <c:catAx>
        <c:axId val="15274214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sz="1000"/>
                  <a:t>Year</a:t>
                </a:r>
                <a:endParaRPr lang="ar-JO"/>
              </a:p>
            </c:rich>
          </c:tx>
          <c:layout>
            <c:manualLayout>
              <c:xMode val="edge"/>
              <c:yMode val="edge"/>
              <c:x val="0.50907542217600166"/>
              <c:y val="0.9162533097459733"/>
            </c:manualLayout>
          </c:layout>
          <c:overlay val="0"/>
        </c:title>
        <c:numFmt formatCode="General" sourceLinked="1"/>
        <c:majorTickMark val="out"/>
        <c:minorTickMark val="none"/>
        <c:tickLblPos val="nextTo"/>
        <c:txPr>
          <a:bodyPr rot="0" vert="horz"/>
          <a:lstStyle/>
          <a:p>
            <a:pPr>
              <a:defRPr lang="en-GB"/>
            </a:pPr>
            <a:endParaRPr lang="ar-SA"/>
          </a:p>
        </c:txPr>
        <c:crossAx val="152916352"/>
        <c:crosses val="autoZero"/>
        <c:auto val="1"/>
        <c:lblAlgn val="ctr"/>
        <c:lblOffset val="100"/>
        <c:noMultiLvlLbl val="0"/>
      </c:catAx>
      <c:valAx>
        <c:axId val="152916352"/>
        <c:scaling>
          <c:orientation val="minMax"/>
          <c:max val="3.5"/>
          <c:min val="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endParaRPr lang="ar-JO"/>
              </a:p>
            </c:rich>
          </c:tx>
          <c:layout>
            <c:manualLayout>
              <c:xMode val="edge"/>
              <c:yMode val="edge"/>
              <c:x val="1.4797575417447969E-2"/>
              <c:y val="0.36369096043089405"/>
            </c:manualLayout>
          </c:layout>
          <c:overlay val="0"/>
        </c:title>
        <c:numFmt formatCode="0.0" sourceLinked="1"/>
        <c:majorTickMark val="out"/>
        <c:minorTickMark val="none"/>
        <c:tickLblPos val="nextTo"/>
        <c:txPr>
          <a:bodyPr/>
          <a:lstStyle/>
          <a:p>
            <a:pPr>
              <a:defRPr lang="en-GB"/>
            </a:pPr>
            <a:endParaRPr lang="ar-SA"/>
          </a:p>
        </c:txPr>
        <c:crossAx val="152742144"/>
        <c:crosses val="autoZero"/>
        <c:crossBetween val="between"/>
        <c:majorUnit val="0.5"/>
      </c:valAx>
      <c:spPr>
        <a:ln>
          <a:noFill/>
        </a:ln>
      </c:spPr>
    </c:plotArea>
    <c:plotVisOnly val="1"/>
    <c:dispBlanksAs val="gap"/>
    <c:showDLblsOverMax val="0"/>
  </c:chart>
  <c:spPr>
    <a:ln>
      <a:solidFill>
        <a:sysClr val="windowText" lastClr="000000"/>
      </a:solid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Number of commercial bank branches(ATMs) per 100,000 adults</c:v>
                </c:pt>
              </c:strCache>
            </c:strRef>
          </c:tx>
          <c:spPr>
            <a:solidFill>
              <a:srgbClr val="852C38"/>
            </a:solidFill>
            <a:ln>
              <a:solidFill>
                <a:srgbClr val="852C38"/>
              </a:solidFill>
            </a:ln>
          </c:spPr>
          <c:invertIfNegative val="0"/>
          <c:dPt>
            <c:idx val="0"/>
            <c:invertIfNegative val="0"/>
            <c:bubble3D val="0"/>
            <c:spPr>
              <a:solidFill>
                <a:srgbClr val="852C38"/>
              </a:solidFill>
              <a:ln>
                <a:solidFill>
                  <a:srgbClr val="852C38"/>
                </a:solidFill>
              </a:ln>
            </c:spPr>
            <c:extLst>
              <c:ext xmlns:c16="http://schemas.microsoft.com/office/drawing/2014/chart" uri="{C3380CC4-5D6E-409C-BE32-E72D297353CC}">
                <c16:uniqueId val="{00000001-EB79-4C4D-8146-83186DFDE808}"/>
              </c:ext>
            </c:extLst>
          </c:dPt>
          <c:dLbls>
            <c:spPr>
              <a:noFill/>
              <a:ln w="25377">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Sheet1!$A$11:$A$17</c:f>
              <c:numCache>
                <c:formatCode>General</c:formatCode>
                <c:ptCount val="7"/>
                <c:pt idx="0">
                  <c:v>2015</c:v>
                </c:pt>
                <c:pt idx="1">
                  <c:v>2016</c:v>
                </c:pt>
                <c:pt idx="2">
                  <c:v>2017</c:v>
                </c:pt>
                <c:pt idx="3">
                  <c:v>2018</c:v>
                </c:pt>
                <c:pt idx="4">
                  <c:v>2019</c:v>
                </c:pt>
                <c:pt idx="5">
                  <c:v>2020</c:v>
                </c:pt>
                <c:pt idx="6">
                  <c:v>2021</c:v>
                </c:pt>
              </c:numCache>
            </c:numRef>
          </c:cat>
          <c:val>
            <c:numRef>
              <c:f>Sheet1!$B$11:$B$17</c:f>
              <c:numCache>
                <c:formatCode>0.0</c:formatCode>
                <c:ptCount val="7"/>
                <c:pt idx="0">
                  <c:v>11</c:v>
                </c:pt>
                <c:pt idx="1">
                  <c:v>11.8</c:v>
                </c:pt>
                <c:pt idx="2">
                  <c:v>12.4</c:v>
                </c:pt>
                <c:pt idx="3">
                  <c:v>12.950000000000006</c:v>
                </c:pt>
                <c:pt idx="4">
                  <c:v>12.9</c:v>
                </c:pt>
                <c:pt idx="5">
                  <c:v>13</c:v>
                </c:pt>
                <c:pt idx="6">
                  <c:v>13</c:v>
                </c:pt>
              </c:numCache>
            </c:numRef>
          </c:val>
          <c:extLst>
            <c:ext xmlns:c16="http://schemas.microsoft.com/office/drawing/2014/chart" uri="{C3380CC4-5D6E-409C-BE32-E72D297353CC}">
              <c16:uniqueId val="{00000002-EB79-4C4D-8146-83186DFDE808}"/>
            </c:ext>
          </c:extLst>
        </c:ser>
        <c:dLbls>
          <c:showLegendKey val="0"/>
          <c:showVal val="0"/>
          <c:showCatName val="0"/>
          <c:showSerName val="0"/>
          <c:showPercent val="0"/>
          <c:showBubbleSize val="0"/>
        </c:dLbls>
        <c:gapWidth val="150"/>
        <c:axId val="144868480"/>
        <c:axId val="144870400"/>
      </c:barChart>
      <c:catAx>
        <c:axId val="14486848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0" vert="horz"/>
          <a:lstStyle/>
          <a:p>
            <a:pPr>
              <a:defRPr lang="en-GB"/>
            </a:pPr>
            <a:endParaRPr lang="ar-SA"/>
          </a:p>
        </c:txPr>
        <c:crossAx val="144870400"/>
        <c:crosses val="autoZero"/>
        <c:auto val="1"/>
        <c:lblAlgn val="ctr"/>
        <c:lblOffset val="100"/>
        <c:noMultiLvlLbl val="0"/>
      </c:catAx>
      <c:valAx>
        <c:axId val="14487040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 100,000 Adults</a:t>
                </a:r>
              </a:p>
            </c:rich>
          </c:tx>
          <c:overlay val="0"/>
        </c:title>
        <c:numFmt formatCode="0" sourceLinked="0"/>
        <c:majorTickMark val="out"/>
        <c:minorTickMark val="none"/>
        <c:tickLblPos val="nextTo"/>
        <c:txPr>
          <a:bodyPr/>
          <a:lstStyle/>
          <a:p>
            <a:pPr>
              <a:defRPr lang="en-GB"/>
            </a:pPr>
            <a:endParaRPr lang="ar-SA"/>
          </a:p>
        </c:txPr>
        <c:crossAx val="144868480"/>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29607474721814"/>
          <c:y val="0.15502010524546503"/>
          <c:w val="0.85771712318767768"/>
          <c:h val="0.63458153937654349"/>
        </c:manualLayout>
      </c:layout>
      <c:lineChart>
        <c:grouping val="standard"/>
        <c:varyColors val="0"/>
        <c:ser>
          <c:idx val="0"/>
          <c:order val="0"/>
          <c:tx>
            <c:strRef>
              <c:f>Sheet1!$B$1</c:f>
              <c:strCache>
                <c:ptCount val="1"/>
                <c:pt idx="0">
                  <c:v>Column2</c:v>
                </c:pt>
              </c:strCache>
            </c:strRef>
          </c:tx>
          <c:spPr>
            <a:ln w="28575">
              <a:solidFill>
                <a:srgbClr val="C1504E"/>
              </a:solidFill>
            </a:ln>
          </c:spPr>
          <c:marker>
            <c:spPr>
              <a:solidFill>
                <a:srgbClr val="C1504E"/>
              </a:solidFill>
              <a:ln w="28558">
                <a:solidFill>
                  <a:srgbClr val="C1504E"/>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0</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158.56460999999999</c:v>
                </c:pt>
                <c:pt idx="1">
                  <c:v>155.53836999999999</c:v>
                </c:pt>
                <c:pt idx="2">
                  <c:v>135.56506999999999</c:v>
                </c:pt>
                <c:pt idx="3">
                  <c:v>139.26997</c:v>
                </c:pt>
                <c:pt idx="4">
                  <c:v>129.75522000000001</c:v>
                </c:pt>
                <c:pt idx="5">
                  <c:v>152.39762999999999</c:v>
                </c:pt>
                <c:pt idx="6">
                  <c:v>107.49879</c:v>
                </c:pt>
              </c:numCache>
            </c:numRef>
          </c:val>
          <c:smooth val="0"/>
          <c:extLst>
            <c:ext xmlns:c16="http://schemas.microsoft.com/office/drawing/2014/chart" uri="{C3380CC4-5D6E-409C-BE32-E72D297353CC}">
              <c16:uniqueId val="{00000000-0752-4E10-B69C-8F079AFE29C7}"/>
            </c:ext>
          </c:extLst>
        </c:ser>
        <c:dLbls>
          <c:showLegendKey val="0"/>
          <c:showVal val="0"/>
          <c:showCatName val="0"/>
          <c:showSerName val="0"/>
          <c:showPercent val="0"/>
          <c:showBubbleSize val="0"/>
        </c:dLbls>
        <c:marker val="1"/>
        <c:smooth val="0"/>
        <c:axId val="152902656"/>
        <c:axId val="153109632"/>
      </c:lineChart>
      <c:catAx>
        <c:axId val="1529026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sz="1000"/>
                  <a:t>Year</a:t>
                </a:r>
                <a:endParaRPr lang="ar-JO"/>
              </a:p>
            </c:rich>
          </c:tx>
          <c:layout>
            <c:manualLayout>
              <c:xMode val="edge"/>
              <c:yMode val="edge"/>
              <c:x val="0.50907542217600166"/>
              <c:y val="0.9162533097459733"/>
            </c:manualLayout>
          </c:layout>
          <c:overlay val="0"/>
        </c:title>
        <c:numFmt formatCode="0" sourceLinked="1"/>
        <c:majorTickMark val="out"/>
        <c:minorTickMark val="none"/>
        <c:tickLblPos val="nextTo"/>
        <c:txPr>
          <a:bodyPr rot="0" vert="horz"/>
          <a:lstStyle/>
          <a:p>
            <a:pPr>
              <a:defRPr lang="en-GB"/>
            </a:pPr>
            <a:endParaRPr lang="ar-SA"/>
          </a:p>
        </c:txPr>
        <c:crossAx val="153109632"/>
        <c:crosses val="autoZero"/>
        <c:auto val="1"/>
        <c:lblAlgn val="ctr"/>
        <c:lblOffset val="100"/>
        <c:noMultiLvlLbl val="0"/>
      </c:catAx>
      <c:valAx>
        <c:axId val="153109632"/>
        <c:scaling>
          <c:orientation val="minMax"/>
          <c:max val="300"/>
          <c:min val="0"/>
        </c:scaling>
        <c:delete val="0"/>
        <c:axPos val="l"/>
        <c:numFmt formatCode="0.0" sourceLinked="1"/>
        <c:majorTickMark val="out"/>
        <c:minorTickMark val="none"/>
        <c:tickLblPos val="nextTo"/>
        <c:txPr>
          <a:bodyPr/>
          <a:lstStyle/>
          <a:p>
            <a:pPr>
              <a:defRPr lang="en-GB"/>
            </a:pPr>
            <a:endParaRPr lang="ar-SA"/>
          </a:p>
        </c:txPr>
        <c:crossAx val="152902656"/>
        <c:crosses val="autoZero"/>
        <c:crossBetween val="between"/>
        <c:majorUnit val="50"/>
      </c:valAx>
      <c:spPr>
        <a:ln>
          <a:noFill/>
        </a:ln>
      </c:spPr>
    </c:plotArea>
    <c:plotVisOnly val="1"/>
    <c:dispBlanksAs val="gap"/>
    <c:showDLblsOverMax val="0"/>
  </c:chart>
  <c:spPr>
    <a:ln>
      <a:solidFill>
        <a:sysClr val="windowText" lastClr="000000"/>
      </a:solidFill>
    </a:ln>
  </c:spPr>
  <c:txPr>
    <a:bodyPr/>
    <a:lstStyle/>
    <a:p>
      <a:pPr>
        <a:defRPr sz="899">
          <a:latin typeface="Arial" pitchFamily="34" charset="0"/>
          <a:cs typeface="Arial" pitchFamily="34" charset="0"/>
        </a:defRPr>
      </a:pPr>
      <a:endParaRPr lang="ar-SA"/>
    </a:p>
  </c:txPr>
  <c:externalData r:id="rId2">
    <c:autoUpdate val="0"/>
  </c:externalData>
  <c:userShapes r:id="rId3"/>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34319526627229"/>
          <c:y val="0.14209827357238219"/>
          <c:w val="0.93096646942800787"/>
          <c:h val="0.69076435868051966"/>
        </c:manualLayout>
      </c:layout>
      <c:lineChart>
        <c:grouping val="standard"/>
        <c:varyColors val="0"/>
        <c:ser>
          <c:idx val="0"/>
          <c:order val="0"/>
          <c:tx>
            <c:strRef>
              <c:f>Sheet1!$B$2</c:f>
              <c:strCache>
                <c:ptCount val="1"/>
                <c:pt idx="0">
                  <c:v>Palestine</c:v>
                </c:pt>
              </c:strCache>
            </c:strRef>
          </c:tx>
          <c:spPr>
            <a:ln w="37982">
              <a:solidFill>
                <a:srgbClr val="4F81BD">
                  <a:lumMod val="60000"/>
                  <a:lumOff val="40000"/>
                </a:srgbClr>
              </a:solidFill>
            </a:ln>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236-4808-BCA8-617A8429916A}"/>
                </c:ext>
              </c:extLst>
            </c:dLbl>
            <c:dLbl>
              <c:idx val="6"/>
              <c:layout>
                <c:manualLayout>
                  <c:x val="-4.6265697290152175E-2"/>
                  <c:y val="5.6373316630128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36-4808-BCA8-617A8429916A}"/>
                </c:ext>
              </c:extLst>
            </c:dLbl>
            <c:dLbl>
              <c:idx val="14"/>
              <c:layout>
                <c:manualLayout>
                  <c:x val="-1.8877688207017764E-2"/>
                  <c:y val="8.66269965549642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8E-4DC1-A40C-6E53A351D12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Sheet1!$B$12:$B$18</c:f>
              <c:numCache>
                <c:formatCode>#,##0.0</c:formatCode>
                <c:ptCount val="7"/>
                <c:pt idx="0">
                  <c:v>9.3212332884830147</c:v>
                </c:pt>
                <c:pt idx="1">
                  <c:v>9.8586549207810208</c:v>
                </c:pt>
                <c:pt idx="2">
                  <c:v>11.387900355871887</c:v>
                </c:pt>
                <c:pt idx="3">
                  <c:v>11.288277557920621</c:v>
                </c:pt>
                <c:pt idx="4">
                  <c:v>11.238865373681218</c:v>
                </c:pt>
                <c:pt idx="5" formatCode="0.0">
                  <c:v>12.426802684257769</c:v>
                </c:pt>
                <c:pt idx="6" formatCode="0.0">
                  <c:v>12.152045304815973</c:v>
                </c:pt>
              </c:numCache>
            </c:numRef>
          </c:val>
          <c:smooth val="0"/>
          <c:extLst>
            <c:ext xmlns:c16="http://schemas.microsoft.com/office/drawing/2014/chart" uri="{C3380CC4-5D6E-409C-BE32-E72D297353CC}">
              <c16:uniqueId val="{00000001-BB8E-4DC1-A40C-6E53A351D128}"/>
            </c:ext>
          </c:extLst>
        </c:ser>
        <c:ser>
          <c:idx val="2"/>
          <c:order val="1"/>
          <c:tx>
            <c:strRef>
              <c:f>Sheet1!$C$2</c:f>
              <c:strCache>
                <c:ptCount val="1"/>
                <c:pt idx="0">
                  <c:v>West Bank</c:v>
                </c:pt>
              </c:strCache>
            </c:strRef>
          </c:tx>
          <c:spPr>
            <a:ln w="37982">
              <a:solidFill>
                <a:schemeClr val="accent2">
                  <a:lumMod val="75000"/>
                </a:schemeClr>
              </a:solidFill>
            </a:ln>
          </c:spPr>
          <c:marker>
            <c:symbol val="none"/>
          </c:marker>
          <c:dLbls>
            <c:dLbl>
              <c:idx val="0"/>
              <c:layout>
                <c:manualLayout>
                  <c:x val="-5.7281339502092965E-2"/>
                  <c:y val="3.7582211086752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36-4808-BCA8-617A8429916A}"/>
                </c:ext>
              </c:extLst>
            </c:dLbl>
            <c:dLbl>
              <c:idx val="6"/>
              <c:layout>
                <c:manualLayout>
                  <c:x val="-3.3046926635823044E-2"/>
                  <c:y val="-6.8900720325712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36-4808-BCA8-617A8429916A}"/>
                </c:ext>
              </c:extLst>
            </c:dLbl>
            <c:dLbl>
              <c:idx val="14"/>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8E-4DC1-A40C-6E53A351D12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Sheet1!$C$12:$C$18</c:f>
              <c:numCache>
                <c:formatCode>0.0</c:formatCode>
                <c:ptCount val="7"/>
                <c:pt idx="0">
                  <c:v>9.1959213532870336</c:v>
                </c:pt>
                <c:pt idx="1">
                  <c:v>10.159304671221399</c:v>
                </c:pt>
                <c:pt idx="2">
                  <c:v>11.8627803766343</c:v>
                </c:pt>
                <c:pt idx="3">
                  <c:v>12.350261383260531</c:v>
                </c:pt>
                <c:pt idx="4">
                  <c:v>12.532695325722374</c:v>
                </c:pt>
                <c:pt idx="5">
                  <c:v>13.560069525514319</c:v>
                </c:pt>
                <c:pt idx="6">
                  <c:v>13.160659155607249</c:v>
                </c:pt>
              </c:numCache>
            </c:numRef>
          </c:val>
          <c:smooth val="0"/>
          <c:extLst>
            <c:ext xmlns:c16="http://schemas.microsoft.com/office/drawing/2014/chart" uri="{C3380CC4-5D6E-409C-BE32-E72D297353CC}">
              <c16:uniqueId val="{00000003-BB8E-4DC1-A40C-6E53A351D128}"/>
            </c:ext>
          </c:extLst>
        </c:ser>
        <c:ser>
          <c:idx val="1"/>
          <c:order val="2"/>
          <c:tx>
            <c:strRef>
              <c:f>Sheet1!$D$2</c:f>
              <c:strCache>
                <c:ptCount val="1"/>
                <c:pt idx="0">
                  <c:v>Gaza strip</c:v>
                </c:pt>
              </c:strCache>
            </c:strRef>
          </c:tx>
          <c:spPr>
            <a:ln w="37982">
              <a:solidFill>
                <a:srgbClr val="FFC000"/>
              </a:solidFill>
            </a:ln>
          </c:spPr>
          <c:marker>
            <c:symbol val="none"/>
          </c:marker>
          <c:dLbls>
            <c:dLbl>
              <c:idx val="0"/>
              <c:layout>
                <c:manualLayout>
                  <c:x val="-3.965631196298746E-2"/>
                  <c:y val="-5.74166036565889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236-4808-BCA8-617A8429916A}"/>
                </c:ext>
              </c:extLst>
            </c:dLbl>
            <c:dLbl>
              <c:idx val="6"/>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36-4808-BCA8-617A8429916A}"/>
                </c:ext>
              </c:extLst>
            </c:dLbl>
            <c:dLbl>
              <c:idx val="14"/>
              <c:layout>
                <c:manualLayout>
                  <c:x val="-1.3369867101047267E-2"/>
                  <c:y val="5.53084873160038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8E-4DC1-A40C-6E53A351D12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Sheet1!$D$12:$D$18</c:f>
              <c:numCache>
                <c:formatCode>0.0</c:formatCode>
                <c:ptCount val="7"/>
                <c:pt idx="0">
                  <c:v>9.7996620806179102</c:v>
                </c:pt>
                <c:pt idx="1">
                  <c:v>8.7143353660463188</c:v>
                </c:pt>
                <c:pt idx="2">
                  <c:v>9.3551037173957727</c:v>
                </c:pt>
                <c:pt idx="3">
                  <c:v>6.4670616197807664</c:v>
                </c:pt>
                <c:pt idx="4">
                  <c:v>5.2964454808847501</c:v>
                </c:pt>
                <c:pt idx="5">
                  <c:v>7.1281284114341164</c:v>
                </c:pt>
                <c:pt idx="6">
                  <c:v>7.2322615974340971</c:v>
                </c:pt>
              </c:numCache>
            </c:numRef>
          </c:val>
          <c:smooth val="0"/>
          <c:extLst>
            <c:ext xmlns:c16="http://schemas.microsoft.com/office/drawing/2014/chart" uri="{C3380CC4-5D6E-409C-BE32-E72D297353CC}">
              <c16:uniqueId val="{00000005-BB8E-4DC1-A40C-6E53A351D128}"/>
            </c:ext>
          </c:extLst>
        </c:ser>
        <c:dLbls>
          <c:showLegendKey val="0"/>
          <c:showVal val="0"/>
          <c:showCatName val="0"/>
          <c:showSerName val="0"/>
          <c:showPercent val="0"/>
          <c:showBubbleSize val="0"/>
        </c:dLbls>
        <c:smooth val="0"/>
        <c:axId val="153169920"/>
        <c:axId val="153171840"/>
      </c:lineChart>
      <c:catAx>
        <c:axId val="1531699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53171840"/>
        <c:crosses val="autoZero"/>
        <c:auto val="1"/>
        <c:lblAlgn val="ctr"/>
        <c:lblOffset val="100"/>
        <c:noMultiLvlLbl val="0"/>
      </c:catAx>
      <c:valAx>
        <c:axId val="15317184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53169920"/>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20439022892272"/>
          <c:y val="0.20140048002021158"/>
          <c:w val="0.85408392410875877"/>
          <c:h val="0.64374373657838402"/>
        </c:manualLayout>
      </c:layout>
      <c:barChart>
        <c:barDir val="col"/>
        <c:grouping val="clustered"/>
        <c:varyColors val="0"/>
        <c:ser>
          <c:idx val="0"/>
          <c:order val="0"/>
          <c:tx>
            <c:strRef>
              <c:f>Sheet1!$B$1</c:f>
              <c:strCache>
                <c:ptCount val="1"/>
                <c:pt idx="0">
                  <c:v>Palestine</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7.5</c:v>
                </c:pt>
                <c:pt idx="1">
                  <c:v>10.200000000000001</c:v>
                </c:pt>
                <c:pt idx="2">
                  <c:v>7.4</c:v>
                </c:pt>
                <c:pt idx="3">
                  <c:v>8.7000000000000011</c:v>
                </c:pt>
              </c:numCache>
            </c:numRef>
          </c:val>
          <c:extLst>
            <c:ext xmlns:c16="http://schemas.microsoft.com/office/drawing/2014/chart" uri="{C3380CC4-5D6E-409C-BE32-E72D297353CC}">
              <c16:uniqueId val="{00000000-6E5E-46CB-B542-A38B54E9D0B4}"/>
            </c:ext>
          </c:extLst>
        </c:ser>
        <c:ser>
          <c:idx val="1"/>
          <c:order val="1"/>
          <c:tx>
            <c:strRef>
              <c:f>Sheet1!$C$1</c:f>
              <c:strCache>
                <c:ptCount val="1"/>
                <c:pt idx="0">
                  <c:v>West Bank</c:v>
                </c:pt>
              </c:strCache>
            </c:strRef>
          </c:tx>
          <c:spPr>
            <a:solidFill>
              <a:srgbClr val="C0504D">
                <a:lumMod val="75000"/>
              </a:srgbClr>
            </a:solidFill>
          </c:spPr>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7</c:v>
                </c:pt>
                <c:pt idx="1">
                  <c:v>7.9</c:v>
                </c:pt>
                <c:pt idx="2">
                  <c:v>7.7</c:v>
                </c:pt>
                <c:pt idx="3">
                  <c:v>8.5</c:v>
                </c:pt>
              </c:numCache>
            </c:numRef>
          </c:val>
          <c:extLst>
            <c:ext xmlns:c16="http://schemas.microsoft.com/office/drawing/2014/chart" uri="{C3380CC4-5D6E-409C-BE32-E72D297353CC}">
              <c16:uniqueId val="{00000001-6E5E-46CB-B542-A38B54E9D0B4}"/>
            </c:ext>
          </c:extLst>
        </c:ser>
        <c:ser>
          <c:idx val="2"/>
          <c:order val="2"/>
          <c:tx>
            <c:strRef>
              <c:f>Sheet1!$D$1</c:f>
              <c:strCache>
                <c:ptCount val="1"/>
                <c:pt idx="0">
                  <c:v>Gaza Strip</c:v>
                </c:pt>
              </c:strCache>
            </c:strRef>
          </c:tx>
          <c:spPr>
            <a:solidFill>
              <a:srgbClr val="9BBB59">
                <a:lumMod val="60000"/>
                <a:lumOff val="40000"/>
              </a:srgbClr>
            </a:solidFill>
          </c:spPr>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Sheet1!$D$2:$D$5</c:f>
              <c:numCache>
                <c:formatCode>General</c:formatCode>
                <c:ptCount val="4"/>
                <c:pt idx="0">
                  <c:v>8.3000000000000007</c:v>
                </c:pt>
                <c:pt idx="1">
                  <c:v>13.2</c:v>
                </c:pt>
                <c:pt idx="2">
                  <c:v>7.1</c:v>
                </c:pt>
                <c:pt idx="3" formatCode="0.0">
                  <c:v>9</c:v>
                </c:pt>
              </c:numCache>
            </c:numRef>
          </c:val>
          <c:extLst>
            <c:ext xmlns:c16="http://schemas.microsoft.com/office/drawing/2014/chart" uri="{C3380CC4-5D6E-409C-BE32-E72D297353CC}">
              <c16:uniqueId val="{00000002-6E5E-46CB-B542-A38B54E9D0B4}"/>
            </c:ext>
          </c:extLst>
        </c:ser>
        <c:dLbls>
          <c:showLegendKey val="0"/>
          <c:showVal val="0"/>
          <c:showCatName val="0"/>
          <c:showSerName val="0"/>
          <c:showPercent val="0"/>
          <c:showBubbleSize val="0"/>
        </c:dLbls>
        <c:gapWidth val="150"/>
        <c:axId val="190035840"/>
        <c:axId val="191938560"/>
      </c:barChart>
      <c:catAx>
        <c:axId val="19003584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1938560"/>
        <c:crosses val="autoZero"/>
        <c:auto val="1"/>
        <c:lblAlgn val="ctr"/>
        <c:lblOffset val="100"/>
        <c:noMultiLvlLbl val="0"/>
      </c:catAx>
      <c:valAx>
        <c:axId val="191938560"/>
        <c:scaling>
          <c:orientation val="minMax"/>
          <c:max val="14"/>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190035840"/>
        <c:crosses val="autoZero"/>
        <c:crossBetween val="between"/>
        <c:majorUnit val="1"/>
        <c:minorUnit val="1"/>
      </c:valAx>
    </c:plotArea>
    <c:legend>
      <c:legendPos val="t"/>
      <c:overlay val="1"/>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182638967262519E-2"/>
          <c:y val="0.11013227214320202"/>
          <c:w val="0.89756525888809369"/>
          <c:h val="0.74391509383291621"/>
        </c:manualLayout>
      </c:layout>
      <c:barChart>
        <c:barDir val="col"/>
        <c:grouping val="clustered"/>
        <c:varyColors val="0"/>
        <c:ser>
          <c:idx val="0"/>
          <c:order val="0"/>
          <c:tx>
            <c:strRef>
              <c:f>Sheet1!$B$2</c:f>
              <c:strCache>
                <c:ptCount val="1"/>
                <c:pt idx="0">
                  <c:v>Palestine</c:v>
                </c:pt>
              </c:strCache>
            </c:strRef>
          </c:tx>
          <c:spPr>
            <a:solidFill>
              <a:schemeClr val="accent1">
                <a:lumMod val="50000"/>
              </a:schemeClr>
            </a:solidFill>
            <a:ln w="38057">
              <a:noFill/>
            </a:ln>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5CA-4A17-A353-696B06306F32}"/>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5CA-4A17-A353-696B06306F32}"/>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5CA-4A17-A353-696B06306F32}"/>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5CA-4A17-A353-696B06306F32}"/>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5CA-4A17-A353-696B06306F32}"/>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5CA-4A17-A353-696B06306F32}"/>
                </c:ext>
              </c:extLst>
            </c:dLbl>
            <c:dLbl>
              <c:idx val="1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F3-4BCA-A3AF-4A8871D13CB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Sheet1!$B$12:$B$18</c:f>
              <c:numCache>
                <c:formatCode>0.0</c:formatCode>
                <c:ptCount val="7"/>
                <c:pt idx="0">
                  <c:v>305.54070596318456</c:v>
                </c:pt>
                <c:pt idx="1">
                  <c:v>344.04733942541588</c:v>
                </c:pt>
                <c:pt idx="2">
                  <c:v>394.37437722419929</c:v>
                </c:pt>
                <c:pt idx="3">
                  <c:v>385.79946209705304</c:v>
                </c:pt>
                <c:pt idx="4">
                  <c:v>379.6825889190726</c:v>
                </c:pt>
                <c:pt idx="5">
                  <c:v>312.43608362252689</c:v>
                </c:pt>
                <c:pt idx="6">
                  <c:v>312.36309128057871</c:v>
                </c:pt>
              </c:numCache>
            </c:numRef>
          </c:val>
          <c:extLst>
            <c:ext xmlns:c16="http://schemas.microsoft.com/office/drawing/2014/chart" uri="{C3380CC4-5D6E-409C-BE32-E72D297353CC}">
              <c16:uniqueId val="{00000001-95F3-4BCA-A3AF-4A8871D13CBD}"/>
            </c:ext>
          </c:extLst>
        </c:ser>
        <c:ser>
          <c:idx val="1"/>
          <c:order val="1"/>
          <c:tx>
            <c:strRef>
              <c:f>Sheet1!$C$2</c:f>
              <c:strCache>
                <c:ptCount val="1"/>
                <c:pt idx="0">
                  <c:v>West Bank</c:v>
                </c:pt>
              </c:strCache>
            </c:strRef>
          </c:tx>
          <c:spPr>
            <a:solidFill>
              <a:srgbClr val="4F81BD">
                <a:lumMod val="40000"/>
                <a:lumOff val="60000"/>
              </a:srgbClr>
            </a:solidFill>
            <a:ln w="38057">
              <a:noFill/>
            </a:ln>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CA-4A17-A353-696B06306F32}"/>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5CA-4A17-A353-696B06306F32}"/>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CA-4A17-A353-696B06306F32}"/>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5CA-4A17-A353-696B06306F32}"/>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5CA-4A17-A353-696B06306F32}"/>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CA-4A17-A353-696B06306F32}"/>
                </c:ext>
              </c:extLst>
            </c:dLbl>
            <c:dLbl>
              <c:idx val="1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5F3-4BCA-A3AF-4A8871D13CB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Sheet1!$C$12:$C$18</c:f>
              <c:numCache>
                <c:formatCode>0.0</c:formatCode>
                <c:ptCount val="7"/>
                <c:pt idx="0">
                  <c:v>410.21165972742784</c:v>
                </c:pt>
                <c:pt idx="1">
                  <c:v>483.6946547015217</c:v>
                </c:pt>
                <c:pt idx="2">
                  <c:v>575.46347607052883</c:v>
                </c:pt>
                <c:pt idx="3">
                  <c:v>599.53108858899918</c:v>
                </c:pt>
                <c:pt idx="4">
                  <c:v>604.38923208296148</c:v>
                </c:pt>
                <c:pt idx="5">
                  <c:v>504.27649600075142</c:v>
                </c:pt>
                <c:pt idx="6">
                  <c:v>506.00077514745743</c:v>
                </c:pt>
              </c:numCache>
            </c:numRef>
          </c:val>
          <c:extLst>
            <c:ext xmlns:c16="http://schemas.microsoft.com/office/drawing/2014/chart" uri="{C3380CC4-5D6E-409C-BE32-E72D297353CC}">
              <c16:uniqueId val="{00000003-95F3-4BCA-A3AF-4A8871D13CBD}"/>
            </c:ext>
          </c:extLst>
        </c:ser>
        <c:ser>
          <c:idx val="2"/>
          <c:order val="2"/>
          <c:tx>
            <c:strRef>
              <c:f>Sheet1!$D$2</c:f>
              <c:strCache>
                <c:ptCount val="1"/>
                <c:pt idx="0">
                  <c:v>Gaza strip</c:v>
                </c:pt>
              </c:strCache>
            </c:strRef>
          </c:tx>
          <c:spPr>
            <a:solidFill>
              <a:srgbClr val="9BBB59">
                <a:lumMod val="50000"/>
              </a:srgbClr>
            </a:solidFill>
            <a:ln w="38057">
              <a:noFill/>
            </a:ln>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5CA-4A17-A353-696B06306F32}"/>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5CA-4A17-A353-696B06306F32}"/>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5CA-4A17-A353-696B06306F32}"/>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5CA-4A17-A353-696B06306F32}"/>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5CA-4A17-A353-696B06306F32}"/>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5CA-4A17-A353-696B06306F32}"/>
                </c:ext>
              </c:extLst>
            </c:dLbl>
            <c:dLbl>
              <c:idx val="1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F3-4BCA-A3AF-4A8871D13CB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Sheet1!$D$12:$D$18</c:f>
              <c:numCache>
                <c:formatCode>0.0</c:formatCode>
                <c:ptCount val="7"/>
                <c:pt idx="0">
                  <c:v>159.62669563118513</c:v>
                </c:pt>
                <c:pt idx="1">
                  <c:v>150.82771651552972</c:v>
                </c:pt>
                <c:pt idx="2">
                  <c:v>145.62154446498255</c:v>
                </c:pt>
                <c:pt idx="3">
                  <c:v>94.309159601262905</c:v>
                </c:pt>
                <c:pt idx="4">
                  <c:v>75.32604762914282</c:v>
                </c:pt>
                <c:pt idx="5">
                  <c:v>54.342751334277331</c:v>
                </c:pt>
                <c:pt idx="6">
                  <c:v>53.541030846813825</c:v>
                </c:pt>
              </c:numCache>
            </c:numRef>
          </c:val>
          <c:extLst>
            <c:ext xmlns:c16="http://schemas.microsoft.com/office/drawing/2014/chart" uri="{C3380CC4-5D6E-409C-BE32-E72D297353CC}">
              <c16:uniqueId val="{00000005-95F3-4BCA-A3AF-4A8871D13CBD}"/>
            </c:ext>
          </c:extLst>
        </c:ser>
        <c:dLbls>
          <c:showLegendKey val="0"/>
          <c:showVal val="0"/>
          <c:showCatName val="0"/>
          <c:showSerName val="0"/>
          <c:showPercent val="0"/>
          <c:showBubbleSize val="0"/>
        </c:dLbls>
        <c:gapWidth val="150"/>
        <c:axId val="153462656"/>
        <c:axId val="153481216"/>
      </c:barChart>
      <c:catAx>
        <c:axId val="1534626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53481216"/>
        <c:crosses val="autoZero"/>
        <c:auto val="1"/>
        <c:lblAlgn val="ctr"/>
        <c:lblOffset val="100"/>
        <c:noMultiLvlLbl val="0"/>
      </c:catAx>
      <c:valAx>
        <c:axId val="1534812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USD</a:t>
                </a:r>
              </a:p>
            </c:rich>
          </c:tx>
          <c:overlay val="0"/>
        </c:title>
        <c:numFmt formatCode="0" sourceLinked="0"/>
        <c:majorTickMark val="out"/>
        <c:minorTickMark val="none"/>
        <c:tickLblPos val="nextTo"/>
        <c:txPr>
          <a:bodyPr/>
          <a:lstStyle/>
          <a:p>
            <a:pPr>
              <a:defRPr lang="en-GB"/>
            </a:pPr>
            <a:endParaRPr lang="ar-SA"/>
          </a:p>
        </c:txPr>
        <c:crossAx val="153462656"/>
        <c:crosses val="autoZero"/>
        <c:crossBetween val="between"/>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914442986294"/>
          <c:y val="0.21506220197989756"/>
          <c:w val="0.87362259405074361"/>
          <c:h val="0.54515566684037864"/>
        </c:manualLayout>
      </c:layout>
      <c:lineChart>
        <c:grouping val="standard"/>
        <c:varyColors val="0"/>
        <c:ser>
          <c:idx val="0"/>
          <c:order val="0"/>
          <c:tx>
            <c:strRef>
              <c:f>Sheet1!$C$1</c:f>
              <c:strCache>
                <c:ptCount val="1"/>
                <c:pt idx="0">
                  <c:v>West Bank</c:v>
                </c:pt>
              </c:strCache>
            </c:strRef>
          </c:tx>
          <c:spPr>
            <a:ln>
              <a:solidFill>
                <a:srgbClr val="4F81BD">
                  <a:lumMod val="60000"/>
                  <a:lumOff val="40000"/>
                </a:srgbClr>
              </a:solidFill>
            </a:ln>
          </c:spPr>
          <c:marker>
            <c:spPr>
              <a:ln>
                <a:solidFill>
                  <a:srgbClr val="4F81BD">
                    <a:lumMod val="60000"/>
                    <a:lumOff val="4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7-CBA3-4FDB-8DD5-B34786F09627}"/>
                </c:ext>
              </c:extLst>
            </c:dLbl>
            <c:dLbl>
              <c:idx val="2"/>
              <c:delete val="1"/>
              <c:extLst>
                <c:ext xmlns:c15="http://schemas.microsoft.com/office/drawing/2012/chart" uri="{CE6537A1-D6FC-4f65-9D91-7224C49458BB}"/>
                <c:ext xmlns:c16="http://schemas.microsoft.com/office/drawing/2014/chart" uri="{C3380CC4-5D6E-409C-BE32-E72D297353CC}">
                  <c16:uniqueId val="{00000008-CBA3-4FDB-8DD5-B34786F09627}"/>
                </c:ext>
              </c:extLst>
            </c:dLbl>
            <c:dLbl>
              <c:idx val="3"/>
              <c:delete val="1"/>
              <c:extLst>
                <c:ext xmlns:c15="http://schemas.microsoft.com/office/drawing/2012/chart" uri="{CE6537A1-D6FC-4f65-9D91-7224C49458BB}"/>
                <c:ext xmlns:c16="http://schemas.microsoft.com/office/drawing/2014/chart" uri="{C3380CC4-5D6E-409C-BE32-E72D297353CC}">
                  <c16:uniqueId val="{00000009-CBA3-4FDB-8DD5-B34786F09627}"/>
                </c:ext>
              </c:extLst>
            </c:dLbl>
            <c:dLbl>
              <c:idx val="4"/>
              <c:delete val="1"/>
              <c:extLst>
                <c:ext xmlns:c15="http://schemas.microsoft.com/office/drawing/2012/chart" uri="{CE6537A1-D6FC-4f65-9D91-7224C49458BB}"/>
                <c:ext xmlns:c16="http://schemas.microsoft.com/office/drawing/2014/chart" uri="{C3380CC4-5D6E-409C-BE32-E72D297353CC}">
                  <c16:uniqueId val="{0000000A-CBA3-4FDB-8DD5-B34786F09627}"/>
                </c:ext>
              </c:extLst>
            </c:dLbl>
            <c:dLbl>
              <c:idx val="5"/>
              <c:delete val="1"/>
              <c:extLst>
                <c:ext xmlns:c15="http://schemas.microsoft.com/office/drawing/2012/chart" uri="{CE6537A1-D6FC-4f65-9D91-7224C49458BB}"/>
                <c:ext xmlns:c16="http://schemas.microsoft.com/office/drawing/2014/chart" uri="{C3380CC4-5D6E-409C-BE32-E72D297353CC}">
                  <c16:uniqueId val="{0000000B-CBA3-4FDB-8DD5-B34786F09627}"/>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2021</c:v>
                </c:pt>
              </c:numCache>
            </c:numRef>
          </c:cat>
          <c:val>
            <c:numRef>
              <c:f>Sheet1!$C$10:$C$17</c:f>
              <c:numCache>
                <c:formatCode>General</c:formatCode>
                <c:ptCount val="8"/>
                <c:pt idx="0">
                  <c:v>14.9</c:v>
                </c:pt>
                <c:pt idx="1">
                  <c:v>15.3</c:v>
                </c:pt>
                <c:pt idx="2">
                  <c:v>15</c:v>
                </c:pt>
                <c:pt idx="3">
                  <c:v>14.7</c:v>
                </c:pt>
                <c:pt idx="4" formatCode="0.0">
                  <c:v>13.9</c:v>
                </c:pt>
                <c:pt idx="5" formatCode="0.0">
                  <c:v>14.6</c:v>
                </c:pt>
                <c:pt idx="6">
                  <c:v>13.9</c:v>
                </c:pt>
                <c:pt idx="7">
                  <c:v>14.2</c:v>
                </c:pt>
              </c:numCache>
            </c:numRef>
          </c:val>
          <c:smooth val="0"/>
          <c:extLst>
            <c:ext xmlns:c16="http://schemas.microsoft.com/office/drawing/2014/chart" uri="{C3380CC4-5D6E-409C-BE32-E72D297353CC}">
              <c16:uniqueId val="{00000000-C66D-4928-B1A0-584B7B703A41}"/>
            </c:ext>
          </c:extLst>
        </c:ser>
        <c:ser>
          <c:idx val="1"/>
          <c:order val="1"/>
          <c:tx>
            <c:strRef>
              <c:f>Sheet1!$D$1</c:f>
              <c:strCache>
                <c:ptCount val="1"/>
                <c:pt idx="0">
                  <c:v>Gaza Strip</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C-CBA3-4FDB-8DD5-B34786F09627}"/>
                </c:ext>
              </c:extLst>
            </c:dLbl>
            <c:dLbl>
              <c:idx val="2"/>
              <c:delete val="1"/>
              <c:extLst>
                <c:ext xmlns:c15="http://schemas.microsoft.com/office/drawing/2012/chart" uri="{CE6537A1-D6FC-4f65-9D91-7224C49458BB}"/>
                <c:ext xmlns:c16="http://schemas.microsoft.com/office/drawing/2014/chart" uri="{C3380CC4-5D6E-409C-BE32-E72D297353CC}">
                  <c16:uniqueId val="{0000000D-CBA3-4FDB-8DD5-B34786F09627}"/>
                </c:ext>
              </c:extLst>
            </c:dLbl>
            <c:dLbl>
              <c:idx val="3"/>
              <c:delete val="1"/>
              <c:extLst>
                <c:ext xmlns:c15="http://schemas.microsoft.com/office/drawing/2012/chart" uri="{CE6537A1-D6FC-4f65-9D91-7224C49458BB}"/>
                <c:ext xmlns:c16="http://schemas.microsoft.com/office/drawing/2014/chart" uri="{C3380CC4-5D6E-409C-BE32-E72D297353CC}">
                  <c16:uniqueId val="{0000000E-CBA3-4FDB-8DD5-B34786F09627}"/>
                </c:ext>
              </c:extLst>
            </c:dLbl>
            <c:dLbl>
              <c:idx val="4"/>
              <c:delete val="1"/>
              <c:extLst>
                <c:ext xmlns:c15="http://schemas.microsoft.com/office/drawing/2012/chart" uri="{CE6537A1-D6FC-4f65-9D91-7224C49458BB}"/>
                <c:ext xmlns:c16="http://schemas.microsoft.com/office/drawing/2014/chart" uri="{C3380CC4-5D6E-409C-BE32-E72D297353CC}">
                  <c16:uniqueId val="{0000000F-CBA3-4FDB-8DD5-B34786F09627}"/>
                </c:ext>
              </c:extLst>
            </c:dLbl>
            <c:dLbl>
              <c:idx val="5"/>
              <c:delete val="1"/>
              <c:extLst>
                <c:ext xmlns:c15="http://schemas.microsoft.com/office/drawing/2012/chart" uri="{CE6537A1-D6FC-4f65-9D91-7224C49458BB}"/>
                <c:ext xmlns:c16="http://schemas.microsoft.com/office/drawing/2014/chart" uri="{C3380CC4-5D6E-409C-BE32-E72D297353CC}">
                  <c16:uniqueId val="{00000010-CBA3-4FDB-8DD5-B34786F09627}"/>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2021</c:v>
                </c:pt>
              </c:numCache>
            </c:numRef>
          </c:cat>
          <c:val>
            <c:numRef>
              <c:f>Sheet1!$D$10:$D$17</c:f>
              <c:numCache>
                <c:formatCode>General</c:formatCode>
                <c:ptCount val="8"/>
                <c:pt idx="0">
                  <c:v>5.8</c:v>
                </c:pt>
                <c:pt idx="1">
                  <c:v>6.3</c:v>
                </c:pt>
                <c:pt idx="2">
                  <c:v>6</c:v>
                </c:pt>
                <c:pt idx="3">
                  <c:v>5.9</c:v>
                </c:pt>
                <c:pt idx="4" formatCode="0.0">
                  <c:v>6.1</c:v>
                </c:pt>
                <c:pt idx="5" formatCode="0.0">
                  <c:v>6.7</c:v>
                </c:pt>
                <c:pt idx="6">
                  <c:v>6.1</c:v>
                </c:pt>
                <c:pt idx="7">
                  <c:v>7.2</c:v>
                </c:pt>
              </c:numCache>
            </c:numRef>
          </c:val>
          <c:smooth val="0"/>
          <c:extLst>
            <c:ext xmlns:c16="http://schemas.microsoft.com/office/drawing/2014/chart" uri="{C3380CC4-5D6E-409C-BE32-E72D297353CC}">
              <c16:uniqueId val="{00000001-C66D-4928-B1A0-584B7B703A41}"/>
            </c:ext>
          </c:extLst>
        </c:ser>
        <c:ser>
          <c:idx val="2"/>
          <c:order val="2"/>
          <c:tx>
            <c:strRef>
              <c:f>Sheet1!$B$1</c:f>
              <c:strCache>
                <c:ptCount val="1"/>
                <c:pt idx="0">
                  <c:v>Palestine</c:v>
                </c:pt>
              </c:strCache>
            </c:strRef>
          </c:tx>
          <c:dLbls>
            <c:dLbl>
              <c:idx val="0"/>
              <c:layout>
                <c:manualLayout>
                  <c:x val="-3.4722222222222224E-2"/>
                  <c:y val="6.518904823989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BA3-4FDB-8DD5-B34786F09627}"/>
                </c:ext>
              </c:extLst>
            </c:dLbl>
            <c:dLbl>
              <c:idx val="1"/>
              <c:delete val="1"/>
              <c:extLst>
                <c:ext xmlns:c15="http://schemas.microsoft.com/office/drawing/2012/chart" uri="{CE6537A1-D6FC-4f65-9D91-7224C49458BB}"/>
                <c:ext xmlns:c16="http://schemas.microsoft.com/office/drawing/2014/chart" uri="{C3380CC4-5D6E-409C-BE32-E72D297353CC}">
                  <c16:uniqueId val="{00000003-CBA3-4FDB-8DD5-B34786F09627}"/>
                </c:ext>
              </c:extLst>
            </c:dLbl>
            <c:dLbl>
              <c:idx val="2"/>
              <c:delete val="1"/>
              <c:extLst>
                <c:ext xmlns:c15="http://schemas.microsoft.com/office/drawing/2012/chart" uri="{CE6537A1-D6FC-4f65-9D91-7224C49458BB}"/>
                <c:ext xmlns:c16="http://schemas.microsoft.com/office/drawing/2014/chart" uri="{C3380CC4-5D6E-409C-BE32-E72D297353CC}">
                  <c16:uniqueId val="{00000000-CBA3-4FDB-8DD5-B34786F09627}"/>
                </c:ext>
              </c:extLst>
            </c:dLbl>
            <c:dLbl>
              <c:idx val="3"/>
              <c:delete val="1"/>
              <c:extLst>
                <c:ext xmlns:c15="http://schemas.microsoft.com/office/drawing/2012/chart" uri="{CE6537A1-D6FC-4f65-9D91-7224C49458BB}"/>
                <c:ext xmlns:c16="http://schemas.microsoft.com/office/drawing/2014/chart" uri="{C3380CC4-5D6E-409C-BE32-E72D297353CC}">
                  <c16:uniqueId val="{00000002-CBA3-4FDB-8DD5-B34786F09627}"/>
                </c:ext>
              </c:extLst>
            </c:dLbl>
            <c:dLbl>
              <c:idx val="4"/>
              <c:delete val="1"/>
              <c:extLst>
                <c:ext xmlns:c15="http://schemas.microsoft.com/office/drawing/2012/chart" uri="{CE6537A1-D6FC-4f65-9D91-7224C49458BB}"/>
                <c:ext xmlns:c16="http://schemas.microsoft.com/office/drawing/2014/chart" uri="{C3380CC4-5D6E-409C-BE32-E72D297353CC}">
                  <c16:uniqueId val="{00000001-CBA3-4FDB-8DD5-B34786F09627}"/>
                </c:ext>
              </c:extLst>
            </c:dLbl>
            <c:dLbl>
              <c:idx val="5"/>
              <c:delete val="1"/>
              <c:extLst>
                <c:ext xmlns:c15="http://schemas.microsoft.com/office/drawing/2012/chart" uri="{CE6537A1-D6FC-4f65-9D91-7224C49458BB}"/>
                <c:ext xmlns:c16="http://schemas.microsoft.com/office/drawing/2014/chart" uri="{C3380CC4-5D6E-409C-BE32-E72D297353CC}">
                  <c16:uniqueId val="{00000005-CBA3-4FDB-8DD5-B34786F09627}"/>
                </c:ext>
              </c:extLst>
            </c:dLbl>
            <c:dLbl>
              <c:idx val="6"/>
              <c:layout>
                <c:manualLayout>
                  <c:x val="-3.7037037037037056E-2"/>
                  <c:y val="6.518904823989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BA3-4FDB-8DD5-B34786F0962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Sheet1!$A$10:$A$17</c:f>
              <c:numCache>
                <c:formatCode>General</c:formatCode>
                <c:ptCount val="8"/>
                <c:pt idx="0">
                  <c:v>2015</c:v>
                </c:pt>
                <c:pt idx="1">
                  <c:v>2016</c:v>
                </c:pt>
                <c:pt idx="2">
                  <c:v>2017</c:v>
                </c:pt>
                <c:pt idx="3">
                  <c:v>2018</c:v>
                </c:pt>
                <c:pt idx="4">
                  <c:v>2019</c:v>
                </c:pt>
                <c:pt idx="5">
                  <c:v>2020</c:v>
                </c:pt>
                <c:pt idx="6">
                  <c:v>2021</c:v>
                </c:pt>
                <c:pt idx="7">
                  <c:v>2021</c:v>
                </c:pt>
              </c:numCache>
            </c:numRef>
          </c:cat>
          <c:val>
            <c:numRef>
              <c:f>Sheet1!$B$10:$B$17</c:f>
              <c:numCache>
                <c:formatCode>0.0</c:formatCode>
                <c:ptCount val="8"/>
                <c:pt idx="0">
                  <c:v>12.2</c:v>
                </c:pt>
                <c:pt idx="1">
                  <c:v>12.5</c:v>
                </c:pt>
                <c:pt idx="2">
                  <c:v>12.4</c:v>
                </c:pt>
                <c:pt idx="3">
                  <c:v>12.3</c:v>
                </c:pt>
                <c:pt idx="4">
                  <c:v>11.9</c:v>
                </c:pt>
                <c:pt idx="5">
                  <c:v>12.8</c:v>
                </c:pt>
                <c:pt idx="6">
                  <c:v>12</c:v>
                </c:pt>
                <c:pt idx="7">
                  <c:v>12.4</c:v>
                </c:pt>
              </c:numCache>
            </c:numRef>
          </c:val>
          <c:smooth val="0"/>
          <c:extLst>
            <c:ext xmlns:c16="http://schemas.microsoft.com/office/drawing/2014/chart" uri="{C3380CC4-5D6E-409C-BE32-E72D297353CC}">
              <c16:uniqueId val="{00000000-17FF-4FA5-BA11-F0FAEDC9BB16}"/>
            </c:ext>
          </c:extLst>
        </c:ser>
        <c:dLbls>
          <c:showLegendKey val="0"/>
          <c:showVal val="0"/>
          <c:showCatName val="0"/>
          <c:showSerName val="0"/>
          <c:showPercent val="0"/>
          <c:showBubbleSize val="0"/>
        </c:dLbls>
        <c:marker val="1"/>
        <c:smooth val="0"/>
        <c:axId val="153348352"/>
        <c:axId val="153244032"/>
      </c:lineChart>
      <c:catAx>
        <c:axId val="15334835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53244032"/>
        <c:crosses val="autoZero"/>
        <c:auto val="1"/>
        <c:lblAlgn val="ctr"/>
        <c:lblOffset val="100"/>
        <c:noMultiLvlLbl val="0"/>
      </c:catAx>
      <c:valAx>
        <c:axId val="153244032"/>
        <c:scaling>
          <c:orientation val="minMax"/>
          <c:max val="2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153348352"/>
        <c:crosses val="autoZero"/>
        <c:crossBetween val="between"/>
        <c:majorUnit val="5"/>
      </c:valAx>
    </c:plotArea>
    <c:legend>
      <c:legendPos val="t"/>
      <c:overlay val="0"/>
      <c:spPr>
        <a:ln>
          <a:solidFill>
            <a:schemeClr val="tx1"/>
          </a:solidFill>
        </a:ln>
      </c:spPr>
      <c:txPr>
        <a:bodyPr/>
        <a:lstStyle/>
        <a:p>
          <a:pPr>
            <a:defRPr lang="en-GB"/>
          </a:pPr>
          <a:endParaRPr lang="ar-SA"/>
        </a:p>
      </c:txPr>
    </c:legend>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914442986294"/>
          <c:y val="0.21506220197989756"/>
          <c:w val="0.87362259405074361"/>
          <c:h val="0.54515566684037864"/>
        </c:manualLayout>
      </c:layout>
      <c:lineChart>
        <c:grouping val="standard"/>
        <c:varyColors val="0"/>
        <c:ser>
          <c:idx val="0"/>
          <c:order val="0"/>
          <c:tx>
            <c:strRef>
              <c:f>Sheet1!$B$1</c:f>
              <c:strCache>
                <c:ptCount val="1"/>
                <c:pt idx="0">
                  <c:v>Male</c:v>
                </c:pt>
              </c:strCache>
            </c:strRef>
          </c:tx>
          <c:spPr>
            <a:ln>
              <a:solidFill>
                <a:srgbClr val="4F81BD">
                  <a:lumMod val="60000"/>
                  <a:lumOff val="40000"/>
                </a:srgbClr>
              </a:solidFill>
            </a:ln>
          </c:spPr>
          <c:marker>
            <c:spPr>
              <a:ln>
                <a:solidFill>
                  <a:srgbClr val="4F81BD">
                    <a:lumMod val="60000"/>
                    <a:lumOff val="4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C616-437A-9FA6-4AE8E0D3DD78}"/>
                </c:ext>
              </c:extLst>
            </c:dLbl>
            <c:dLbl>
              <c:idx val="2"/>
              <c:delete val="1"/>
              <c:extLst>
                <c:ext xmlns:c15="http://schemas.microsoft.com/office/drawing/2012/chart" uri="{CE6537A1-D6FC-4f65-9D91-7224C49458BB}"/>
                <c:ext xmlns:c16="http://schemas.microsoft.com/office/drawing/2014/chart" uri="{C3380CC4-5D6E-409C-BE32-E72D297353CC}">
                  <c16:uniqueId val="{00000001-C616-437A-9FA6-4AE8E0D3DD78}"/>
                </c:ext>
              </c:extLst>
            </c:dLbl>
            <c:dLbl>
              <c:idx val="3"/>
              <c:delete val="1"/>
              <c:extLst>
                <c:ext xmlns:c15="http://schemas.microsoft.com/office/drawing/2012/chart" uri="{CE6537A1-D6FC-4f65-9D91-7224C49458BB}"/>
                <c:ext xmlns:c16="http://schemas.microsoft.com/office/drawing/2014/chart" uri="{C3380CC4-5D6E-409C-BE32-E72D297353CC}">
                  <c16:uniqueId val="{00000002-C616-437A-9FA6-4AE8E0D3DD78}"/>
                </c:ext>
              </c:extLst>
            </c:dLbl>
            <c:dLbl>
              <c:idx val="4"/>
              <c:delete val="1"/>
              <c:extLst>
                <c:ext xmlns:c15="http://schemas.microsoft.com/office/drawing/2012/chart" uri="{CE6537A1-D6FC-4f65-9D91-7224C49458BB}"/>
                <c:ext xmlns:c16="http://schemas.microsoft.com/office/drawing/2014/chart" uri="{C3380CC4-5D6E-409C-BE32-E72D297353CC}">
                  <c16:uniqueId val="{00000003-C616-437A-9FA6-4AE8E0D3DD78}"/>
                </c:ext>
              </c:extLst>
            </c:dLbl>
            <c:dLbl>
              <c:idx val="5"/>
              <c:delete val="1"/>
              <c:extLst>
                <c:ext xmlns:c15="http://schemas.microsoft.com/office/drawing/2012/chart" uri="{CE6537A1-D6FC-4f65-9D91-7224C49458BB}"/>
                <c:ext xmlns:c16="http://schemas.microsoft.com/office/drawing/2014/chart" uri="{C3380CC4-5D6E-409C-BE32-E72D297353CC}">
                  <c16:uniqueId val="{00000004-C616-437A-9FA6-4AE8E0D3DD78}"/>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Sheet1!$B$10:$B$17</c:f>
              <c:numCache>
                <c:formatCode>0.0</c:formatCode>
                <c:ptCount val="8"/>
                <c:pt idx="0">
                  <c:v>12.4</c:v>
                </c:pt>
                <c:pt idx="1">
                  <c:v>12.8</c:v>
                </c:pt>
                <c:pt idx="2">
                  <c:v>12.7</c:v>
                </c:pt>
                <c:pt idx="3">
                  <c:v>13</c:v>
                </c:pt>
                <c:pt idx="4">
                  <c:v>12.9</c:v>
                </c:pt>
                <c:pt idx="5">
                  <c:v>13.8</c:v>
                </c:pt>
                <c:pt idx="6">
                  <c:v>12.9</c:v>
                </c:pt>
                <c:pt idx="7">
                  <c:v>13.1</c:v>
                </c:pt>
              </c:numCache>
            </c:numRef>
          </c:val>
          <c:smooth val="0"/>
          <c:extLst>
            <c:ext xmlns:c16="http://schemas.microsoft.com/office/drawing/2014/chart" uri="{C3380CC4-5D6E-409C-BE32-E72D297353CC}">
              <c16:uniqueId val="{00000000-B1BF-434D-9875-E38EB9269C5D}"/>
            </c:ext>
          </c:extLst>
        </c:ser>
        <c:ser>
          <c:idx val="1"/>
          <c:order val="1"/>
          <c:tx>
            <c:strRef>
              <c:f>Sheet1!$C$1</c:f>
              <c:strCache>
                <c:ptCount val="1"/>
                <c:pt idx="0">
                  <c:v>Female</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9-C616-437A-9FA6-4AE8E0D3DD78}"/>
                </c:ext>
              </c:extLst>
            </c:dLbl>
            <c:dLbl>
              <c:idx val="2"/>
              <c:delete val="1"/>
              <c:extLst>
                <c:ext xmlns:c15="http://schemas.microsoft.com/office/drawing/2012/chart" uri="{CE6537A1-D6FC-4f65-9D91-7224C49458BB}"/>
                <c:ext xmlns:c16="http://schemas.microsoft.com/office/drawing/2014/chart" uri="{C3380CC4-5D6E-409C-BE32-E72D297353CC}">
                  <c16:uniqueId val="{00000008-C616-437A-9FA6-4AE8E0D3DD78}"/>
                </c:ext>
              </c:extLst>
            </c:dLbl>
            <c:dLbl>
              <c:idx val="3"/>
              <c:delete val="1"/>
              <c:extLst>
                <c:ext xmlns:c15="http://schemas.microsoft.com/office/drawing/2012/chart" uri="{CE6537A1-D6FC-4f65-9D91-7224C49458BB}"/>
                <c:ext xmlns:c16="http://schemas.microsoft.com/office/drawing/2014/chart" uri="{C3380CC4-5D6E-409C-BE32-E72D297353CC}">
                  <c16:uniqueId val="{00000007-C616-437A-9FA6-4AE8E0D3DD78}"/>
                </c:ext>
              </c:extLst>
            </c:dLbl>
            <c:dLbl>
              <c:idx val="4"/>
              <c:delete val="1"/>
              <c:extLst>
                <c:ext xmlns:c15="http://schemas.microsoft.com/office/drawing/2012/chart" uri="{CE6537A1-D6FC-4f65-9D91-7224C49458BB}"/>
                <c:ext xmlns:c16="http://schemas.microsoft.com/office/drawing/2014/chart" uri="{C3380CC4-5D6E-409C-BE32-E72D297353CC}">
                  <c16:uniqueId val="{00000006-C616-437A-9FA6-4AE8E0D3DD78}"/>
                </c:ext>
              </c:extLst>
            </c:dLbl>
            <c:dLbl>
              <c:idx val="5"/>
              <c:delete val="1"/>
              <c:extLst>
                <c:ext xmlns:c15="http://schemas.microsoft.com/office/drawing/2012/chart" uri="{CE6537A1-D6FC-4f65-9D91-7224C49458BB}"/>
                <c:ext xmlns:c16="http://schemas.microsoft.com/office/drawing/2014/chart" uri="{C3380CC4-5D6E-409C-BE32-E72D297353CC}">
                  <c16:uniqueId val="{00000005-C616-437A-9FA6-4AE8E0D3DD78}"/>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Sheet1!$C$10:$C$17</c:f>
              <c:numCache>
                <c:formatCode>0.0</c:formatCode>
                <c:ptCount val="8"/>
                <c:pt idx="0">
                  <c:v>10.8</c:v>
                </c:pt>
                <c:pt idx="1">
                  <c:v>10.9</c:v>
                </c:pt>
                <c:pt idx="2">
                  <c:v>10.7</c:v>
                </c:pt>
                <c:pt idx="3">
                  <c:v>9</c:v>
                </c:pt>
                <c:pt idx="4">
                  <c:v>6.9</c:v>
                </c:pt>
                <c:pt idx="5">
                  <c:v>7.2</c:v>
                </c:pt>
                <c:pt idx="6">
                  <c:v>6.6</c:v>
                </c:pt>
                <c:pt idx="7">
                  <c:v>8.8000000000000007</c:v>
                </c:pt>
              </c:numCache>
            </c:numRef>
          </c:val>
          <c:smooth val="0"/>
          <c:extLst>
            <c:ext xmlns:c16="http://schemas.microsoft.com/office/drawing/2014/chart" uri="{C3380CC4-5D6E-409C-BE32-E72D297353CC}">
              <c16:uniqueId val="{00000001-B1BF-434D-9875-E38EB9269C5D}"/>
            </c:ext>
          </c:extLst>
        </c:ser>
        <c:dLbls>
          <c:showLegendKey val="0"/>
          <c:showVal val="0"/>
          <c:showCatName val="0"/>
          <c:showSerName val="0"/>
          <c:showPercent val="0"/>
          <c:showBubbleSize val="0"/>
        </c:dLbls>
        <c:marker val="1"/>
        <c:smooth val="0"/>
        <c:axId val="153749760"/>
        <c:axId val="153756032"/>
      </c:lineChart>
      <c:catAx>
        <c:axId val="15374976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53756032"/>
        <c:crosses val="autoZero"/>
        <c:auto val="1"/>
        <c:lblAlgn val="ctr"/>
        <c:lblOffset val="100"/>
        <c:noMultiLvlLbl val="0"/>
      </c:catAx>
      <c:valAx>
        <c:axId val="153756032"/>
        <c:scaling>
          <c:orientation val="minMax"/>
          <c:max val="2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txPr>
          <a:bodyPr/>
          <a:lstStyle/>
          <a:p>
            <a:pPr>
              <a:defRPr lang="en-GB"/>
            </a:pPr>
            <a:endParaRPr lang="ar-SA"/>
          </a:p>
        </c:txPr>
        <c:crossAx val="153749760"/>
        <c:crosses val="autoZero"/>
        <c:crossBetween val="between"/>
        <c:majorUnit val="5"/>
      </c:valAx>
    </c:plotArea>
    <c:legend>
      <c:legendPos val="t"/>
      <c:overlay val="0"/>
      <c:spPr>
        <a:ln>
          <a:solidFill>
            <a:schemeClr val="tx1"/>
          </a:solidFill>
        </a:ln>
      </c:spPr>
      <c:txPr>
        <a:bodyPr/>
        <a:lstStyle/>
        <a:p>
          <a:pPr>
            <a:defRPr lang="en-GB"/>
          </a:pPr>
          <a:endParaRPr lang="ar-SA"/>
        </a:p>
      </c:txPr>
    </c:legend>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Sheet1!$B$1</c:f>
              <c:strCache>
                <c:ptCount val="1"/>
                <c:pt idx="0">
                  <c:v>Palestine</c:v>
                </c:pt>
              </c:strCache>
            </c:strRef>
          </c:tx>
          <c:spPr>
            <a:ln>
              <a:solidFill>
                <a:srgbClr val="4F81BD">
                  <a:lumMod val="60000"/>
                  <a:lumOff val="40000"/>
                </a:srgbClr>
              </a:solidFill>
            </a:ln>
          </c:spPr>
          <c:dLbls>
            <c:dLbl>
              <c:idx val="0"/>
              <c:layout>
                <c:manualLayout>
                  <c:x val="-7.8551693976017911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FA-4E5D-B71E-F11A199206C9}"/>
                </c:ext>
              </c:extLst>
            </c:dLbl>
            <c:dLbl>
              <c:idx val="1"/>
              <c:delete val="1"/>
              <c:extLst>
                <c:ext xmlns:c15="http://schemas.microsoft.com/office/drawing/2012/chart" uri="{CE6537A1-D6FC-4f65-9D91-7224C49458BB}"/>
                <c:ext xmlns:c16="http://schemas.microsoft.com/office/drawing/2014/chart" uri="{C3380CC4-5D6E-409C-BE32-E72D297353CC}">
                  <c16:uniqueId val="{00000001-64FA-4E5D-B71E-F11A199206C9}"/>
                </c:ext>
              </c:extLst>
            </c:dLbl>
            <c:dLbl>
              <c:idx val="2"/>
              <c:delete val="1"/>
              <c:extLst>
                <c:ext xmlns:c15="http://schemas.microsoft.com/office/drawing/2012/chart" uri="{CE6537A1-D6FC-4f65-9D91-7224C49458BB}"/>
                <c:ext xmlns:c16="http://schemas.microsoft.com/office/drawing/2014/chart" uri="{C3380CC4-5D6E-409C-BE32-E72D297353CC}">
                  <c16:uniqueId val="{00000002-64FA-4E5D-B71E-F11A199206C9}"/>
                </c:ext>
              </c:extLst>
            </c:dLbl>
            <c:dLbl>
              <c:idx val="3"/>
              <c:delete val="1"/>
              <c:extLst>
                <c:ext xmlns:c15="http://schemas.microsoft.com/office/drawing/2012/chart" uri="{CE6537A1-D6FC-4f65-9D91-7224C49458BB}"/>
                <c:ext xmlns:c16="http://schemas.microsoft.com/office/drawing/2014/chart" uri="{C3380CC4-5D6E-409C-BE32-E72D297353CC}">
                  <c16:uniqueId val="{00000003-64FA-4E5D-B71E-F11A199206C9}"/>
                </c:ext>
              </c:extLst>
            </c:dLbl>
            <c:dLbl>
              <c:idx val="5"/>
              <c:delete val="1"/>
              <c:extLst>
                <c:ext xmlns:c15="http://schemas.microsoft.com/office/drawing/2012/chart" uri="{CE6537A1-D6FC-4f65-9D91-7224C49458BB}"/>
                <c:ext xmlns:c16="http://schemas.microsoft.com/office/drawing/2014/chart" uri="{C3380CC4-5D6E-409C-BE32-E72D297353CC}">
                  <c16:uniqueId val="{00000005-64FA-4E5D-B71E-F11A199206C9}"/>
                </c:ext>
              </c:extLst>
            </c:dLbl>
            <c:dLbl>
              <c:idx val="6"/>
              <c:delete val="1"/>
              <c:extLst>
                <c:ext xmlns:c15="http://schemas.microsoft.com/office/drawing/2012/chart" uri="{CE6537A1-D6FC-4f65-9D91-7224C49458BB}"/>
                <c:ext xmlns:c16="http://schemas.microsoft.com/office/drawing/2014/chart" uri="{C3380CC4-5D6E-409C-BE32-E72D297353CC}">
                  <c16:uniqueId val="{00000006-64FA-4E5D-B71E-F11A199206C9}"/>
                </c:ext>
              </c:extLst>
            </c:dLbl>
            <c:dLbl>
              <c:idx val="7"/>
              <c:delete val="1"/>
              <c:extLst>
                <c:ext xmlns:c15="http://schemas.microsoft.com/office/drawing/2012/chart" uri="{CE6537A1-D6FC-4f65-9D91-7224C49458BB}"/>
                <c:ext xmlns:c16="http://schemas.microsoft.com/office/drawing/2014/chart" uri="{C3380CC4-5D6E-409C-BE32-E72D297353CC}">
                  <c16:uniqueId val="{00000007-64FA-4E5D-B71E-F11A199206C9}"/>
                </c:ext>
              </c:extLst>
            </c:dLbl>
            <c:dLbl>
              <c:idx val="8"/>
              <c:delete val="1"/>
              <c:extLst>
                <c:ext xmlns:c15="http://schemas.microsoft.com/office/drawing/2012/chart" uri="{CE6537A1-D6FC-4f65-9D91-7224C49458BB}"/>
                <c:ext xmlns:c16="http://schemas.microsoft.com/office/drawing/2014/chart" uri="{C3380CC4-5D6E-409C-BE32-E72D297353CC}">
                  <c16:uniqueId val="{00000008-64FA-4E5D-B71E-F11A199206C9}"/>
                </c:ext>
              </c:extLst>
            </c:dLbl>
            <c:dLbl>
              <c:idx val="9"/>
              <c:delete val="1"/>
              <c:extLst>
                <c:ext xmlns:c15="http://schemas.microsoft.com/office/drawing/2012/chart" uri="{CE6537A1-D6FC-4f65-9D91-7224C49458BB}"/>
                <c:ext xmlns:c16="http://schemas.microsoft.com/office/drawing/2014/chart" uri="{C3380CC4-5D6E-409C-BE32-E72D297353CC}">
                  <c16:uniqueId val="{00000009-64FA-4E5D-B71E-F11A199206C9}"/>
                </c:ext>
              </c:extLst>
            </c:dLbl>
            <c:dLbl>
              <c:idx val="10"/>
              <c:delete val="1"/>
              <c:extLst>
                <c:ext xmlns:c15="http://schemas.microsoft.com/office/drawing/2012/chart" uri="{CE6537A1-D6FC-4f65-9D91-7224C49458BB}"/>
                <c:ext xmlns:c16="http://schemas.microsoft.com/office/drawing/2014/chart" uri="{C3380CC4-5D6E-409C-BE32-E72D297353CC}">
                  <c16:uniqueId val="{0000000A-64FA-4E5D-B71E-F11A199206C9}"/>
                </c:ext>
              </c:extLst>
            </c:dLbl>
            <c:dLbl>
              <c:idx val="11"/>
              <c:delete val="1"/>
              <c:extLst>
                <c:ext xmlns:c15="http://schemas.microsoft.com/office/drawing/2012/chart" uri="{CE6537A1-D6FC-4f65-9D91-7224C49458BB}"/>
                <c:ext xmlns:c16="http://schemas.microsoft.com/office/drawing/2014/chart" uri="{C3380CC4-5D6E-409C-BE32-E72D297353CC}">
                  <c16:uniqueId val="{0000000B-64FA-4E5D-B71E-F11A199206C9}"/>
                </c:ext>
              </c:extLst>
            </c:dLbl>
            <c:dLbl>
              <c:idx val="12"/>
              <c:delete val="1"/>
              <c:extLst>
                <c:ext xmlns:c15="http://schemas.microsoft.com/office/drawing/2012/chart" uri="{CE6537A1-D6FC-4f65-9D91-7224C49458BB}"/>
                <c:ext xmlns:c16="http://schemas.microsoft.com/office/drawing/2014/chart" uri="{C3380CC4-5D6E-409C-BE32-E72D297353CC}">
                  <c16:uniqueId val="{0000000C-64FA-4E5D-B71E-F11A199206C9}"/>
                </c:ext>
              </c:extLst>
            </c:dLbl>
            <c:dLbl>
              <c:idx val="13"/>
              <c:delete val="1"/>
              <c:extLst>
                <c:ext xmlns:c15="http://schemas.microsoft.com/office/drawing/2012/chart" uri="{CE6537A1-D6FC-4f65-9D91-7224C49458BB}"/>
                <c:ext xmlns:c16="http://schemas.microsoft.com/office/drawing/2014/chart" uri="{C3380CC4-5D6E-409C-BE32-E72D297353CC}">
                  <c16:uniqueId val="{0000000D-64FA-4E5D-B71E-F11A199206C9}"/>
                </c:ext>
              </c:extLst>
            </c:dLbl>
            <c:dLbl>
              <c:idx val="14"/>
              <c:delete val="1"/>
              <c:extLst>
                <c:ext xmlns:c15="http://schemas.microsoft.com/office/drawing/2012/chart" uri="{CE6537A1-D6FC-4f65-9D91-7224C49458BB}"/>
                <c:ext xmlns:c16="http://schemas.microsoft.com/office/drawing/2014/chart" uri="{C3380CC4-5D6E-409C-BE32-E72D297353CC}">
                  <c16:uniqueId val="{0000000E-64FA-4E5D-B71E-F11A199206C9}"/>
                </c:ext>
              </c:extLst>
            </c:dLbl>
            <c:dLbl>
              <c:idx val="15"/>
              <c:delete val="1"/>
              <c:extLst>
                <c:ext xmlns:c15="http://schemas.microsoft.com/office/drawing/2012/chart" uri="{CE6537A1-D6FC-4f65-9D91-7224C49458BB}"/>
                <c:ext xmlns:c16="http://schemas.microsoft.com/office/drawing/2014/chart" uri="{C3380CC4-5D6E-409C-BE32-E72D297353CC}">
                  <c16:uniqueId val="{0000000F-64FA-4E5D-B71E-F11A199206C9}"/>
                </c:ext>
              </c:extLst>
            </c:dLbl>
            <c:dLbl>
              <c:idx val="16"/>
              <c:delete val="1"/>
              <c:extLst>
                <c:ext xmlns:c15="http://schemas.microsoft.com/office/drawing/2012/chart" uri="{CE6537A1-D6FC-4f65-9D91-7224C49458BB}"/>
                <c:ext xmlns:c16="http://schemas.microsoft.com/office/drawing/2014/chart" uri="{C3380CC4-5D6E-409C-BE32-E72D297353CC}">
                  <c16:uniqueId val="{00000010-64FA-4E5D-B71E-F11A199206C9}"/>
                </c:ext>
              </c:extLst>
            </c:dLbl>
            <c:dLbl>
              <c:idx val="17"/>
              <c:delete val="1"/>
              <c:extLst>
                <c:ext xmlns:c15="http://schemas.microsoft.com/office/drawing/2012/chart" uri="{CE6537A1-D6FC-4f65-9D91-7224C49458BB}"/>
                <c:ext xmlns:c16="http://schemas.microsoft.com/office/drawing/2014/chart" uri="{C3380CC4-5D6E-409C-BE32-E72D297353CC}">
                  <c16:uniqueId val="{00000011-64FA-4E5D-B71E-F11A199206C9}"/>
                </c:ext>
              </c:extLst>
            </c:dLbl>
            <c:spPr>
              <a:noFill/>
              <a:ln w="2535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Sheet1!$A$16:$A$22</c:f>
              <c:numCache>
                <c:formatCode>General</c:formatCode>
                <c:ptCount val="7"/>
                <c:pt idx="0">
                  <c:v>2015</c:v>
                </c:pt>
                <c:pt idx="1">
                  <c:v>2016</c:v>
                </c:pt>
                <c:pt idx="2">
                  <c:v>2017</c:v>
                </c:pt>
                <c:pt idx="3">
                  <c:v>2018</c:v>
                </c:pt>
                <c:pt idx="4">
                  <c:v>2019</c:v>
                </c:pt>
                <c:pt idx="5">
                  <c:v>2020</c:v>
                </c:pt>
                <c:pt idx="6">
                  <c:v>2021</c:v>
                </c:pt>
              </c:numCache>
            </c:numRef>
          </c:cat>
          <c:val>
            <c:numRef>
              <c:f>Sheet1!$B$16:$B$22</c:f>
              <c:numCache>
                <c:formatCode>0.0</c:formatCode>
                <c:ptCount val="7"/>
                <c:pt idx="0">
                  <c:v>20.968382267999999</c:v>
                </c:pt>
                <c:pt idx="1">
                  <c:v>20.303962447</c:v>
                </c:pt>
                <c:pt idx="2">
                  <c:v>16.100000000000001</c:v>
                </c:pt>
                <c:pt idx="3">
                  <c:v>17.57</c:v>
                </c:pt>
                <c:pt idx="4">
                  <c:v>22.6</c:v>
                </c:pt>
                <c:pt idx="5">
                  <c:v>24.9</c:v>
                </c:pt>
                <c:pt idx="6">
                  <c:v>21</c:v>
                </c:pt>
              </c:numCache>
            </c:numRef>
          </c:val>
          <c:smooth val="0"/>
          <c:extLst>
            <c:ext xmlns:c16="http://schemas.microsoft.com/office/drawing/2014/chart" uri="{C3380CC4-5D6E-409C-BE32-E72D297353CC}">
              <c16:uniqueId val="{00000012-64FA-4E5D-B71E-F11A199206C9}"/>
            </c:ext>
          </c:extLst>
        </c:ser>
        <c:dLbls>
          <c:showLegendKey val="0"/>
          <c:showVal val="0"/>
          <c:showCatName val="0"/>
          <c:showSerName val="0"/>
          <c:showPercent val="0"/>
          <c:showBubbleSize val="0"/>
        </c:dLbls>
        <c:marker val="1"/>
        <c:smooth val="0"/>
        <c:axId val="153912448"/>
        <c:axId val="153914368"/>
      </c:lineChart>
      <c:catAx>
        <c:axId val="15391244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3600000"/>
          <a:lstStyle/>
          <a:p>
            <a:pPr>
              <a:defRPr lang="en-GB"/>
            </a:pPr>
            <a:endParaRPr lang="ar-SA"/>
          </a:p>
        </c:txPr>
        <c:crossAx val="153914368"/>
        <c:crosses val="autoZero"/>
        <c:auto val="1"/>
        <c:lblAlgn val="ctr"/>
        <c:lblOffset val="100"/>
        <c:noMultiLvlLbl val="0"/>
      </c:catAx>
      <c:valAx>
        <c:axId val="153914368"/>
        <c:scaling>
          <c:orientation val="minMax"/>
          <c:min val="1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53912448"/>
        <c:crosses val="autoZero"/>
        <c:crossBetween val="between"/>
      </c:valAx>
    </c:plotArea>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96E-2"/>
          <c:w val="0.8603708178973416"/>
          <c:h val="0.78512280701754389"/>
        </c:manualLayout>
      </c:layout>
      <c:barChart>
        <c:barDir val="col"/>
        <c:grouping val="clustered"/>
        <c:varyColors val="0"/>
        <c:ser>
          <c:idx val="1"/>
          <c:order val="0"/>
          <c:tx>
            <c:strRef>
              <c:f>Sheet1!$B$1</c:f>
              <c:strCache>
                <c:ptCount val="1"/>
                <c:pt idx="0">
                  <c:v>palestine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2017</c:v>
                </c:pt>
                <c:pt idx="1">
                  <c:v>2018</c:v>
                </c:pt>
              </c:numCache>
            </c:numRef>
          </c:cat>
          <c:val>
            <c:numRef>
              <c:f>Sheet1!$B$2:$B$3</c:f>
              <c:numCache>
                <c:formatCode>General</c:formatCode>
                <c:ptCount val="2"/>
                <c:pt idx="0">
                  <c:v>1.5</c:v>
                </c:pt>
                <c:pt idx="1">
                  <c:v>1.6</c:v>
                </c:pt>
              </c:numCache>
            </c:numRef>
          </c:val>
          <c:extLst>
            <c:ext xmlns:c16="http://schemas.microsoft.com/office/drawing/2014/chart" uri="{C3380CC4-5D6E-409C-BE32-E72D297353CC}">
              <c16:uniqueId val="{00000000-DEA3-4360-9CEE-E0C6FC23B055}"/>
            </c:ext>
          </c:extLst>
        </c:ser>
        <c:dLbls>
          <c:showLegendKey val="0"/>
          <c:showVal val="0"/>
          <c:showCatName val="0"/>
          <c:showSerName val="0"/>
          <c:showPercent val="0"/>
          <c:showBubbleSize val="0"/>
        </c:dLbls>
        <c:gapWidth val="219"/>
        <c:overlap val="-27"/>
        <c:axId val="153738624"/>
        <c:axId val="153998848"/>
      </c:barChart>
      <c:catAx>
        <c:axId val="1537386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51414828721023942"/>
              <c:y val="0.90114785651793561"/>
            </c:manualLayout>
          </c:layout>
          <c:overlay val="0"/>
        </c:title>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53998848"/>
        <c:crosses val="autoZero"/>
        <c:auto val="1"/>
        <c:lblAlgn val="ctr"/>
        <c:lblOffset val="100"/>
        <c:noMultiLvlLbl val="0"/>
      </c:catAx>
      <c:valAx>
        <c:axId val="15399884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153738624"/>
        <c:crosses val="autoZero"/>
        <c:crossBetween val="between"/>
      </c:valAx>
      <c:spPr>
        <a:noFill/>
        <a:ln w="25409">
          <a:noFill/>
        </a:ln>
      </c:spPr>
    </c:plotArea>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Sheet1!$B$11:$B$16</c:f>
              <c:strCache>
                <c:ptCount val="6"/>
                <c:pt idx="0">
                  <c:v>355</c:v>
                </c:pt>
                <c:pt idx="1">
                  <c:v>350</c:v>
                </c:pt>
                <c:pt idx="2">
                  <c:v>349</c:v>
                </c:pt>
                <c:pt idx="3">
                  <c:v>290</c:v>
                </c:pt>
                <c:pt idx="4">
                  <c:v>308</c:v>
                </c:pt>
                <c:pt idx="5">
                  <c:v>344</c:v>
                </c:pt>
              </c:strCache>
            </c:strRef>
          </c:tx>
          <c:spPr>
            <a:ln>
              <a:solidFill>
                <a:srgbClr val="EC6B2F"/>
              </a:solidFill>
            </a:ln>
          </c:spPr>
          <c:marker>
            <c:symbol val="none"/>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Sheet1!$A$11:$A$16</c:f>
              <c:numCache>
                <c:formatCode>General</c:formatCode>
                <c:ptCount val="6"/>
                <c:pt idx="0">
                  <c:v>2015</c:v>
                </c:pt>
                <c:pt idx="1">
                  <c:v>2016</c:v>
                </c:pt>
                <c:pt idx="2">
                  <c:v>2017</c:v>
                </c:pt>
                <c:pt idx="3">
                  <c:v>2018</c:v>
                </c:pt>
                <c:pt idx="4">
                  <c:v>2019</c:v>
                </c:pt>
                <c:pt idx="5">
                  <c:v>2020</c:v>
                </c:pt>
              </c:numCache>
            </c:numRef>
          </c:cat>
          <c:val>
            <c:numRef>
              <c:f>Sheet1!$B$11:$B$16</c:f>
              <c:numCache>
                <c:formatCode>General</c:formatCode>
                <c:ptCount val="6"/>
                <c:pt idx="0">
                  <c:v>355</c:v>
                </c:pt>
                <c:pt idx="1">
                  <c:v>350</c:v>
                </c:pt>
                <c:pt idx="2">
                  <c:v>349</c:v>
                </c:pt>
                <c:pt idx="3" formatCode="0">
                  <c:v>290</c:v>
                </c:pt>
                <c:pt idx="4" formatCode="0">
                  <c:v>308</c:v>
                </c:pt>
                <c:pt idx="5" formatCode="0">
                  <c:v>344</c:v>
                </c:pt>
              </c:numCache>
            </c:numRef>
          </c:val>
          <c:smooth val="0"/>
          <c:extLst>
            <c:ext xmlns:c16="http://schemas.microsoft.com/office/drawing/2014/chart" uri="{C3380CC4-5D6E-409C-BE32-E72D297353CC}">
              <c16:uniqueId val="{00000000-019F-41DF-9655-EEFA0A4729FF}"/>
            </c:ext>
          </c:extLst>
        </c:ser>
        <c:dLbls>
          <c:showLegendKey val="0"/>
          <c:showVal val="0"/>
          <c:showCatName val="0"/>
          <c:showSerName val="0"/>
          <c:showPercent val="0"/>
          <c:showBubbleSize val="0"/>
        </c:dLbls>
        <c:smooth val="0"/>
        <c:axId val="153904640"/>
        <c:axId val="153906560"/>
      </c:lineChart>
      <c:catAx>
        <c:axId val="153904640"/>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53906560"/>
        <c:crosses val="autoZero"/>
        <c:auto val="1"/>
        <c:lblAlgn val="ctr"/>
        <c:lblOffset val="100"/>
        <c:noMultiLvlLbl val="0"/>
      </c:catAx>
      <c:valAx>
        <c:axId val="153906560"/>
        <c:scaling>
          <c:orientation val="minMax"/>
          <c:min val="200"/>
        </c:scaling>
        <c:delete val="0"/>
        <c:axPos val="l"/>
        <c:title>
          <c:tx>
            <c:rich>
              <a:bodyPr/>
              <a:lstStyle/>
              <a:p>
                <a:pPr>
                  <a:defRPr lang="en-GB" sz="898" b="1" i="0" u="none" strike="noStrike" baseline="0">
                    <a:solidFill>
                      <a:srgbClr val="000000"/>
                    </a:solidFill>
                    <a:latin typeface="Arial"/>
                    <a:ea typeface="Arial"/>
                    <a:cs typeface="Arial"/>
                  </a:defRPr>
                </a:pPr>
                <a:r>
                  <a:rPr lang="en-US"/>
                  <a:t>Ton/USD Million</a:t>
                </a:r>
              </a:p>
            </c:rich>
          </c:tx>
          <c:overlay val="0"/>
        </c:title>
        <c:numFmt formatCode="General" sourceLinked="1"/>
        <c:majorTickMark val="out"/>
        <c:minorTickMark val="none"/>
        <c:tickLblPos val="nextTo"/>
        <c:txPr>
          <a:bodyPr/>
          <a:lstStyle/>
          <a:p>
            <a:pPr>
              <a:defRPr lang="en-GB"/>
            </a:pPr>
            <a:endParaRPr lang="ar-SA"/>
          </a:p>
        </c:txPr>
        <c:crossAx val="153904640"/>
        <c:crosses val="autoZero"/>
        <c:crossBetween val="between"/>
        <c:majorUnit val="50"/>
      </c:valAx>
    </c:plotArea>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1233682537865184E-2"/>
          <c:y val="0.11074689877263599"/>
          <c:w val="0.90382102457699964"/>
          <c:h val="0.68778690799243258"/>
        </c:manualLayout>
      </c:layout>
      <c:lineChart>
        <c:grouping val="standard"/>
        <c:varyColors val="0"/>
        <c:ser>
          <c:idx val="0"/>
          <c:order val="0"/>
          <c:tx>
            <c:strRef>
              <c:f>Sheet1!$B$1</c:f>
              <c:strCache>
                <c:ptCount val="1"/>
                <c:pt idx="0">
                  <c:v>Palestine</c:v>
                </c:pt>
              </c:strCache>
            </c:strRef>
          </c:tx>
          <c:spPr>
            <a:ln w="28543" cap="rnd">
              <a:solidFill>
                <a:srgbClr val="4F81BD">
                  <a:lumMod val="60000"/>
                  <a:lumOff val="40000"/>
                </a:srgbClr>
              </a:solidFill>
              <a:round/>
            </a:ln>
            <a:effectLst/>
          </c:spPr>
          <c:marker>
            <c:symbol val="none"/>
          </c:marker>
          <c:dLbls>
            <c:dLbl>
              <c:idx val="0"/>
              <c:layout>
                <c:manualLayout>
                  <c:x val="-7.2703238598810394E-2"/>
                  <c:y val="-4.929583637415667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85B-4990-AD21-6B7F4370973C}"/>
                </c:ext>
              </c:extLst>
            </c:dLbl>
            <c:dLbl>
              <c:idx val="1"/>
              <c:delete val="1"/>
              <c:extLst>
                <c:ext xmlns:c15="http://schemas.microsoft.com/office/drawing/2012/chart" uri="{CE6537A1-D6FC-4f65-9D91-7224C49458BB}"/>
                <c:ext xmlns:c16="http://schemas.microsoft.com/office/drawing/2014/chart" uri="{C3380CC4-5D6E-409C-BE32-E72D297353CC}">
                  <c16:uniqueId val="{00000001-C85B-4990-AD21-6B7F4370973C}"/>
                </c:ext>
              </c:extLst>
            </c:dLbl>
            <c:dLbl>
              <c:idx val="2"/>
              <c:delete val="1"/>
              <c:extLst>
                <c:ext xmlns:c15="http://schemas.microsoft.com/office/drawing/2012/chart" uri="{CE6537A1-D6FC-4f65-9D91-7224C49458BB}"/>
                <c:ext xmlns:c16="http://schemas.microsoft.com/office/drawing/2014/chart" uri="{C3380CC4-5D6E-409C-BE32-E72D297353CC}">
                  <c16:uniqueId val="{00000002-C85B-4990-AD21-6B7F4370973C}"/>
                </c:ext>
              </c:extLst>
            </c:dLbl>
            <c:dLbl>
              <c:idx val="3"/>
              <c:delete val="1"/>
              <c:extLst>
                <c:ext xmlns:c15="http://schemas.microsoft.com/office/drawing/2012/chart" uri="{CE6537A1-D6FC-4f65-9D91-7224C49458BB}"/>
                <c:ext xmlns:c16="http://schemas.microsoft.com/office/drawing/2014/chart" uri="{C3380CC4-5D6E-409C-BE32-E72D297353CC}">
                  <c16:uniqueId val="{00000003-C85B-4990-AD21-6B7F4370973C}"/>
                </c:ext>
              </c:extLst>
            </c:dLbl>
            <c:dLbl>
              <c:idx val="4"/>
              <c:layout>
                <c:manualLayout>
                  <c:x val="0"/>
                  <c:y val="1.6133369185264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85B-4990-AD21-6B7F437097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Sheet1!$A$16:$A$22</c:f>
              <c:numCache>
                <c:formatCode>General</c:formatCode>
                <c:ptCount val="7"/>
                <c:pt idx="0">
                  <c:v>2015</c:v>
                </c:pt>
                <c:pt idx="1">
                  <c:v>2016</c:v>
                </c:pt>
                <c:pt idx="2">
                  <c:v>2017</c:v>
                </c:pt>
                <c:pt idx="3">
                  <c:v>2018</c:v>
                </c:pt>
                <c:pt idx="4">
                  <c:v>2019</c:v>
                </c:pt>
                <c:pt idx="5">
                  <c:v>2020</c:v>
                </c:pt>
                <c:pt idx="6">
                  <c:v>2021</c:v>
                </c:pt>
              </c:numCache>
            </c:numRef>
          </c:cat>
          <c:val>
            <c:numRef>
              <c:f>Sheet1!$B$16:$B$22</c:f>
              <c:numCache>
                <c:formatCode>0.0</c:formatCode>
                <c:ptCount val="7"/>
                <c:pt idx="0">
                  <c:v>8.0884586360000004</c:v>
                </c:pt>
                <c:pt idx="1">
                  <c:v>9.7784360639999992</c:v>
                </c:pt>
                <c:pt idx="2">
                  <c:v>6.5</c:v>
                </c:pt>
                <c:pt idx="3">
                  <c:v>7.19</c:v>
                </c:pt>
                <c:pt idx="4">
                  <c:v>6.2</c:v>
                </c:pt>
                <c:pt idx="5">
                  <c:v>5.8</c:v>
                </c:pt>
                <c:pt idx="6" formatCode="0.0\ \ ">
                  <c:v>3.5</c:v>
                </c:pt>
              </c:numCache>
            </c:numRef>
          </c:val>
          <c:smooth val="0"/>
          <c:extLst>
            <c:ext xmlns:c16="http://schemas.microsoft.com/office/drawing/2014/chart" uri="{C3380CC4-5D6E-409C-BE32-E72D297353CC}">
              <c16:uniqueId val="{00000012-C85B-4990-AD21-6B7F4370973C}"/>
            </c:ext>
          </c:extLst>
        </c:ser>
        <c:dLbls>
          <c:showLegendKey val="0"/>
          <c:showVal val="0"/>
          <c:showCatName val="0"/>
          <c:showSerName val="0"/>
          <c:showPercent val="0"/>
          <c:showBubbleSize val="0"/>
        </c:dLbls>
        <c:smooth val="0"/>
        <c:axId val="179152384"/>
        <c:axId val="179154304"/>
      </c:lineChart>
      <c:catAx>
        <c:axId val="1791523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spPr>
          <a:noFill/>
          <a:ln w="9514" cap="flat" cmpd="sng" algn="ctr">
            <a:solidFill>
              <a:sysClr val="windowText" lastClr="000000"/>
            </a:solidFill>
            <a:round/>
          </a:ln>
          <a:effectLst/>
        </c:spPr>
        <c:txPr>
          <a:bodyPr rot="-3300000" vert="horz"/>
          <a:lstStyle/>
          <a:p>
            <a:pPr>
              <a:defRPr lang="en-GB"/>
            </a:pPr>
            <a:endParaRPr lang="ar-SA"/>
          </a:p>
        </c:txPr>
        <c:crossAx val="179154304"/>
        <c:crosses val="autoZero"/>
        <c:auto val="1"/>
        <c:lblAlgn val="ctr"/>
        <c:lblOffset val="100"/>
        <c:noMultiLvlLbl val="0"/>
      </c:catAx>
      <c:valAx>
        <c:axId val="179154304"/>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none"/>
        <c:minorTickMark val="none"/>
        <c:tickLblPos val="nextTo"/>
        <c:spPr>
          <a:solidFill>
            <a:sysClr val="window" lastClr="FFFFFF"/>
          </a:solidFill>
          <a:ln w="9514">
            <a:solidFill>
              <a:sysClr val="windowText" lastClr="000000"/>
            </a:solidFill>
          </a:ln>
        </c:spPr>
        <c:txPr>
          <a:bodyPr rot="-60000000" vert="horz"/>
          <a:lstStyle/>
          <a:p>
            <a:pPr>
              <a:defRPr lang="en-GB" baseline="0">
                <a:solidFill>
                  <a:sysClr val="windowText" lastClr="000000"/>
                </a:solidFill>
              </a:defRPr>
            </a:pPr>
            <a:endParaRPr lang="ar-SA"/>
          </a:p>
        </c:txPr>
        <c:crossAx val="179152384"/>
        <c:crosses val="autoZero"/>
        <c:crossBetween val="between"/>
      </c:valAx>
      <c:spPr>
        <a:noFill/>
        <a:ln w="25406">
          <a:noFill/>
        </a:ln>
      </c:spPr>
    </c:plotArea>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010660958843102E-2"/>
          <c:y val="6.9808622100375112E-2"/>
          <c:w val="0.8755149468836857"/>
          <c:h val="0.7716329208848921"/>
        </c:manualLayout>
      </c:layout>
      <c:lineChart>
        <c:grouping val="standard"/>
        <c:varyColors val="0"/>
        <c:ser>
          <c:idx val="0"/>
          <c:order val="0"/>
          <c:tx>
            <c:strRef>
              <c:f>Sheet1!$B$1</c:f>
              <c:strCache>
                <c:ptCount val="1"/>
                <c:pt idx="0">
                  <c:v>Series 1</c:v>
                </c:pt>
              </c:strCache>
            </c:strRef>
          </c:tx>
          <c:spPr>
            <a:ln>
              <a:solidFill>
                <a:srgbClr val="DC2F7B"/>
              </a:solidFill>
            </a:ln>
          </c:spPr>
          <c:marker>
            <c:spPr>
              <a:solidFill>
                <a:srgbClr val="DC2F7B"/>
              </a:solidFill>
              <a:ln>
                <a:solidFill>
                  <a:srgbClr val="DC2F7B"/>
                </a:solidFill>
              </a:ln>
            </c:spPr>
          </c:marker>
          <c:dLbls>
            <c:dLbl>
              <c:idx val="0"/>
              <c:layout>
                <c:manualLayout>
                  <c:x val="1.7446298113619019E-2"/>
                  <c:y val="-1.61943319838056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C1-4ADB-AB44-19087059280A}"/>
                </c:ext>
              </c:extLst>
            </c:dLbl>
            <c:dLbl>
              <c:idx val="1"/>
              <c:layout>
                <c:manualLayout>
                  <c:x val="-1.9627085377821443E-2"/>
                  <c:y val="-8.09716599190283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C1-4ADB-AB44-19087059280A}"/>
                </c:ext>
              </c:extLst>
            </c:dLbl>
            <c:dLbl>
              <c:idx val="2"/>
              <c:layout>
                <c:manualLayout>
                  <c:x val="-1.5265510849416944E-2"/>
                  <c:y val="-6.47773279352242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C1-4ADB-AB44-19087059280A}"/>
                </c:ext>
              </c:extLst>
            </c:dLbl>
            <c:numFmt formatCode="#,##0.0" sourceLinked="0"/>
            <c:spPr>
              <a:noFill/>
              <a:ln w="2536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Sheet1!$B$2:$B$5</c:f>
              <c:numCache>
                <c:formatCode>General</c:formatCode>
                <c:ptCount val="4"/>
                <c:pt idx="0">
                  <c:v>25.6</c:v>
                </c:pt>
                <c:pt idx="1">
                  <c:v>24.4</c:v>
                </c:pt>
                <c:pt idx="2">
                  <c:v>24</c:v>
                </c:pt>
                <c:pt idx="3">
                  <c:v>23.4</c:v>
                </c:pt>
              </c:numCache>
            </c:numRef>
          </c:val>
          <c:smooth val="0"/>
          <c:extLst>
            <c:ext xmlns:c16="http://schemas.microsoft.com/office/drawing/2014/chart" uri="{C3380CC4-5D6E-409C-BE32-E72D297353CC}">
              <c16:uniqueId val="{00000003-86C1-4ADB-AB44-19087059280A}"/>
            </c:ext>
          </c:extLst>
        </c:ser>
        <c:dLbls>
          <c:showLegendKey val="0"/>
          <c:showVal val="0"/>
          <c:showCatName val="0"/>
          <c:showSerName val="0"/>
          <c:showPercent val="0"/>
          <c:showBubbleSize val="0"/>
        </c:dLbls>
        <c:marker val="1"/>
        <c:smooth val="0"/>
        <c:axId val="179102848"/>
        <c:axId val="179104768"/>
      </c:lineChart>
      <c:catAx>
        <c:axId val="17910284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104768"/>
        <c:crosses val="autoZero"/>
        <c:auto val="1"/>
        <c:lblAlgn val="ctr"/>
        <c:lblOffset val="100"/>
        <c:noMultiLvlLbl val="0"/>
      </c:catAx>
      <c:valAx>
        <c:axId val="17910476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102848"/>
        <c:crosses val="autoZero"/>
        <c:crossBetween val="between"/>
        <c:majorUnit val="0.5"/>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3196721385943"/>
          <c:y val="9.6969696969697067E-2"/>
          <c:w val="0.87137363281303315"/>
          <c:h val="0.68927764671645653"/>
        </c:manualLayout>
      </c:layout>
      <c:barChart>
        <c:barDir val="col"/>
        <c:grouping val="clustered"/>
        <c:varyColors val="0"/>
        <c:ser>
          <c:idx val="0"/>
          <c:order val="0"/>
          <c:tx>
            <c:strRef>
              <c:f>Sheet1!$B$1</c:f>
              <c:strCache>
                <c:ptCount val="1"/>
                <c:pt idx="0">
                  <c:v>2017</c:v>
                </c:pt>
              </c:strCache>
            </c:strRef>
          </c:tx>
          <c:spPr>
            <a:solidFill>
              <a:srgbClr val="DC2F82"/>
            </a:solidFill>
            <a:ln w="28560">
              <a:solidFill>
                <a:srgbClr val="DC2F82"/>
              </a:solidFill>
            </a:ln>
          </c:spPr>
          <c:invertIfNegative val="0"/>
          <c:dPt>
            <c:idx val="0"/>
            <c:invertIfNegative val="0"/>
            <c:bubble3D val="0"/>
            <c:spPr>
              <a:solidFill>
                <a:srgbClr val="DC2F7B"/>
              </a:solidFill>
              <a:ln w="28560">
                <a:solidFill>
                  <a:srgbClr val="DC2F82"/>
                </a:solidFill>
              </a:ln>
            </c:spPr>
            <c:extLst>
              <c:ext xmlns:c16="http://schemas.microsoft.com/office/drawing/2014/chart" uri="{C3380CC4-5D6E-409C-BE32-E72D297353CC}">
                <c16:uniqueId val="{00000001-5DD1-46AD-92B4-24A9C6D3C3E0}"/>
              </c:ext>
            </c:extLst>
          </c:dPt>
          <c:dLbls>
            <c:dLbl>
              <c:idx val="1"/>
              <c:layout>
                <c:manualLayout>
                  <c:x val="-4.5662100456622034E-3"/>
                  <c:y val="-4.24242424242424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D1-46AD-92B4-24A9C6D3C3E0}"/>
                </c:ext>
              </c:extLst>
            </c:dLbl>
            <c:dLbl>
              <c:idx val="2"/>
              <c:layout>
                <c:manualLayout>
                  <c:x val="0"/>
                  <c:y val="-6.0606060606060622E-2"/>
                </c:manualLayout>
              </c:layout>
              <c:numFmt formatCode="#,##0.0" sourceLinked="0"/>
              <c:spPr/>
              <c:txPr>
                <a:bodyPr/>
                <a:lstStyle/>
                <a:p>
                  <a:pPr>
                    <a:defRPr lang="en-GB"/>
                  </a:pPr>
                  <a:endParaRPr lang="ar-S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D1-46AD-92B4-24A9C6D3C3E0}"/>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General</c:formatCode>
                <c:ptCount val="3"/>
                <c:pt idx="0">
                  <c:v>17.3</c:v>
                </c:pt>
                <c:pt idx="1">
                  <c:v>3.7</c:v>
                </c:pt>
                <c:pt idx="2">
                  <c:v>41.9</c:v>
                </c:pt>
              </c:numCache>
            </c:numRef>
          </c:val>
          <c:extLst>
            <c:ext xmlns:c16="http://schemas.microsoft.com/office/drawing/2014/chart" uri="{C3380CC4-5D6E-409C-BE32-E72D297353CC}">
              <c16:uniqueId val="{00000004-5DD1-46AD-92B4-24A9C6D3C3E0}"/>
            </c:ext>
          </c:extLst>
        </c:ser>
        <c:dLbls>
          <c:showLegendKey val="0"/>
          <c:showVal val="0"/>
          <c:showCatName val="0"/>
          <c:showSerName val="0"/>
          <c:showPercent val="0"/>
          <c:showBubbleSize val="0"/>
        </c:dLbls>
        <c:gapWidth val="150"/>
        <c:axId val="152360064"/>
        <c:axId val="152361984"/>
      </c:barChart>
      <c:catAx>
        <c:axId val="15236006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Region</a:t>
                </a:r>
                <a:endParaRPr lang="ar-JO"/>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52361984"/>
        <c:crosses val="autoZero"/>
        <c:auto val="1"/>
        <c:lblAlgn val="ctr"/>
        <c:lblOffset val="100"/>
        <c:noMultiLvlLbl val="0"/>
      </c:catAx>
      <c:valAx>
        <c:axId val="15236198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endParaRPr lang="ar-JO"/>
              </a:p>
            </c:rich>
          </c:tx>
          <c:overlay val="0"/>
        </c:title>
        <c:numFmt formatCode="#,##0" sourceLinked="0"/>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5236006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45079392288458"/>
          <c:y val="0.22743453790530366"/>
          <c:w val="0.85302756464481277"/>
          <c:h val="0.59852164109158579"/>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Sheet1!$B$2:$B$3</c:f>
              <c:numCache>
                <c:formatCode>General</c:formatCode>
                <c:ptCount val="2"/>
                <c:pt idx="0" formatCode="0.0">
                  <c:v>10.5</c:v>
                </c:pt>
                <c:pt idx="1">
                  <c:v>10.200000000000001</c:v>
                </c:pt>
              </c:numCache>
            </c:numRef>
          </c:val>
          <c:extLst>
            <c:ext xmlns:c16="http://schemas.microsoft.com/office/drawing/2014/chart" uri="{C3380CC4-5D6E-409C-BE32-E72D297353CC}">
              <c16:uniqueId val="{00000000-E9C5-4947-B325-9BFB4FDD51FB}"/>
            </c:ext>
          </c:extLst>
        </c:ser>
        <c:ser>
          <c:idx val="1"/>
          <c:order val="1"/>
          <c:tx>
            <c:strRef>
              <c:f>Sheet1!$C$1</c:f>
              <c:strCache>
                <c:ptCount val="1"/>
                <c:pt idx="0">
                  <c:v>West Bank</c:v>
                </c:pt>
              </c:strCache>
            </c:strRef>
          </c:tx>
          <c:spPr>
            <a:solidFill>
              <a:srgbClr val="4F81BD">
                <a:lumMod val="40000"/>
                <a:lumOff val="6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Sheet1!$C$2:$C$3</c:f>
              <c:numCache>
                <c:formatCode>General</c:formatCode>
                <c:ptCount val="2"/>
                <c:pt idx="0" formatCode="0.0">
                  <c:v>8</c:v>
                </c:pt>
                <c:pt idx="1">
                  <c:v>7.8</c:v>
                </c:pt>
              </c:numCache>
            </c:numRef>
          </c:val>
          <c:extLst>
            <c:ext xmlns:c16="http://schemas.microsoft.com/office/drawing/2014/chart" uri="{C3380CC4-5D6E-409C-BE32-E72D297353CC}">
              <c16:uniqueId val="{00000001-E9C5-4947-B325-9BFB4FDD51FB}"/>
            </c:ext>
          </c:extLst>
        </c:ser>
        <c:ser>
          <c:idx val="2"/>
          <c:order val="2"/>
          <c:tx>
            <c:strRef>
              <c:f>Sheet1!$D$1</c:f>
              <c:strCache>
                <c:ptCount val="1"/>
                <c:pt idx="0">
                  <c:v>Gaza Strip</c:v>
                </c:pt>
              </c:strCache>
            </c:strRef>
          </c:tx>
          <c:spPr>
            <a:solidFill>
              <a:srgbClr val="9BBB59">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Sheet1!$D$2:$D$3</c:f>
              <c:numCache>
                <c:formatCode>General</c:formatCode>
                <c:ptCount val="2"/>
                <c:pt idx="0" formatCode="0.0">
                  <c:v>14.5</c:v>
                </c:pt>
                <c:pt idx="1">
                  <c:v>14.1</c:v>
                </c:pt>
              </c:numCache>
            </c:numRef>
          </c:val>
          <c:extLst>
            <c:ext xmlns:c16="http://schemas.microsoft.com/office/drawing/2014/chart" uri="{C3380CC4-5D6E-409C-BE32-E72D297353CC}">
              <c16:uniqueId val="{00000002-E9C5-4947-B325-9BFB4FDD51FB}"/>
            </c:ext>
          </c:extLst>
        </c:ser>
        <c:dLbls>
          <c:showLegendKey val="0"/>
          <c:showVal val="1"/>
          <c:showCatName val="0"/>
          <c:showSerName val="0"/>
          <c:showPercent val="0"/>
          <c:showBubbleSize val="0"/>
        </c:dLbls>
        <c:gapWidth val="150"/>
        <c:axId val="179308800"/>
        <c:axId val="179315072"/>
      </c:barChart>
      <c:catAx>
        <c:axId val="179308800"/>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Region</a:t>
                </a:r>
              </a:p>
            </c:rich>
          </c:tx>
          <c:layout>
            <c:manualLayout>
              <c:xMode val="edge"/>
              <c:yMode val="edge"/>
              <c:x val="0.43223632481339724"/>
              <c:y val="0.87918014136955569"/>
            </c:manualLayout>
          </c:layout>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315072"/>
        <c:crosses val="autoZero"/>
        <c:auto val="1"/>
        <c:lblAlgn val="ctr"/>
        <c:lblOffset val="100"/>
        <c:noMultiLvlLbl val="0"/>
      </c:catAx>
      <c:valAx>
        <c:axId val="179315072"/>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0" sourceLinked="0"/>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9308800"/>
        <c:crosses val="autoZero"/>
        <c:crossBetween val="between"/>
      </c:valAx>
    </c:plotArea>
    <c:legend>
      <c:legendPos val="r"/>
      <c:layout>
        <c:manualLayout>
          <c:xMode val="edge"/>
          <c:yMode val="edge"/>
          <c:x val="0.50496052905463129"/>
          <c:y val="4.2948929831154684E-2"/>
          <c:w val="0.47133911451938426"/>
          <c:h val="0.13478693972914121"/>
        </c:manualLayout>
      </c:layout>
      <c:overlay val="0"/>
      <c:spPr>
        <a:ln>
          <a:solidFill>
            <a:sysClr val="windowText" lastClr="000000">
              <a:shade val="95000"/>
              <a:satMod val="105000"/>
            </a:sysClr>
          </a:solidFill>
        </a:ln>
      </c:spPr>
    </c:legend>
    <c:plotVisOnly val="1"/>
    <c:dispBlanksAs val="gap"/>
    <c:showDLblsOverMax val="0"/>
  </c:chart>
  <c:spPr>
    <a:ln>
      <a:noFill/>
    </a:ln>
  </c:spPr>
  <c:externalData r:id="rId2">
    <c:autoUpdate val="0"/>
  </c:externalData>
</c:chartSpace>
</file>

<file path=word/drawings/_rels/drawing1.xml.rels><?xml version="1.0" encoding="UTF-8" standalone="yes"?>
<Relationships xmlns="http://schemas.openxmlformats.org/package/2006/relationships"><Relationship Id="rId8" Type="http://schemas.openxmlformats.org/officeDocument/2006/relationships/image" Target="../media/image12.jpeg"/><Relationship Id="rId13" Type="http://schemas.openxmlformats.org/officeDocument/2006/relationships/image" Target="../media/image17.jpeg"/><Relationship Id="rId3" Type="http://schemas.openxmlformats.org/officeDocument/2006/relationships/image" Target="../media/image7.jpeg"/><Relationship Id="rId7" Type="http://schemas.openxmlformats.org/officeDocument/2006/relationships/image" Target="../media/image11.jpeg"/><Relationship Id="rId12" Type="http://schemas.openxmlformats.org/officeDocument/2006/relationships/image" Target="../media/image16.jpeg"/><Relationship Id="rId17" Type="http://schemas.openxmlformats.org/officeDocument/2006/relationships/image" Target="../media/image21.jpeg"/><Relationship Id="rId2" Type="http://schemas.openxmlformats.org/officeDocument/2006/relationships/image" Target="../media/image6.jpeg"/><Relationship Id="rId16" Type="http://schemas.openxmlformats.org/officeDocument/2006/relationships/image" Target="../media/image20.jpeg"/><Relationship Id="rId1" Type="http://schemas.openxmlformats.org/officeDocument/2006/relationships/image" Target="../media/image5.jpeg"/><Relationship Id="rId6" Type="http://schemas.openxmlformats.org/officeDocument/2006/relationships/image" Target="../media/image10.jpeg"/><Relationship Id="rId11" Type="http://schemas.openxmlformats.org/officeDocument/2006/relationships/image" Target="../media/image15.jpeg"/><Relationship Id="rId5" Type="http://schemas.openxmlformats.org/officeDocument/2006/relationships/image" Target="../media/image9.jpeg"/><Relationship Id="rId15" Type="http://schemas.openxmlformats.org/officeDocument/2006/relationships/image" Target="../media/image19.jpeg"/><Relationship Id="rId10" Type="http://schemas.openxmlformats.org/officeDocument/2006/relationships/image" Target="../media/image14.jpeg"/><Relationship Id="rId4" Type="http://schemas.openxmlformats.org/officeDocument/2006/relationships/image" Target="../media/image8.jpeg"/><Relationship Id="rId9" Type="http://schemas.openxmlformats.org/officeDocument/2006/relationships/image" Target="../media/image13.jpeg"/><Relationship Id="rId14" Type="http://schemas.openxmlformats.org/officeDocument/2006/relationships/image" Target="../media/image18.jpeg"/></Relationships>
</file>

<file path=word/drawings/_rels/drawing2.xml.rels><?xml version="1.0" encoding="UTF-8" standalone="yes"?>
<Relationships xmlns="http://schemas.openxmlformats.org/package/2006/relationships"><Relationship Id="rId1" Type="http://schemas.openxmlformats.org/officeDocument/2006/relationships/image" Target="../media/image39.png"/></Relationships>
</file>

<file path=word/drawings/drawing1.xml><?xml version="1.0" encoding="utf-8"?>
<c:userShapes xmlns:c="http://schemas.openxmlformats.org/drawingml/2006/chart">
  <cdr:relSizeAnchor xmlns:cdr="http://schemas.openxmlformats.org/drawingml/2006/chartDrawing">
    <cdr:from>
      <cdr:x>0.54763</cdr:x>
      <cdr:y>0.06972</cdr:y>
    </cdr:from>
    <cdr:to>
      <cdr:x>0.59379</cdr:x>
      <cdr:y>0.93279</cdr:y>
    </cdr:to>
    <cdr:grpSp>
      <cdr:nvGrpSpPr>
        <cdr:cNvPr id="20" name="Group 18"/>
        <cdr:cNvGrpSpPr/>
      </cdr:nvGrpSpPr>
      <cdr:grpSpPr>
        <a:xfrm xmlns:a="http://schemas.openxmlformats.org/drawingml/2006/main">
          <a:off x="3013211" y="300830"/>
          <a:ext cx="253985" cy="3723996"/>
          <a:chOff x="3056255" y="349885"/>
          <a:chExt cx="233070" cy="3937765"/>
        </a:xfrm>
      </cdr:grpSpPr>
    </cdr:grpSp>
  </cdr:relSizeAnchor>
  <cdr:relSizeAnchor xmlns:cdr="http://schemas.openxmlformats.org/drawingml/2006/chartDrawing">
    <cdr:from>
      <cdr:x>0.54672</cdr:x>
      <cdr:y>0.07</cdr:y>
    </cdr:from>
    <cdr:to>
      <cdr:x>0.59122</cdr:x>
      <cdr:y>0.93275</cdr:y>
    </cdr:to>
    <cdr:grpSp>
      <cdr:nvGrpSpPr>
        <cdr:cNvPr id="1025" name="Group 18"/>
        <cdr:cNvGrpSpPr>
          <a:grpSpLocks xmlns:a="http://schemas.openxmlformats.org/drawingml/2006/main"/>
        </cdr:cNvGrpSpPr>
      </cdr:nvGrpSpPr>
      <cdr:grpSpPr bwMode="auto">
        <a:xfrm xmlns:a="http://schemas.openxmlformats.org/drawingml/2006/main">
          <a:off x="3008204" y="302038"/>
          <a:ext cx="244851" cy="3722615"/>
          <a:chOff x="3056255" y="349885"/>
          <a:chExt cx="233070" cy="3937765"/>
        </a:xfrm>
      </cdr:grpSpPr>
      <cdr:pic>
        <cdr:nvPicPr>
          <cdr:cNvPr id="2" name="Picture 1" descr="C:\Users\nodeh\AppData\Local\Microsoft\Windows\INetCache\Content.Word\E_SDG_PRINT-17-17.jpg"/>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3061335" y="34988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3" name="Picture 2" descr="C:\Users\nodeh\AppData\Local\Microsoft\Windows\INetCache\Content.Outlook\ZEOEOOG1\E_SDG_PRINT-16-16.jpg"/>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56255" y="582295"/>
            <a:ext cx="22606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4" name="Picture 3" descr="C:\Users\nodeh\AppData\Local\Microsoft\Windows\INetCache\Content.Word\E_SDG_PRINT-15-15.jpg"/>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3061335" y="81470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5" name="Picture 4" descr="C:\Users\nodeh\AppData\Local\Microsoft\Windows\INetCache\Content.Word\E_SDG_PRINT-14-14.jpg"/>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061335" y="105283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6" name="Picture 5" descr="C:\Users\nodeh\AppData\Local\Microsoft\Windows\INetCache\Content.Word\E_SDG_PRINT-13-13.jpg"/>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3061335" y="129095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7" name="Picture 6" descr="C:\Users\nodeh\AppData\Local\Microsoft\Windows\INetCache\Content.Word\E_SDG_PRINT-12-12.jpg"/>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3061335" y="152400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8" name="Picture 7" descr="C:\Users\nodeh\AppData\Local\Microsoft\Windows\INetCache\Content.Word\E_SDG_PRINT-11-11.jpg"/>
          <cdr:cNvPicPr/>
        </cdr:nvPicPr>
        <cdr:blipFill>
          <a:blip xmlns:a="http://schemas.openxmlformats.org/drawingml/2006/main" xmlns:r="http://schemas.openxmlformats.org/officeDocument/2006/relationships" r:embed="rId7"/>
          <a:srcRect xmlns:a="http://schemas.openxmlformats.org/drawingml/2006/main"/>
          <a:stretch xmlns:a="http://schemas.openxmlformats.org/drawingml/2006/main">
            <a:fillRect/>
          </a:stretch>
        </cdr:blipFill>
        <cdr:spPr bwMode="auto">
          <a:xfrm xmlns:a="http://schemas.openxmlformats.org/drawingml/2006/main">
            <a:off x="3061335" y="175641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9" name="Picture 8" descr="C:\Users\nodeh\AppData\Local\Microsoft\Windows\INetCache\Content.Word\E_SDG_PRINT-10-10.jpg"/>
          <cdr:cNvPicPr/>
        </cdr:nvPicPr>
        <cdr:blipFill>
          <a:blip xmlns:a="http://schemas.openxmlformats.org/drawingml/2006/main" xmlns:r="http://schemas.openxmlformats.org/officeDocument/2006/relationships" r:embed="rId8"/>
          <a:srcRect xmlns:a="http://schemas.openxmlformats.org/drawingml/2006/main"/>
          <a:stretch xmlns:a="http://schemas.openxmlformats.org/drawingml/2006/main">
            <a:fillRect/>
          </a:stretch>
        </cdr:blipFill>
        <cdr:spPr bwMode="auto">
          <a:xfrm xmlns:a="http://schemas.openxmlformats.org/drawingml/2006/main">
            <a:off x="3061335" y="19888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0" name="Picture 9" descr="C:\Users\nodeh\AppData\Local\Microsoft\Windows\INetCache\Content.Word\E_SDG_PRINT-09-09.jpg"/>
          <cdr:cNvPicPr/>
        </cdr:nvPicPr>
        <cdr:blipFill>
          <a:blip xmlns:a="http://schemas.openxmlformats.org/drawingml/2006/main" xmlns:r="http://schemas.openxmlformats.org/officeDocument/2006/relationships" r:embed="rId9"/>
          <a:srcRect xmlns:a="http://schemas.openxmlformats.org/drawingml/2006/main"/>
          <a:stretch xmlns:a="http://schemas.openxmlformats.org/drawingml/2006/main">
            <a:fillRect/>
          </a:stretch>
        </cdr:blipFill>
        <cdr:spPr bwMode="auto">
          <a:xfrm xmlns:a="http://schemas.openxmlformats.org/drawingml/2006/main">
            <a:off x="3061335" y="222186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1" name="Picture 10" descr="C:\Users\nodeh\AppData\Local\Microsoft\Windows\INetCache\Content.Word\E_SDG_PRINT-08-08.jpg"/>
          <cdr:cNvPicPr/>
        </cdr:nvPicPr>
        <cdr:blipFill>
          <a:blip xmlns:a="http://schemas.openxmlformats.org/drawingml/2006/main" xmlns:r="http://schemas.openxmlformats.org/officeDocument/2006/relationships" r:embed="rId10"/>
          <a:srcRect xmlns:a="http://schemas.openxmlformats.org/drawingml/2006/main"/>
          <a:stretch xmlns:a="http://schemas.openxmlformats.org/drawingml/2006/main">
            <a:fillRect/>
          </a:stretch>
        </cdr:blipFill>
        <cdr:spPr bwMode="auto">
          <a:xfrm xmlns:a="http://schemas.openxmlformats.org/drawingml/2006/main">
            <a:off x="3061335" y="244919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2" name="Picture 11" descr="C:\Users\nodeh\AppData\Local\Microsoft\Windows\INetCache\Content.Word\E_SDG_PRINT-07-07.jpg"/>
          <cdr:cNvPicPr/>
        </cdr:nvPicPr>
        <cdr:blipFill>
          <a:blip xmlns:a="http://schemas.openxmlformats.org/drawingml/2006/main" xmlns:r="http://schemas.openxmlformats.org/officeDocument/2006/relationships" r:embed="rId11"/>
          <a:srcRect xmlns:a="http://schemas.openxmlformats.org/drawingml/2006/main"/>
          <a:stretch xmlns:a="http://schemas.openxmlformats.org/drawingml/2006/main">
            <a:fillRect/>
          </a:stretch>
        </cdr:blipFill>
        <cdr:spPr bwMode="auto">
          <a:xfrm xmlns:a="http://schemas.openxmlformats.org/drawingml/2006/main">
            <a:off x="3061335" y="267589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3" name="Picture 12" descr="C:\Users\nodeh\AppData\Local\Microsoft\Windows\INetCache\Content.Word\E_SDG_PRINT-06-06.jpg"/>
          <cdr:cNvPicPr/>
        </cdr:nvPicPr>
        <cdr:blipFill>
          <a:blip xmlns:a="http://schemas.openxmlformats.org/drawingml/2006/main" xmlns:r="http://schemas.openxmlformats.org/officeDocument/2006/relationships" r:embed="rId12"/>
          <a:srcRect xmlns:a="http://schemas.openxmlformats.org/drawingml/2006/main"/>
          <a:stretch xmlns:a="http://schemas.openxmlformats.org/drawingml/2006/main">
            <a:fillRect/>
          </a:stretch>
        </cdr:blipFill>
        <cdr:spPr bwMode="auto">
          <a:xfrm xmlns:a="http://schemas.openxmlformats.org/drawingml/2006/main">
            <a:off x="3061335" y="29032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4" name="Picture 13" descr="C:\Users\nodeh\AppData\Local\Microsoft\Windows\INetCache\Content.Word\E_SDG_PRINT-05-05.jpg"/>
          <cdr:cNvPicPr/>
        </cdr:nvPicPr>
        <cdr:blipFill>
          <a:blip xmlns:a="http://schemas.openxmlformats.org/drawingml/2006/main" xmlns:r="http://schemas.openxmlformats.org/officeDocument/2006/relationships" r:embed="rId13"/>
          <a:srcRect xmlns:a="http://schemas.openxmlformats.org/drawingml/2006/main"/>
          <a:stretch xmlns:a="http://schemas.openxmlformats.org/drawingml/2006/main">
            <a:fillRect/>
          </a:stretch>
        </cdr:blipFill>
        <cdr:spPr bwMode="auto">
          <a:xfrm xmlns:a="http://schemas.openxmlformats.org/drawingml/2006/main">
            <a:off x="3061335" y="31305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5" name="Picture 14" descr="C:\Users\nodeh\AppData\Local\Microsoft\Windows\INetCache\Content.Word\E_SDG_PRINT-04-04.jpg"/>
          <cdr:cNvPicPr/>
        </cdr:nvPicPr>
        <cdr:blipFill>
          <a:blip xmlns:a="http://schemas.openxmlformats.org/drawingml/2006/main" xmlns:r="http://schemas.openxmlformats.org/officeDocument/2006/relationships" r:embed="rId14"/>
          <a:srcRect xmlns:a="http://schemas.openxmlformats.org/drawingml/2006/main"/>
          <a:stretch xmlns:a="http://schemas.openxmlformats.org/drawingml/2006/main">
            <a:fillRect/>
          </a:stretch>
        </cdr:blipFill>
        <cdr:spPr bwMode="auto">
          <a:xfrm xmlns:a="http://schemas.openxmlformats.org/drawingml/2006/main">
            <a:off x="3058580" y="336355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6" name="Picture 15" descr="C:\Users\nodeh\AppData\Local\Microsoft\Windows\INetCache\Content.Word\E_SDG_PRINT-03-03.jpg"/>
          <cdr:cNvPicPr/>
        </cdr:nvPicPr>
        <cdr:blipFill>
          <a:blip xmlns:a="http://schemas.openxmlformats.org/drawingml/2006/main" xmlns:r="http://schemas.openxmlformats.org/officeDocument/2006/relationships" r:embed="rId15"/>
          <a:srcRect xmlns:a="http://schemas.openxmlformats.org/drawingml/2006/main"/>
          <a:stretch xmlns:a="http://schemas.openxmlformats.org/drawingml/2006/main">
            <a:fillRect/>
          </a:stretch>
        </cdr:blipFill>
        <cdr:spPr bwMode="auto">
          <a:xfrm xmlns:a="http://schemas.openxmlformats.org/drawingml/2006/main">
            <a:off x="3068556" y="359773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7" name="Picture 16" descr="C:\Users\nodeh\AppData\Local\Microsoft\Windows\INetCache\Content.Word\E_SDG_PRINT-01-01.jpg"/>
          <cdr:cNvPicPr/>
        </cdr:nvPicPr>
        <cdr:blipFill>
          <a:blip xmlns:a="http://schemas.openxmlformats.org/drawingml/2006/main" xmlns:r="http://schemas.openxmlformats.org/officeDocument/2006/relationships" r:embed="rId16"/>
          <a:srcRect xmlns:a="http://schemas.openxmlformats.org/drawingml/2006/main"/>
          <a:stretch xmlns:a="http://schemas.openxmlformats.org/drawingml/2006/main">
            <a:fillRect/>
          </a:stretch>
        </cdr:blipFill>
        <cdr:spPr bwMode="auto">
          <a:xfrm xmlns:a="http://schemas.openxmlformats.org/drawingml/2006/main">
            <a:off x="3070885" y="40717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8" name="Picture 17" descr="C:\Users\nodeh\AppData\Local\Microsoft\Windows\INetCache\Content.Word\E_SDG_PRINT-02-02.jpg"/>
          <cdr:cNvPicPr/>
        </cdr:nvPicPr>
        <cdr:blipFill>
          <a:blip xmlns:a="http://schemas.openxmlformats.org/drawingml/2006/main" xmlns:r="http://schemas.openxmlformats.org/officeDocument/2006/relationships" r:embed="rId17"/>
          <a:srcRect xmlns:a="http://schemas.openxmlformats.org/drawingml/2006/main"/>
          <a:stretch xmlns:a="http://schemas.openxmlformats.org/drawingml/2006/main">
            <a:fillRect/>
          </a:stretch>
        </cdr:blipFill>
        <cdr:spPr bwMode="auto">
          <a:xfrm xmlns:a="http://schemas.openxmlformats.org/drawingml/2006/main">
            <a:off x="3069509" y="3837237"/>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grpSp>
  </cdr:relSizeAnchor>
</c:userShapes>
</file>

<file path=word/drawings/drawing2.xml><?xml version="1.0" encoding="utf-8"?>
<c:userShapes xmlns:c="http://schemas.openxmlformats.org/drawingml/2006/chart">
  <cdr:relSizeAnchor xmlns:cdr="http://schemas.openxmlformats.org/drawingml/2006/chartDrawing">
    <cdr:from>
      <cdr:x>0.00921</cdr:x>
      <cdr:y>0.09485</cdr:y>
    </cdr:from>
    <cdr:to>
      <cdr:x>0.05049</cdr:x>
      <cdr:y>0.85861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rot="16200000">
          <a:off x="-633412" y="886463"/>
          <a:ext cx="1610644" cy="237765"/>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B4D030-7884-450C-B343-24C17DFF2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154</Pages>
  <Words>39228</Words>
  <Characters>223600</Characters>
  <Application>Microsoft Office Word</Application>
  <DocSecurity>0</DocSecurity>
  <Lines>1863</Lines>
  <Paragraphs>524</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Hewlett-Packard Company</Company>
  <LinksUpToDate>false</LinksUpToDate>
  <CharactersWithSpaces>262304</CharactersWithSpaces>
  <SharedDoc>false</SharedDoc>
  <HLinks>
    <vt:vector size="168" baseType="variant">
      <vt:variant>
        <vt:i4>6750261</vt:i4>
      </vt:variant>
      <vt:variant>
        <vt:i4>345</vt:i4>
      </vt:variant>
      <vt:variant>
        <vt:i4>0</vt:i4>
      </vt:variant>
      <vt:variant>
        <vt:i4>5</vt:i4>
      </vt:variant>
      <vt:variant>
        <vt:lpwstr>https://sustainabledevelopment.un.org/post2015/transformingourworld</vt:lpwstr>
      </vt:variant>
      <vt:variant>
        <vt:lpwstr/>
      </vt:variant>
      <vt:variant>
        <vt:i4>5177418</vt:i4>
      </vt:variant>
      <vt:variant>
        <vt:i4>342</vt:i4>
      </vt:variant>
      <vt:variant>
        <vt:i4>0</vt:i4>
      </vt:variant>
      <vt:variant>
        <vt:i4>5</vt:i4>
      </vt:variant>
      <vt:variant>
        <vt:lpwstr>https://unstats.un.org/sdgs/hlg/</vt:lpwstr>
      </vt:variant>
      <vt:variant>
        <vt:lpwstr/>
      </vt:variant>
      <vt:variant>
        <vt:i4>6160452</vt:i4>
      </vt:variant>
      <vt:variant>
        <vt:i4>339</vt:i4>
      </vt:variant>
      <vt:variant>
        <vt:i4>0</vt:i4>
      </vt:variant>
      <vt:variant>
        <vt:i4>5</vt:i4>
      </vt:variant>
      <vt:variant>
        <vt:lpwstr>https://unstats.un.org/unsd/statcom/</vt:lpwstr>
      </vt:variant>
      <vt:variant>
        <vt:lpwstr/>
      </vt:variant>
      <vt:variant>
        <vt:i4>1966168</vt:i4>
      </vt:variant>
      <vt:variant>
        <vt:i4>336</vt:i4>
      </vt:variant>
      <vt:variant>
        <vt:i4>0</vt:i4>
      </vt:variant>
      <vt:variant>
        <vt:i4>5</vt:i4>
      </vt:variant>
      <vt:variant>
        <vt:lpwstr>https://unstats.un.org/unsd/</vt:lpwstr>
      </vt:variant>
      <vt:variant>
        <vt:lpwstr/>
      </vt:variant>
      <vt:variant>
        <vt:i4>7798883</vt:i4>
      </vt:variant>
      <vt:variant>
        <vt:i4>273</vt:i4>
      </vt:variant>
      <vt:variant>
        <vt:i4>0</vt:i4>
      </vt:variant>
      <vt:variant>
        <vt:i4>5</vt:i4>
      </vt:variant>
      <vt:variant>
        <vt:lpwstr>https://unstats.un.org/sdgs/indicators/database</vt:lpwstr>
      </vt:variant>
      <vt:variant>
        <vt:lpwstr/>
      </vt:variant>
      <vt:variant>
        <vt:i4>7798883</vt:i4>
      </vt:variant>
      <vt:variant>
        <vt:i4>267</vt:i4>
      </vt:variant>
      <vt:variant>
        <vt:i4>0</vt:i4>
      </vt:variant>
      <vt:variant>
        <vt:i4>5</vt:i4>
      </vt:variant>
      <vt:variant>
        <vt:lpwstr>https://unstats.un.org/sdgs/indicators/database</vt:lpwstr>
      </vt:variant>
      <vt:variant>
        <vt:lpwstr/>
      </vt:variant>
      <vt:variant>
        <vt:i4>7798883</vt:i4>
      </vt:variant>
      <vt:variant>
        <vt:i4>261</vt:i4>
      </vt:variant>
      <vt:variant>
        <vt:i4>0</vt:i4>
      </vt:variant>
      <vt:variant>
        <vt:i4>5</vt:i4>
      </vt:variant>
      <vt:variant>
        <vt:lpwstr>https://unstats.un.org/sdgs/indicators/database</vt:lpwstr>
      </vt:variant>
      <vt:variant>
        <vt:lpwstr/>
      </vt:variant>
      <vt:variant>
        <vt:i4>7798883</vt:i4>
      </vt:variant>
      <vt:variant>
        <vt:i4>252</vt:i4>
      </vt:variant>
      <vt:variant>
        <vt:i4>0</vt:i4>
      </vt:variant>
      <vt:variant>
        <vt:i4>5</vt:i4>
      </vt:variant>
      <vt:variant>
        <vt:lpwstr>https://unstats.un.org/sdgs/indicators/database</vt:lpwstr>
      </vt:variant>
      <vt:variant>
        <vt:lpwstr/>
      </vt:variant>
      <vt:variant>
        <vt:i4>7798883</vt:i4>
      </vt:variant>
      <vt:variant>
        <vt:i4>246</vt:i4>
      </vt:variant>
      <vt:variant>
        <vt:i4>0</vt:i4>
      </vt:variant>
      <vt:variant>
        <vt:i4>5</vt:i4>
      </vt:variant>
      <vt:variant>
        <vt:lpwstr>https://unstats.un.org/sdgs/indicators/database</vt:lpwstr>
      </vt:variant>
      <vt:variant>
        <vt:lpwstr/>
      </vt:variant>
      <vt:variant>
        <vt:i4>5767174</vt:i4>
      </vt:variant>
      <vt:variant>
        <vt:i4>213</vt:i4>
      </vt:variant>
      <vt:variant>
        <vt:i4>0</vt:i4>
      </vt:variant>
      <vt:variant>
        <vt:i4>5</vt:i4>
      </vt:variant>
      <vt:variant>
        <vt:lpwstr>https://unstats.un.org/sdgs/indicators/database/</vt:lpwstr>
      </vt:variant>
      <vt:variant>
        <vt:lpwstr/>
      </vt:variant>
      <vt:variant>
        <vt:i4>5767174</vt:i4>
      </vt:variant>
      <vt:variant>
        <vt:i4>60</vt:i4>
      </vt:variant>
      <vt:variant>
        <vt:i4>0</vt:i4>
      </vt:variant>
      <vt:variant>
        <vt:i4>5</vt:i4>
      </vt:variant>
      <vt:variant>
        <vt:lpwstr>https://unstats.un.org/sdgs/indicators/database/</vt:lpwstr>
      </vt:variant>
      <vt:variant>
        <vt:lpwstr/>
      </vt:variant>
      <vt:variant>
        <vt:i4>7798883</vt:i4>
      </vt:variant>
      <vt:variant>
        <vt:i4>54</vt:i4>
      </vt:variant>
      <vt:variant>
        <vt:i4>0</vt:i4>
      </vt:variant>
      <vt:variant>
        <vt:i4>5</vt:i4>
      </vt:variant>
      <vt:variant>
        <vt:lpwstr>https://unstats.un.org/sdgs/indicators/database</vt:lpwstr>
      </vt:variant>
      <vt:variant>
        <vt:lpwstr/>
      </vt:variant>
      <vt:variant>
        <vt:i4>7798883</vt:i4>
      </vt:variant>
      <vt:variant>
        <vt:i4>24</vt:i4>
      </vt:variant>
      <vt:variant>
        <vt:i4>0</vt:i4>
      </vt:variant>
      <vt:variant>
        <vt:i4>5</vt:i4>
      </vt:variant>
      <vt:variant>
        <vt:lpwstr>https://unstats.un.org/sdgs/indicators/database</vt:lpwstr>
      </vt:variant>
      <vt:variant>
        <vt:lpwstr/>
      </vt:variant>
      <vt:variant>
        <vt:i4>7798883</vt:i4>
      </vt:variant>
      <vt:variant>
        <vt:i4>18</vt:i4>
      </vt:variant>
      <vt:variant>
        <vt:i4>0</vt:i4>
      </vt:variant>
      <vt:variant>
        <vt:i4>5</vt:i4>
      </vt:variant>
      <vt:variant>
        <vt:lpwstr>https://unstats.un.org/sdgs/indicators/database</vt:lpwstr>
      </vt:variant>
      <vt:variant>
        <vt:lpwstr/>
      </vt:variant>
      <vt:variant>
        <vt:i4>1179653</vt:i4>
      </vt:variant>
      <vt:variant>
        <vt:i4>0</vt:i4>
      </vt:variant>
      <vt:variant>
        <vt:i4>0</vt:i4>
      </vt:variant>
      <vt:variant>
        <vt:i4>5</vt:i4>
      </vt:variant>
      <vt:variant>
        <vt:lpwstr>https://documents-dds-ny.un.org/doc/UNDOC/GEN/N15/291/89/PDF/N1529189.pdf</vt:lpwstr>
      </vt:variant>
      <vt:variant>
        <vt:lpwstr/>
      </vt:variant>
      <vt:variant>
        <vt:i4>4653070</vt:i4>
      </vt:variant>
      <vt:variant>
        <vt:i4>36</vt:i4>
      </vt:variant>
      <vt:variant>
        <vt:i4>0</vt:i4>
      </vt:variant>
      <vt:variant>
        <vt:i4>5</vt:i4>
      </vt:variant>
      <vt:variant>
        <vt:lpwstr>https://data.unescwa.org/content/85e05a1d-a6d5-45cd-b769-d15c30f72fe7</vt:lpwstr>
      </vt:variant>
      <vt:variant>
        <vt:lpwstr/>
      </vt:variant>
      <vt:variant>
        <vt:i4>7798883</vt:i4>
      </vt:variant>
      <vt:variant>
        <vt:i4>33</vt:i4>
      </vt:variant>
      <vt:variant>
        <vt:i4>0</vt:i4>
      </vt:variant>
      <vt:variant>
        <vt:i4>5</vt:i4>
      </vt:variant>
      <vt:variant>
        <vt:lpwstr>https://unstats.un.org/sdgs/indicators/database</vt:lpwstr>
      </vt:variant>
      <vt:variant>
        <vt:lpwstr/>
      </vt:variant>
      <vt:variant>
        <vt:i4>5767174</vt:i4>
      </vt:variant>
      <vt:variant>
        <vt:i4>30</vt:i4>
      </vt:variant>
      <vt:variant>
        <vt:i4>0</vt:i4>
      </vt:variant>
      <vt:variant>
        <vt:i4>5</vt:i4>
      </vt:variant>
      <vt:variant>
        <vt:lpwstr>https://unstats.un.org/sdgs/indicators/database/</vt:lpwstr>
      </vt:variant>
      <vt:variant>
        <vt:lpwstr/>
      </vt:variant>
      <vt:variant>
        <vt:i4>7798883</vt:i4>
      </vt:variant>
      <vt:variant>
        <vt:i4>27</vt:i4>
      </vt:variant>
      <vt:variant>
        <vt:i4>0</vt:i4>
      </vt:variant>
      <vt:variant>
        <vt:i4>5</vt:i4>
      </vt:variant>
      <vt:variant>
        <vt:lpwstr>https://unstats.un.org/sdgs/indicators/database</vt:lpwstr>
      </vt:variant>
      <vt:variant>
        <vt:lpwstr/>
      </vt:variant>
      <vt:variant>
        <vt:i4>7798883</vt:i4>
      </vt:variant>
      <vt:variant>
        <vt:i4>24</vt:i4>
      </vt:variant>
      <vt:variant>
        <vt:i4>0</vt:i4>
      </vt:variant>
      <vt:variant>
        <vt:i4>5</vt:i4>
      </vt:variant>
      <vt:variant>
        <vt:lpwstr>https://unstats.un.org/sdgs/indicators/database</vt:lpwstr>
      </vt:variant>
      <vt:variant>
        <vt:lpwstr/>
      </vt:variant>
      <vt:variant>
        <vt:i4>7798883</vt:i4>
      </vt:variant>
      <vt:variant>
        <vt:i4>21</vt:i4>
      </vt:variant>
      <vt:variant>
        <vt:i4>0</vt:i4>
      </vt:variant>
      <vt:variant>
        <vt:i4>5</vt:i4>
      </vt:variant>
      <vt:variant>
        <vt:lpwstr>https://unstats.un.org/sdgs/indicators/database</vt:lpwstr>
      </vt:variant>
      <vt:variant>
        <vt:lpwstr/>
      </vt:variant>
      <vt:variant>
        <vt:i4>7798883</vt:i4>
      </vt:variant>
      <vt:variant>
        <vt:i4>18</vt:i4>
      </vt:variant>
      <vt:variant>
        <vt:i4>0</vt:i4>
      </vt:variant>
      <vt:variant>
        <vt:i4>5</vt:i4>
      </vt:variant>
      <vt:variant>
        <vt:lpwstr>https://unstats.un.org/sdgs/indicators/database</vt:lpwstr>
      </vt:variant>
      <vt:variant>
        <vt:lpwstr/>
      </vt:variant>
      <vt:variant>
        <vt:i4>7798883</vt:i4>
      </vt:variant>
      <vt:variant>
        <vt:i4>15</vt:i4>
      </vt:variant>
      <vt:variant>
        <vt:i4>0</vt:i4>
      </vt:variant>
      <vt:variant>
        <vt:i4>5</vt:i4>
      </vt:variant>
      <vt:variant>
        <vt:lpwstr>https://unstats.un.org/sdgs/indicators/database</vt:lpwstr>
      </vt:variant>
      <vt:variant>
        <vt:lpwstr/>
      </vt:variant>
      <vt:variant>
        <vt:i4>5767174</vt:i4>
      </vt:variant>
      <vt:variant>
        <vt:i4>12</vt:i4>
      </vt:variant>
      <vt:variant>
        <vt:i4>0</vt:i4>
      </vt:variant>
      <vt:variant>
        <vt:i4>5</vt:i4>
      </vt:variant>
      <vt:variant>
        <vt:lpwstr>https://unstats.un.org/sdgs/indicators/database/</vt:lpwstr>
      </vt:variant>
      <vt:variant>
        <vt:lpwstr/>
      </vt:variant>
      <vt:variant>
        <vt:i4>5767174</vt:i4>
      </vt:variant>
      <vt:variant>
        <vt:i4>9</vt:i4>
      </vt:variant>
      <vt:variant>
        <vt:i4>0</vt:i4>
      </vt:variant>
      <vt:variant>
        <vt:i4>5</vt:i4>
      </vt:variant>
      <vt:variant>
        <vt:lpwstr>https://unstats.un.org/sdgs/indicators/database/</vt:lpwstr>
      </vt:variant>
      <vt:variant>
        <vt:lpwstr/>
      </vt:variant>
      <vt:variant>
        <vt:i4>5767174</vt:i4>
      </vt:variant>
      <vt:variant>
        <vt:i4>6</vt:i4>
      </vt:variant>
      <vt:variant>
        <vt:i4>0</vt:i4>
      </vt:variant>
      <vt:variant>
        <vt:i4>5</vt:i4>
      </vt:variant>
      <vt:variant>
        <vt:lpwstr>https://unstats.un.org/sdgs/indicators/database/</vt:lpwstr>
      </vt:variant>
      <vt:variant>
        <vt:lpwstr/>
      </vt:variant>
      <vt:variant>
        <vt:i4>5767174</vt:i4>
      </vt:variant>
      <vt:variant>
        <vt:i4>3</vt:i4>
      </vt:variant>
      <vt:variant>
        <vt:i4>0</vt:i4>
      </vt:variant>
      <vt:variant>
        <vt:i4>5</vt:i4>
      </vt:variant>
      <vt:variant>
        <vt:lpwstr>https://unstats.un.org/sdgs/indicators/database/</vt:lpwstr>
      </vt:variant>
      <vt:variant>
        <vt:lpwstr/>
      </vt:variant>
      <vt:variant>
        <vt:i4>5767174</vt:i4>
      </vt:variant>
      <vt:variant>
        <vt:i4>0</vt:i4>
      </vt:variant>
      <vt:variant>
        <vt:i4>0</vt:i4>
      </vt:variant>
      <vt:variant>
        <vt:i4>5</vt:i4>
      </vt:variant>
      <vt:variant>
        <vt:lpwstr>https://unstats.un.org/sdgs/indicators/database/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PC</dc:creator>
  <cp:lastModifiedBy>Lara Amro</cp:lastModifiedBy>
  <cp:revision>7</cp:revision>
  <cp:lastPrinted>2023-08-07T10:13:00Z</cp:lastPrinted>
  <dcterms:created xsi:type="dcterms:W3CDTF">2023-07-30T06:49:00Z</dcterms:created>
  <dcterms:modified xsi:type="dcterms:W3CDTF">2023-08-07T10:14:00Z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06bed11ba1f4fde145f5c6e88fab92c42f51d6e8246a0117c07553c1075c307b</vt:lpwstr>
  </property>
</Properties>
</file>